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2C45" w14:textId="59AB1609" w:rsidR="00D334B2" w:rsidRDefault="00D334B2" w:rsidP="00D334B2">
      <w:pPr>
        <w:jc w:val="center"/>
        <w:rPr>
          <w:rFonts w:cs="Times New Roman"/>
          <w:b/>
          <w:color w:val="000000" w:themeColor="text1"/>
          <w:szCs w:val="24"/>
        </w:rPr>
      </w:pPr>
      <w:r>
        <w:rPr>
          <w:rFonts w:cs="Times New Roman"/>
          <w:b/>
          <w:color w:val="000000" w:themeColor="text1"/>
          <w:szCs w:val="24"/>
        </w:rPr>
        <w:t>Dual Language Education and Academic Growth</w:t>
      </w:r>
    </w:p>
    <w:p w14:paraId="1AA1275D" w14:textId="77777777" w:rsidR="00D334B2" w:rsidRDefault="00D334B2" w:rsidP="00D334B2">
      <w:pPr>
        <w:jc w:val="center"/>
        <w:rPr>
          <w:rFonts w:cs="Times New Roman"/>
          <w:b/>
          <w:color w:val="000000" w:themeColor="text1"/>
          <w:szCs w:val="24"/>
        </w:rPr>
      </w:pPr>
    </w:p>
    <w:p w14:paraId="336FDB86" w14:textId="77777777" w:rsidR="00D334B2" w:rsidRPr="001527A0" w:rsidRDefault="00D334B2" w:rsidP="00D334B2">
      <w:pPr>
        <w:jc w:val="center"/>
        <w:rPr>
          <w:rFonts w:cs="Times New Roman"/>
          <w:color w:val="000000" w:themeColor="text1"/>
          <w:szCs w:val="24"/>
        </w:rPr>
      </w:pPr>
      <w:r w:rsidRPr="001527A0">
        <w:rPr>
          <w:rFonts w:cs="Times New Roman"/>
          <w:color w:val="000000" w:themeColor="text1"/>
          <w:szCs w:val="24"/>
        </w:rPr>
        <w:t>Angela Johnson</w:t>
      </w:r>
    </w:p>
    <w:p w14:paraId="35912D21" w14:textId="5E797C6C" w:rsidR="00D334B2" w:rsidRPr="00C030E4" w:rsidRDefault="00D334B2" w:rsidP="00D334B2">
      <w:pPr>
        <w:jc w:val="center"/>
        <w:rPr>
          <w:rFonts w:cs="Times New Roman"/>
          <w:color w:val="000000" w:themeColor="text1"/>
          <w:szCs w:val="24"/>
        </w:rPr>
      </w:pPr>
      <w:r w:rsidRPr="00C030E4">
        <w:rPr>
          <w:rFonts w:cs="Times New Roman"/>
          <w:color w:val="000000" w:themeColor="text1"/>
          <w:szCs w:val="24"/>
        </w:rPr>
        <w:t>American Institutes for Research</w:t>
      </w:r>
    </w:p>
    <w:p w14:paraId="1D7D0ECD" w14:textId="77777777" w:rsidR="00D334B2" w:rsidRPr="00C030E4" w:rsidRDefault="00D334B2" w:rsidP="00D334B2">
      <w:pPr>
        <w:jc w:val="center"/>
        <w:rPr>
          <w:rFonts w:cs="Times New Roman"/>
          <w:szCs w:val="24"/>
        </w:rPr>
      </w:pPr>
      <w:r w:rsidRPr="00C030E4">
        <w:rPr>
          <w:rFonts w:cs="Times New Roman"/>
          <w:szCs w:val="24"/>
        </w:rPr>
        <w:t>anjohnson@air.org</w:t>
      </w:r>
    </w:p>
    <w:p w14:paraId="306C2387" w14:textId="77777777" w:rsidR="00D334B2" w:rsidRDefault="00D334B2" w:rsidP="00EA4493">
      <w:pPr>
        <w:rPr>
          <w:rFonts w:cs="Times New Roman"/>
          <w:szCs w:val="24"/>
        </w:rPr>
      </w:pPr>
    </w:p>
    <w:p w14:paraId="65F7A92E" w14:textId="06133A2C" w:rsidR="00EA4493" w:rsidRPr="0058564F" w:rsidRDefault="00EA4493" w:rsidP="00D334B2">
      <w:pPr>
        <w:rPr>
          <w:rFonts w:cs="Times New Roman"/>
          <w:b/>
          <w:color w:val="000000" w:themeColor="text1"/>
          <w:szCs w:val="24"/>
        </w:rPr>
      </w:pPr>
      <w:r>
        <w:rPr>
          <w:rFonts w:cs="Times New Roman"/>
          <w:b/>
          <w:color w:val="000000" w:themeColor="text1"/>
          <w:szCs w:val="24"/>
        </w:rPr>
        <w:t xml:space="preserve">Structured </w:t>
      </w:r>
      <w:r w:rsidR="00D334B2" w:rsidRPr="0058564F">
        <w:rPr>
          <w:rFonts w:cs="Times New Roman"/>
          <w:b/>
          <w:color w:val="000000" w:themeColor="text1"/>
          <w:szCs w:val="24"/>
        </w:rPr>
        <w:t>Abstract</w:t>
      </w:r>
    </w:p>
    <w:p w14:paraId="446D843E" w14:textId="6759FE7B" w:rsidR="00EA4493" w:rsidRDefault="00EA4493" w:rsidP="00D334B2">
      <w:r w:rsidRPr="00EA4493">
        <w:rPr>
          <w:rFonts w:cs="Times New Roman"/>
          <w:szCs w:val="24"/>
          <w:u w:val="single"/>
        </w:rPr>
        <w:t xml:space="preserve">Background or Context: </w:t>
      </w:r>
      <w:r>
        <w:t>Dual language education aims to foster the development of bilingualism, biliteracy, sociocultural competence, and academic skills in all school subjects.</w:t>
      </w:r>
      <w:r w:rsidRPr="00EA4493">
        <w:t xml:space="preserve"> </w:t>
      </w:r>
      <w:r>
        <w:t xml:space="preserve">Early correlational research </w:t>
      </w:r>
      <w:proofErr w:type="gramStart"/>
      <w:r>
        <w:t>suggest</w:t>
      </w:r>
      <w:proofErr w:type="gramEnd"/>
      <w:r>
        <w:t xml:space="preserve"> that participation in dual language education is associated with higher achievement. Recent studies leveraged more comprehensive sets of baseline characteristics and found that dual language students improved their achievement status more than other students. A major limitation to these studies is their lack of ability to model within-student growth. Thus, we lack evidence on the relation between dual language education and growth trajectories within and across grades. </w:t>
      </w:r>
    </w:p>
    <w:p w14:paraId="2FFE12AD" w14:textId="77777777" w:rsidR="00EA4493" w:rsidRPr="00EA4493" w:rsidRDefault="00EA4493" w:rsidP="00D334B2"/>
    <w:p w14:paraId="0CF654FB" w14:textId="1AB06155" w:rsidR="00EA4493" w:rsidRDefault="00EA4493" w:rsidP="00EA4493">
      <w:pPr>
        <w:tabs>
          <w:tab w:val="left" w:pos="8166"/>
        </w:tabs>
      </w:pPr>
      <w:r w:rsidRPr="00EA4493">
        <w:rPr>
          <w:rFonts w:cs="Times New Roman"/>
          <w:szCs w:val="24"/>
          <w:u w:val="single"/>
        </w:rPr>
        <w:t>Purpose:</w:t>
      </w:r>
      <w:r>
        <w:rPr>
          <w:rFonts w:cs="Times New Roman"/>
          <w:szCs w:val="24"/>
        </w:rPr>
        <w:t xml:space="preserve"> </w:t>
      </w:r>
      <w:r w:rsidR="00D334B2" w:rsidRPr="0058564F">
        <w:rPr>
          <w:rFonts w:cs="Times New Roman"/>
          <w:szCs w:val="24"/>
        </w:rPr>
        <w:t>This paper reports academic achievement</w:t>
      </w:r>
      <w:r w:rsidR="00D334B2">
        <w:rPr>
          <w:rFonts w:cs="Times New Roman"/>
          <w:szCs w:val="24"/>
        </w:rPr>
        <w:t xml:space="preserve"> and growth</w:t>
      </w:r>
      <w:r w:rsidR="00D334B2" w:rsidRPr="0058564F">
        <w:rPr>
          <w:rFonts w:cs="Times New Roman"/>
          <w:szCs w:val="24"/>
        </w:rPr>
        <w:t xml:space="preserve"> in grades 2 to</w:t>
      </w:r>
      <w:r w:rsidR="00D334B2">
        <w:rPr>
          <w:rFonts w:cs="Times New Roman"/>
          <w:szCs w:val="24"/>
        </w:rPr>
        <w:t xml:space="preserve"> 8 for Hispanic</w:t>
      </w:r>
      <w:r w:rsidR="00D334B2" w:rsidRPr="0058564F">
        <w:rPr>
          <w:rFonts w:cs="Times New Roman"/>
          <w:szCs w:val="24"/>
        </w:rPr>
        <w:t xml:space="preserve"> participants and nonparticipants of a Spanish-English dual language program. </w:t>
      </w:r>
      <w:r>
        <w:t>It extends the literature by providing novel evidence on seasonal patterns of learning for multilingual students across the elementary and middle grades.</w:t>
      </w:r>
    </w:p>
    <w:p w14:paraId="62AB70FD" w14:textId="77777777" w:rsidR="00EA4493" w:rsidRDefault="00EA4493" w:rsidP="00D334B2">
      <w:pPr>
        <w:rPr>
          <w:rFonts w:cs="Times New Roman"/>
          <w:szCs w:val="24"/>
        </w:rPr>
      </w:pPr>
    </w:p>
    <w:p w14:paraId="6F24FED0" w14:textId="23FEEE93" w:rsidR="00EA4493" w:rsidRDefault="00EA4493" w:rsidP="00EA4493">
      <w:r w:rsidRPr="00EA4493">
        <w:rPr>
          <w:rFonts w:cs="Times New Roman"/>
          <w:szCs w:val="24"/>
          <w:u w:val="single"/>
        </w:rPr>
        <w:t>Research Design:</w:t>
      </w:r>
      <w:r>
        <w:rPr>
          <w:rFonts w:cs="Times New Roman"/>
          <w:szCs w:val="24"/>
        </w:rPr>
        <w:t xml:space="preserve"> </w:t>
      </w:r>
      <w:r>
        <w:t>Applying a piecewise multilevel model to rich assessment data on a large sample of Hispanic students in a district in the Midwest,</w:t>
      </w:r>
      <w:r w:rsidRPr="000A414A">
        <w:t xml:space="preserve"> </w:t>
      </w:r>
      <w:r>
        <w:t xml:space="preserve">I compare the math and English reading growth rates of participants to nonparticipants of a dual language program. </w:t>
      </w:r>
      <w:r w:rsidRPr="00E2198E">
        <w:rPr>
          <w:rFonts w:eastAsia="Times New Roman" w:cs="Times New Roman"/>
          <w:szCs w:val="24"/>
        </w:rPr>
        <w:t>By separately specifying growth terms for each school year</w:t>
      </w:r>
      <w:r>
        <w:rPr>
          <w:rFonts w:eastAsia="Times New Roman" w:cs="Times New Roman"/>
          <w:szCs w:val="24"/>
        </w:rPr>
        <w:t xml:space="preserve"> and summer</w:t>
      </w:r>
      <w:r w:rsidRPr="00E2198E">
        <w:rPr>
          <w:rFonts w:eastAsia="Times New Roman" w:cs="Times New Roman"/>
          <w:szCs w:val="24"/>
        </w:rPr>
        <w:t xml:space="preserve">, </w:t>
      </w:r>
      <w:r>
        <w:rPr>
          <w:rFonts w:eastAsia="Times New Roman" w:cs="Times New Roman"/>
          <w:szCs w:val="24"/>
        </w:rPr>
        <w:t>I</w:t>
      </w:r>
      <w:r w:rsidRPr="00E2198E">
        <w:rPr>
          <w:rFonts w:eastAsia="Times New Roman" w:cs="Times New Roman"/>
          <w:szCs w:val="24"/>
        </w:rPr>
        <w:t xml:space="preserve"> test whether any differences in growth rates between DL and non-DL students expand, stay the same, or diminish across grade levels. </w:t>
      </w:r>
    </w:p>
    <w:p w14:paraId="3070C66B" w14:textId="79505B36" w:rsidR="00EA4493" w:rsidRDefault="00EA4493" w:rsidP="00D334B2"/>
    <w:p w14:paraId="7B57CFEA" w14:textId="057D3BEE" w:rsidR="00D334B2" w:rsidRPr="0058564F" w:rsidRDefault="00EA4493" w:rsidP="00D334B2">
      <w:pPr>
        <w:rPr>
          <w:rFonts w:cs="Times New Roman"/>
          <w:szCs w:val="24"/>
        </w:rPr>
      </w:pPr>
      <w:r w:rsidRPr="00EA4493">
        <w:rPr>
          <w:rFonts w:cs="Times New Roman"/>
          <w:szCs w:val="24"/>
          <w:u w:val="single"/>
        </w:rPr>
        <w:t>Conclusion:</w:t>
      </w:r>
      <w:r>
        <w:rPr>
          <w:rFonts w:cs="Times New Roman"/>
          <w:szCs w:val="24"/>
        </w:rPr>
        <w:t xml:space="preserve"> </w:t>
      </w:r>
      <w:r w:rsidR="00D334B2">
        <w:rPr>
          <w:rFonts w:cs="Times New Roman"/>
          <w:szCs w:val="24"/>
        </w:rPr>
        <w:t>D</w:t>
      </w:r>
      <w:r w:rsidR="00D334B2" w:rsidRPr="0058564F">
        <w:rPr>
          <w:rFonts w:cs="Times New Roman"/>
          <w:szCs w:val="24"/>
        </w:rPr>
        <w:t>ual language participants started 2</w:t>
      </w:r>
      <w:r w:rsidR="00D334B2" w:rsidRPr="0058564F">
        <w:rPr>
          <w:rFonts w:cs="Times New Roman"/>
          <w:szCs w:val="24"/>
          <w:vertAlign w:val="superscript"/>
        </w:rPr>
        <w:t>nd</w:t>
      </w:r>
      <w:r w:rsidR="00D334B2" w:rsidRPr="0058564F">
        <w:rPr>
          <w:rFonts w:cs="Times New Roman"/>
          <w:szCs w:val="24"/>
        </w:rPr>
        <w:t xml:space="preserve"> grade with lower achievement than nonparticipants. In math, dual language participants grew </w:t>
      </w:r>
      <w:r w:rsidR="00D334B2">
        <w:rPr>
          <w:rFonts w:cs="Times New Roman"/>
          <w:szCs w:val="24"/>
        </w:rPr>
        <w:t>more</w:t>
      </w:r>
      <w:r w:rsidR="00D334B2" w:rsidRPr="0058564F">
        <w:rPr>
          <w:rFonts w:cs="Times New Roman"/>
          <w:szCs w:val="24"/>
        </w:rPr>
        <w:t xml:space="preserve"> than nonparticipants during each year in grades 2 to 5 but lost more learning during summers</w:t>
      </w:r>
      <w:r w:rsidR="00D334B2">
        <w:rPr>
          <w:rFonts w:cs="Times New Roman"/>
          <w:szCs w:val="24"/>
        </w:rPr>
        <w:t>. I</w:t>
      </w:r>
      <w:r w:rsidR="00D334B2" w:rsidRPr="0058564F">
        <w:rPr>
          <w:rFonts w:cs="Times New Roman"/>
          <w:szCs w:val="24"/>
        </w:rPr>
        <w:t xml:space="preserve">n </w:t>
      </w:r>
      <w:r w:rsidR="00D334B2">
        <w:rPr>
          <w:rFonts w:cs="Times New Roman"/>
          <w:szCs w:val="24"/>
        </w:rPr>
        <w:t xml:space="preserve">English </w:t>
      </w:r>
      <w:r w:rsidR="00D334B2" w:rsidRPr="0058564F">
        <w:rPr>
          <w:rFonts w:cs="Times New Roman"/>
          <w:szCs w:val="24"/>
        </w:rPr>
        <w:t xml:space="preserve">reading, dual language participants grew </w:t>
      </w:r>
      <w:r w:rsidR="00D334B2">
        <w:rPr>
          <w:rFonts w:cs="Times New Roman"/>
          <w:szCs w:val="24"/>
        </w:rPr>
        <w:t xml:space="preserve">more </w:t>
      </w:r>
      <w:r w:rsidR="00D334B2" w:rsidRPr="0058564F">
        <w:rPr>
          <w:rFonts w:cs="Times New Roman"/>
          <w:szCs w:val="24"/>
        </w:rPr>
        <w:t xml:space="preserve">during </w:t>
      </w:r>
      <w:r w:rsidR="00D334B2">
        <w:rPr>
          <w:rFonts w:cs="Times New Roman"/>
          <w:szCs w:val="24"/>
        </w:rPr>
        <w:t xml:space="preserve">some </w:t>
      </w:r>
      <w:r w:rsidR="00D334B2" w:rsidRPr="0058564F">
        <w:rPr>
          <w:rFonts w:cs="Times New Roman"/>
          <w:szCs w:val="24"/>
        </w:rPr>
        <w:t xml:space="preserve">school years </w:t>
      </w:r>
      <w:r w:rsidR="00D334B2">
        <w:rPr>
          <w:rFonts w:cs="Times New Roman"/>
          <w:szCs w:val="24"/>
        </w:rPr>
        <w:t>and</w:t>
      </w:r>
      <w:r w:rsidR="00D334B2" w:rsidRPr="0058564F">
        <w:rPr>
          <w:rFonts w:cs="Times New Roman"/>
          <w:szCs w:val="24"/>
        </w:rPr>
        <w:t xml:space="preserve"> lost less</w:t>
      </w:r>
      <w:r w:rsidR="00D334B2">
        <w:rPr>
          <w:rFonts w:cs="Times New Roman"/>
          <w:szCs w:val="24"/>
        </w:rPr>
        <w:t xml:space="preserve"> </w:t>
      </w:r>
      <w:r w:rsidR="00D334B2" w:rsidRPr="0058564F">
        <w:rPr>
          <w:rFonts w:cs="Times New Roman"/>
          <w:szCs w:val="24"/>
        </w:rPr>
        <w:t>during summers.</w:t>
      </w:r>
      <w:r w:rsidR="00D334B2">
        <w:rPr>
          <w:rFonts w:cs="Times New Roman"/>
          <w:szCs w:val="24"/>
        </w:rPr>
        <w:t xml:space="preserve"> </w:t>
      </w:r>
      <w:r w:rsidR="00D334B2" w:rsidRPr="00786F5C">
        <w:rPr>
          <w:rFonts w:cs="Times New Roman"/>
          <w:szCs w:val="24"/>
        </w:rPr>
        <w:t>These findings suggest summer learning opportunities are crucial for addressing achievement disparities.</w:t>
      </w:r>
    </w:p>
    <w:p w14:paraId="72D03E4A" w14:textId="77777777" w:rsidR="00D334B2" w:rsidRPr="0058564F" w:rsidRDefault="00D334B2" w:rsidP="00D334B2">
      <w:pPr>
        <w:rPr>
          <w:rFonts w:cs="Times New Roman"/>
          <w:szCs w:val="24"/>
        </w:rPr>
      </w:pPr>
    </w:p>
    <w:p w14:paraId="28454BFD" w14:textId="6AFC7038" w:rsidR="00D334B2" w:rsidRPr="00D334B2" w:rsidRDefault="00D334B2" w:rsidP="00D334B2">
      <w:pPr>
        <w:rPr>
          <w:rFonts w:cs="Times New Roman"/>
          <w:b/>
          <w:bCs/>
          <w:szCs w:val="24"/>
        </w:rPr>
      </w:pPr>
      <w:r w:rsidRPr="00D334B2">
        <w:rPr>
          <w:rFonts w:cs="Times New Roman"/>
          <w:b/>
          <w:bCs/>
          <w:szCs w:val="24"/>
        </w:rPr>
        <w:t>Biography</w:t>
      </w:r>
    </w:p>
    <w:p w14:paraId="387017D4" w14:textId="1310305C" w:rsidR="00D334B2" w:rsidRPr="00C030E4" w:rsidRDefault="00D334B2" w:rsidP="00D334B2">
      <w:pPr>
        <w:rPr>
          <w:rFonts w:cs="Times New Roman"/>
          <w:color w:val="000000" w:themeColor="text1"/>
          <w:szCs w:val="24"/>
        </w:rPr>
      </w:pPr>
      <w:r>
        <w:rPr>
          <w:rFonts w:cs="Times New Roman"/>
          <w:szCs w:val="24"/>
        </w:rPr>
        <w:t xml:space="preserve">Angela Johnson is a senior researcher at the </w:t>
      </w:r>
      <w:r w:rsidRPr="00C030E4">
        <w:rPr>
          <w:rFonts w:cs="Times New Roman"/>
          <w:color w:val="000000" w:themeColor="text1"/>
          <w:szCs w:val="24"/>
        </w:rPr>
        <w:t>American Institutes for Research</w:t>
      </w:r>
      <w:r>
        <w:rPr>
          <w:rFonts w:cs="Times New Roman"/>
          <w:color w:val="000000" w:themeColor="text1"/>
          <w:szCs w:val="24"/>
        </w:rPr>
        <w:t>. Her research interests include education policy, multilingual learners, and students with disabilities.</w:t>
      </w:r>
    </w:p>
    <w:p w14:paraId="3C31AC86" w14:textId="77777777" w:rsidR="00D334B2" w:rsidRPr="0058564F" w:rsidRDefault="00D334B2" w:rsidP="00D334B2">
      <w:pPr>
        <w:rPr>
          <w:rFonts w:cs="Times New Roman"/>
          <w:szCs w:val="24"/>
        </w:rPr>
      </w:pPr>
    </w:p>
    <w:p w14:paraId="58B46D97" w14:textId="77777777" w:rsidR="00D334B2" w:rsidRPr="0058564F" w:rsidRDefault="00D334B2" w:rsidP="00D334B2">
      <w:pPr>
        <w:rPr>
          <w:rFonts w:cs="Times New Roman"/>
          <w:b/>
          <w:bCs/>
          <w:szCs w:val="24"/>
        </w:rPr>
      </w:pPr>
      <w:r w:rsidRPr="0058564F">
        <w:rPr>
          <w:rFonts w:cs="Times New Roman"/>
          <w:b/>
          <w:bCs/>
          <w:szCs w:val="24"/>
        </w:rPr>
        <w:t>Key Words</w:t>
      </w:r>
    </w:p>
    <w:p w14:paraId="1CDD1CB0" w14:textId="77777777" w:rsidR="00D334B2" w:rsidRPr="0058564F" w:rsidRDefault="00D334B2" w:rsidP="00D334B2">
      <w:pPr>
        <w:rPr>
          <w:rFonts w:cs="Times New Roman"/>
          <w:szCs w:val="24"/>
        </w:rPr>
      </w:pPr>
      <w:r w:rsidRPr="0058564F">
        <w:rPr>
          <w:rFonts w:cs="Times New Roman"/>
          <w:szCs w:val="24"/>
        </w:rPr>
        <w:t>Dual language education, English Learners, Education Policy</w:t>
      </w:r>
    </w:p>
    <w:p w14:paraId="13C31084" w14:textId="77777777" w:rsidR="00D334B2" w:rsidRPr="0058564F" w:rsidRDefault="00D334B2" w:rsidP="00D334B2">
      <w:pPr>
        <w:rPr>
          <w:rFonts w:cs="Times New Roman"/>
          <w:szCs w:val="24"/>
        </w:rPr>
      </w:pPr>
    </w:p>
    <w:p w14:paraId="3D5D4669" w14:textId="77777777" w:rsidR="00D334B2" w:rsidRPr="0058564F" w:rsidRDefault="00D334B2" w:rsidP="00D334B2">
      <w:pPr>
        <w:rPr>
          <w:rFonts w:cs="Times New Roman"/>
          <w:b/>
          <w:bCs/>
          <w:szCs w:val="24"/>
        </w:rPr>
      </w:pPr>
      <w:r w:rsidRPr="0058564F">
        <w:rPr>
          <w:rFonts w:cs="Times New Roman"/>
          <w:b/>
          <w:bCs/>
          <w:szCs w:val="24"/>
        </w:rPr>
        <w:t>Acknowledgements</w:t>
      </w:r>
    </w:p>
    <w:p w14:paraId="3E62F54C" w14:textId="5780CA51" w:rsidR="00D334B2" w:rsidRPr="0058564F" w:rsidRDefault="00D334B2" w:rsidP="00D334B2">
      <w:pPr>
        <w:rPr>
          <w:rFonts w:cs="Times New Roman"/>
          <w:szCs w:val="24"/>
        </w:rPr>
      </w:pPr>
      <w:r w:rsidRPr="0058564F">
        <w:rPr>
          <w:rFonts w:cs="Times New Roman"/>
          <w:szCs w:val="24"/>
        </w:rPr>
        <w:t>The author is grateful for support from the anonymous school district and valuable feedback from Nate Jensen</w:t>
      </w:r>
      <w:r>
        <w:rPr>
          <w:rFonts w:cs="Times New Roman"/>
          <w:szCs w:val="24"/>
        </w:rPr>
        <w:t xml:space="preserve"> and</w:t>
      </w:r>
      <w:r w:rsidRPr="0058564F">
        <w:rPr>
          <w:rFonts w:cs="Times New Roman"/>
          <w:szCs w:val="24"/>
        </w:rPr>
        <w:t xml:space="preserve"> Megan </w:t>
      </w:r>
      <w:proofErr w:type="spellStart"/>
      <w:r w:rsidRPr="0058564F">
        <w:rPr>
          <w:rFonts w:cs="Times New Roman"/>
          <w:szCs w:val="24"/>
        </w:rPr>
        <w:t>Kuhfeld</w:t>
      </w:r>
      <w:proofErr w:type="spellEnd"/>
      <w:r w:rsidRPr="0058564F">
        <w:rPr>
          <w:rFonts w:cs="Times New Roman"/>
          <w:szCs w:val="24"/>
        </w:rPr>
        <w:t xml:space="preserve">. </w:t>
      </w:r>
    </w:p>
    <w:p w14:paraId="58D2C9F2" w14:textId="10ECED6C" w:rsidR="00D334B2" w:rsidRPr="00DB61B1" w:rsidRDefault="00D334B2">
      <w:pPr>
        <w:rPr>
          <w:rFonts w:cs="Times New Roman"/>
          <w:szCs w:val="24"/>
        </w:rPr>
      </w:pPr>
      <w:r>
        <w:rPr>
          <w:rFonts w:cs="Times New Roman"/>
          <w:szCs w:val="24"/>
        </w:rPr>
        <w:br w:type="page"/>
      </w:r>
    </w:p>
    <w:p w14:paraId="1C54BE2F" w14:textId="321B3526" w:rsidR="00BA4449" w:rsidRDefault="005767A3" w:rsidP="004B52F3">
      <w:pPr>
        <w:spacing w:line="480" w:lineRule="auto"/>
        <w:jc w:val="center"/>
        <w:rPr>
          <w:b/>
          <w:bCs/>
        </w:rPr>
      </w:pPr>
      <w:r w:rsidRPr="00BB5CA5">
        <w:rPr>
          <w:b/>
          <w:bCs/>
        </w:rPr>
        <w:lastRenderedPageBreak/>
        <w:t>D</w:t>
      </w:r>
      <w:r w:rsidR="00BB5CA5" w:rsidRPr="00BB5CA5">
        <w:rPr>
          <w:b/>
          <w:bCs/>
        </w:rPr>
        <w:t>ual Language Education and Academic Growth</w:t>
      </w:r>
    </w:p>
    <w:p w14:paraId="3005961D" w14:textId="0BF6591B" w:rsidR="007F4A3F" w:rsidRDefault="005235DA" w:rsidP="004B52F3">
      <w:pPr>
        <w:spacing w:line="480" w:lineRule="auto"/>
        <w:ind w:firstLine="720"/>
      </w:pPr>
      <w:r>
        <w:t>Dual language education—</w:t>
      </w:r>
      <w:r w:rsidR="008C5423">
        <w:t xml:space="preserve">an inclusive </w:t>
      </w:r>
      <w:r>
        <w:t xml:space="preserve">category for programs that provide academic content instruction in both English and a partner language—aims to foster the development of bilingualism, biliteracy, </w:t>
      </w:r>
      <w:r w:rsidR="00687005">
        <w:t xml:space="preserve">sociocultural competence, </w:t>
      </w:r>
      <w:r>
        <w:t>and academic skills</w:t>
      </w:r>
      <w:r w:rsidR="003B69E5">
        <w:t xml:space="preserve"> in all school subjects</w:t>
      </w:r>
      <w:r>
        <w:t>.</w:t>
      </w:r>
      <w:r w:rsidR="008C5423">
        <w:t xml:space="preserve"> In the past few decades, a variety of program models have been implemented throughout the US</w:t>
      </w:r>
      <w:r w:rsidR="00681D94">
        <w:t xml:space="preserve"> and continue to expand</w:t>
      </w:r>
      <w:r w:rsidR="008C5423">
        <w:t>.</w:t>
      </w:r>
      <w:r w:rsidR="007F4A3F">
        <w:t xml:space="preserve"> Dual language programs </w:t>
      </w:r>
      <w:r w:rsidR="00681D94">
        <w:t>are currently implemented across</w:t>
      </w:r>
      <w:r w:rsidR="007F4A3F">
        <w:t xml:space="preserve"> </w:t>
      </w:r>
      <w:r w:rsidR="00D17AD4">
        <w:t>42</w:t>
      </w:r>
      <w:r w:rsidR="007F4A3F">
        <w:t xml:space="preserve"> states and the District of Columbia</w:t>
      </w:r>
      <w:r w:rsidR="00681D94">
        <w:t>;</w:t>
      </w:r>
      <w:r w:rsidR="007F4A3F">
        <w:t xml:space="preserve"> </w:t>
      </w:r>
      <w:r w:rsidR="00681D94">
        <w:t xml:space="preserve">further, the programs are gaining prominence </w:t>
      </w:r>
      <w:r w:rsidR="007F4A3F">
        <w:t xml:space="preserve">in </w:t>
      </w:r>
      <w:r w:rsidR="0029235B">
        <w:t>policy</w:t>
      </w:r>
      <w:r w:rsidR="007F4A3F">
        <w:t xml:space="preserve"> contexts </w:t>
      </w:r>
      <w:r w:rsidR="0029235B">
        <w:t>new to adopt</w:t>
      </w:r>
      <w:r w:rsidR="00681D94">
        <w:t>ing dual language education</w:t>
      </w:r>
      <w:r w:rsidR="0029235B">
        <w:t xml:space="preserve">, </w:t>
      </w:r>
      <w:r w:rsidR="007F4A3F">
        <w:t>such as Delaware (</w:t>
      </w:r>
      <w:r w:rsidR="00D17AD4">
        <w:t>Dual Language Schools</w:t>
      </w:r>
      <w:r w:rsidR="007F4A3F">
        <w:t>, 2020).</w:t>
      </w:r>
    </w:p>
    <w:p w14:paraId="654CC090" w14:textId="5C2FCF8B" w:rsidR="00B971EE" w:rsidRDefault="00D21B0F" w:rsidP="004B52F3">
      <w:pPr>
        <w:spacing w:line="480" w:lineRule="auto"/>
        <w:ind w:firstLine="720"/>
      </w:pPr>
      <w:r>
        <w:t>E</w:t>
      </w:r>
      <w:r w:rsidR="00B971EE">
        <w:t xml:space="preserve">arly waves of </w:t>
      </w:r>
      <w:r w:rsidR="00042B98">
        <w:t xml:space="preserve">correlational </w:t>
      </w:r>
      <w:r w:rsidR="00B971EE">
        <w:t xml:space="preserve">research </w:t>
      </w:r>
      <w:r>
        <w:t xml:space="preserve">suggest </w:t>
      </w:r>
      <w:r w:rsidR="007F4A3F">
        <w:t xml:space="preserve">that participation in dual language education is associated with higher achievement </w:t>
      </w:r>
      <w:r w:rsidR="00D17AD4">
        <w:t>(</w:t>
      </w:r>
      <w:r w:rsidR="007F4A3F">
        <w:t>Collier</w:t>
      </w:r>
      <w:r w:rsidR="00D17AD4">
        <w:t xml:space="preserve"> &amp; Thomas, 2017</w:t>
      </w:r>
      <w:r w:rsidR="007F4A3F">
        <w:t xml:space="preserve">). </w:t>
      </w:r>
      <w:r w:rsidR="005E4782">
        <w:t xml:space="preserve">Recent studies leveraged </w:t>
      </w:r>
      <w:r w:rsidR="00482C3F">
        <w:t xml:space="preserve">more </w:t>
      </w:r>
      <w:r w:rsidR="005E4782">
        <w:t>comprehensive sets of baseline characteristics to</w:t>
      </w:r>
      <w:r w:rsidR="00482C3F">
        <w:t xml:space="preserve"> compare the achievement of students in dual language to other programs</w:t>
      </w:r>
      <w:r w:rsidR="00343701">
        <w:t xml:space="preserve"> (e.g., Steele et al., 2017; Valentino &amp; Reardon, 2015)</w:t>
      </w:r>
      <w:r w:rsidR="00482C3F">
        <w:t xml:space="preserve"> and found that dual language students improve</w:t>
      </w:r>
      <w:r w:rsidR="00343701">
        <w:t>d</w:t>
      </w:r>
      <w:r w:rsidR="00482C3F">
        <w:t xml:space="preserve"> their achievement </w:t>
      </w:r>
      <w:r w:rsidR="00981E21">
        <w:t>status</w:t>
      </w:r>
      <w:r w:rsidR="00482C3F">
        <w:t xml:space="preserve"> more than other students</w:t>
      </w:r>
      <w:r w:rsidR="00343701">
        <w:t xml:space="preserve"> (i.e., relative positions among peers)</w:t>
      </w:r>
      <w:r w:rsidR="00482C3F">
        <w:t xml:space="preserve">. </w:t>
      </w:r>
      <w:r w:rsidR="00D17AD4">
        <w:t xml:space="preserve">A </w:t>
      </w:r>
      <w:r w:rsidR="00DF14A9">
        <w:t>major limitation to these studies is their lack of ability to model within-student growth</w:t>
      </w:r>
      <w:r w:rsidR="00343701">
        <w:t xml:space="preserve"> (i.e., how much the students </w:t>
      </w:r>
      <w:proofErr w:type="gramStart"/>
      <w:r w:rsidR="00343701">
        <w:t>actually learned</w:t>
      </w:r>
      <w:proofErr w:type="gramEnd"/>
      <w:r w:rsidR="00343701">
        <w:t>)</w:t>
      </w:r>
      <w:r w:rsidR="00DF14A9">
        <w:t xml:space="preserve">. Thus, we lack evidence on the relation between dual language education and growth trajectories within and across grades. </w:t>
      </w:r>
    </w:p>
    <w:p w14:paraId="3CF666FF" w14:textId="15F79E5A" w:rsidR="00626722" w:rsidRDefault="00DF14A9" w:rsidP="00626722">
      <w:pPr>
        <w:tabs>
          <w:tab w:val="left" w:pos="8166"/>
        </w:tabs>
        <w:spacing w:line="480" w:lineRule="auto"/>
        <w:ind w:firstLine="720"/>
      </w:pPr>
      <w:bookmarkStart w:id="0" w:name="_Hlk85121904"/>
      <w:r>
        <w:t xml:space="preserve">This </w:t>
      </w:r>
      <w:r w:rsidR="00116778">
        <w:t>paper</w:t>
      </w:r>
      <w:r w:rsidR="00D660DA">
        <w:t xml:space="preserve"> </w:t>
      </w:r>
      <w:r w:rsidR="00A931B6">
        <w:t xml:space="preserve">provides descriptive evidence to </w:t>
      </w:r>
      <w:r>
        <w:t>address</w:t>
      </w:r>
      <w:r w:rsidR="00F93297">
        <w:t xml:space="preserve"> </w:t>
      </w:r>
      <w:r>
        <w:t>this critical gap in the research.</w:t>
      </w:r>
      <w:r w:rsidR="000A414A">
        <w:t xml:space="preserve"> </w:t>
      </w:r>
      <w:bookmarkEnd w:id="0"/>
      <w:r w:rsidR="000A414A">
        <w:t xml:space="preserve">Applying a piecewise multilevel model to </w:t>
      </w:r>
      <w:r>
        <w:t>rich</w:t>
      </w:r>
      <w:r w:rsidR="000A414A">
        <w:t xml:space="preserve"> </w:t>
      </w:r>
      <w:r>
        <w:t>assessment data on a large sample of Hispanic</w:t>
      </w:r>
      <w:r w:rsidR="00F318A5">
        <w:rPr>
          <w:vertAlign w:val="superscript"/>
        </w:rPr>
        <w:t>1</w:t>
      </w:r>
      <w:r>
        <w:t xml:space="preserve"> students</w:t>
      </w:r>
      <w:r w:rsidR="000A414A">
        <w:t xml:space="preserve"> (N=</w:t>
      </w:r>
      <w:r w:rsidR="000256C0">
        <w:t>14,577</w:t>
      </w:r>
      <w:r w:rsidR="000A414A">
        <w:t>)</w:t>
      </w:r>
      <w:r w:rsidR="00687005">
        <w:t xml:space="preserve"> in a district in the Midwest</w:t>
      </w:r>
      <w:r>
        <w:t>,</w:t>
      </w:r>
      <w:r w:rsidR="000A414A" w:rsidRPr="000A414A">
        <w:t xml:space="preserve"> </w:t>
      </w:r>
      <w:r w:rsidR="000A414A">
        <w:t xml:space="preserve">I compare the math and </w:t>
      </w:r>
      <w:r w:rsidR="00687005">
        <w:t xml:space="preserve">English </w:t>
      </w:r>
      <w:r w:rsidR="000A414A">
        <w:t>reading growth rates of participants to nonparticipants</w:t>
      </w:r>
      <w:r w:rsidR="00D60706">
        <w:rPr>
          <w:vertAlign w:val="superscript"/>
        </w:rPr>
        <w:t>2</w:t>
      </w:r>
      <w:r w:rsidR="000A414A">
        <w:t xml:space="preserve"> of a dual language program. </w:t>
      </w:r>
      <w:r w:rsidR="00626722">
        <w:t>My research questions are:</w:t>
      </w:r>
    </w:p>
    <w:p w14:paraId="53DA1063" w14:textId="14E7E833" w:rsidR="00626722" w:rsidRDefault="00626722" w:rsidP="00626722">
      <w:pPr>
        <w:pStyle w:val="ListParagraph"/>
        <w:numPr>
          <w:ilvl w:val="0"/>
          <w:numId w:val="3"/>
        </w:numPr>
        <w:spacing w:line="480" w:lineRule="auto"/>
      </w:pPr>
      <w:r>
        <w:t xml:space="preserve">How do Hispanic dual language participants’ </w:t>
      </w:r>
      <w:r w:rsidR="00DB0471">
        <w:t xml:space="preserve">movements in </w:t>
      </w:r>
      <w:r>
        <w:t xml:space="preserve">achievement status across grades compare to </w:t>
      </w:r>
      <w:proofErr w:type="gramStart"/>
      <w:r>
        <w:t>nonparticipants’</w:t>
      </w:r>
      <w:proofErr w:type="gramEnd"/>
      <w:r>
        <w:t xml:space="preserve">? </w:t>
      </w:r>
    </w:p>
    <w:p w14:paraId="41964589" w14:textId="5895BC15" w:rsidR="00626722" w:rsidRDefault="00626722" w:rsidP="00626722">
      <w:pPr>
        <w:pStyle w:val="ListParagraph"/>
        <w:numPr>
          <w:ilvl w:val="0"/>
          <w:numId w:val="3"/>
        </w:numPr>
        <w:spacing w:line="480" w:lineRule="auto"/>
      </w:pPr>
      <w:r>
        <w:lastRenderedPageBreak/>
        <w:t xml:space="preserve">How does Hispanic dual language participants’ achievement growth within and across grades compare to </w:t>
      </w:r>
      <w:proofErr w:type="gramStart"/>
      <w:r>
        <w:t>nonparticipants’</w:t>
      </w:r>
      <w:proofErr w:type="gramEnd"/>
      <w:r>
        <w:t>?</w:t>
      </w:r>
    </w:p>
    <w:p w14:paraId="5F581EAF" w14:textId="20F3881D" w:rsidR="0051649A" w:rsidRDefault="000A414A" w:rsidP="0051649A">
      <w:pPr>
        <w:tabs>
          <w:tab w:val="left" w:pos="8166"/>
        </w:tabs>
        <w:spacing w:line="480" w:lineRule="auto"/>
        <w:ind w:firstLine="720"/>
      </w:pPr>
      <w:r>
        <w:t>This study</w:t>
      </w:r>
      <w:r w:rsidR="00D660DA">
        <w:t xml:space="preserve"> </w:t>
      </w:r>
      <w:r>
        <w:t xml:space="preserve">makes </w:t>
      </w:r>
      <w:r w:rsidR="00687005">
        <w:t xml:space="preserve">two </w:t>
      </w:r>
      <w:r>
        <w:t xml:space="preserve">important contributions. First, </w:t>
      </w:r>
      <w:r w:rsidR="00687005">
        <w:t>it</w:t>
      </w:r>
      <w:r>
        <w:t xml:space="preserve"> leverages </w:t>
      </w:r>
      <w:proofErr w:type="gramStart"/>
      <w:r>
        <w:t>vertically-scaled</w:t>
      </w:r>
      <w:proofErr w:type="gramEnd"/>
      <w:r>
        <w:t xml:space="preserve"> measures to </w:t>
      </w:r>
      <w:r w:rsidR="00470210">
        <w:t>report</w:t>
      </w:r>
      <w:r>
        <w:t xml:space="preserve"> the first estimates of within-</w:t>
      </w:r>
      <w:r w:rsidR="00B361B4">
        <w:t xml:space="preserve"> and across-year </w:t>
      </w:r>
      <w:r>
        <w:t xml:space="preserve">growth in the dual language education literature. I observe </w:t>
      </w:r>
      <w:r w:rsidR="00626722">
        <w:t xml:space="preserve">over </w:t>
      </w:r>
      <w:r w:rsidR="000256C0">
        <w:t>150</w:t>
      </w:r>
      <w:r>
        <w:t xml:space="preserve">,000 test scores </w:t>
      </w:r>
      <w:r w:rsidR="00880C36">
        <w:t xml:space="preserve">each in math and </w:t>
      </w:r>
      <w:r w:rsidR="00626722">
        <w:t xml:space="preserve">English </w:t>
      </w:r>
      <w:r w:rsidR="00880C36">
        <w:t>reading</w:t>
      </w:r>
      <w:r>
        <w:t>, measured in fall, winter, and spring of each academic year</w:t>
      </w:r>
      <w:r w:rsidR="00170428">
        <w:t xml:space="preserve"> from 2</w:t>
      </w:r>
      <w:r w:rsidR="00170428" w:rsidRPr="00170428">
        <w:rPr>
          <w:vertAlign w:val="superscript"/>
        </w:rPr>
        <w:t>nd</w:t>
      </w:r>
      <w:r w:rsidR="00170428">
        <w:t xml:space="preserve"> to 8</w:t>
      </w:r>
      <w:r w:rsidR="00170428" w:rsidRPr="00170428">
        <w:rPr>
          <w:vertAlign w:val="superscript"/>
        </w:rPr>
        <w:t>th</w:t>
      </w:r>
      <w:r w:rsidR="00170428">
        <w:t xml:space="preserve"> grade</w:t>
      </w:r>
      <w:r>
        <w:t xml:space="preserve">, at up to 20 time points per student. </w:t>
      </w:r>
      <w:r w:rsidR="00D660DA">
        <w:t>These unique data</w:t>
      </w:r>
      <w:r w:rsidR="00170428">
        <w:t xml:space="preserve"> </w:t>
      </w:r>
      <w:r w:rsidR="00D660DA">
        <w:t xml:space="preserve">allow me to estimate growth rates in each grade, as well as loss rates in summers after each grade, disaggregating seasonal patterns of learning unfound in dual language education research. Second, the study context is novel to the body of large-scale research studies on dual language education. </w:t>
      </w:r>
      <w:r w:rsidR="00C076B1">
        <w:t>Most e</w:t>
      </w:r>
      <w:r w:rsidR="00D660DA">
        <w:t xml:space="preserve">xtant </w:t>
      </w:r>
      <w:r w:rsidR="004E47F2">
        <w:t xml:space="preserve">studies </w:t>
      </w:r>
      <w:r w:rsidR="00D660DA">
        <w:t xml:space="preserve">addressed </w:t>
      </w:r>
      <w:r w:rsidR="004E47F2">
        <w:t xml:space="preserve">dual language </w:t>
      </w:r>
      <w:r w:rsidR="00D660DA">
        <w:t>programs</w:t>
      </w:r>
      <w:r w:rsidR="004E47F2">
        <w:t xml:space="preserve"> </w:t>
      </w:r>
      <w:r w:rsidR="00D660DA">
        <w:t>in California, North Carolina, Orego</w:t>
      </w:r>
      <w:r w:rsidR="004E47F2">
        <w:t>n</w:t>
      </w:r>
      <w:r w:rsidR="00C076B1">
        <w:t xml:space="preserve">, </w:t>
      </w:r>
      <w:r w:rsidR="004C4E76">
        <w:t xml:space="preserve">Texas, </w:t>
      </w:r>
      <w:r w:rsidR="00C076B1">
        <w:t>and Utah</w:t>
      </w:r>
      <w:r w:rsidR="004E47F2">
        <w:t xml:space="preserve">. </w:t>
      </w:r>
      <w:r w:rsidR="004E4B78">
        <w:t>I contribute</w:t>
      </w:r>
      <w:r w:rsidR="004E47F2">
        <w:t xml:space="preserve"> new evidence from a </w:t>
      </w:r>
      <w:r w:rsidR="00714C79">
        <w:t xml:space="preserve">policy context that was </w:t>
      </w:r>
      <w:r w:rsidR="00F92E46">
        <w:t xml:space="preserve">largely </w:t>
      </w:r>
      <w:r w:rsidR="00714C79">
        <w:t>unexplored</w:t>
      </w:r>
      <w:r w:rsidR="00F92E46">
        <w:t xml:space="preserve"> in previous </w:t>
      </w:r>
      <w:r w:rsidR="00116778">
        <w:t>work</w:t>
      </w:r>
      <w:r w:rsidR="00714C79">
        <w:t xml:space="preserve">. </w:t>
      </w:r>
      <w:bookmarkStart w:id="1" w:name="_Hlk85548266"/>
      <w:r w:rsidR="0051649A">
        <w:t>Unlike the recent experimental and quasi-experimental papers, this study is descriptive and does not aim to estimate the causal impact of dual language education. Instead, it extends the literature by providing novel evidence on seasonal patterns of learning for multilingual students across the elementary and middle grades.</w:t>
      </w:r>
    </w:p>
    <w:p w14:paraId="39B975CF" w14:textId="18E95968" w:rsidR="00F318A5" w:rsidRDefault="00F318A5" w:rsidP="00F318A5">
      <w:pPr>
        <w:tabs>
          <w:tab w:val="left" w:pos="8166"/>
        </w:tabs>
        <w:spacing w:line="480" w:lineRule="auto"/>
        <w:rPr>
          <w:b/>
          <w:bCs/>
        </w:rPr>
      </w:pPr>
      <w:r w:rsidRPr="00F318A5">
        <w:rPr>
          <w:b/>
          <w:bCs/>
        </w:rPr>
        <w:t>Positionality Statement</w:t>
      </w:r>
    </w:p>
    <w:p w14:paraId="4B179D0F" w14:textId="4625B128" w:rsidR="00F318A5" w:rsidRPr="00F20120" w:rsidRDefault="00F318A5" w:rsidP="00F20120">
      <w:pPr>
        <w:spacing w:line="480" w:lineRule="auto"/>
        <w:ind w:firstLine="720"/>
        <w:rPr>
          <w:rFonts w:cs="Times New Roman"/>
          <w:szCs w:val="24"/>
        </w:rPr>
      </w:pPr>
      <w:bookmarkStart w:id="2" w:name="_Hlk139269328"/>
      <w:r>
        <w:rPr>
          <w:rFonts w:cs="Times New Roman"/>
          <w:szCs w:val="24"/>
        </w:rPr>
        <w:t>Researchers</w:t>
      </w:r>
      <w:r w:rsidRPr="00824D47">
        <w:rPr>
          <w:rFonts w:cs="Times New Roman"/>
          <w:szCs w:val="24"/>
        </w:rPr>
        <w:t xml:space="preserve"> are in a position of power and privilege from which we can contribute to disrupting systemic oppression and reframing research for the benefit of all students. </w:t>
      </w:r>
      <w:r w:rsidRPr="00824D47">
        <w:rPr>
          <w:rFonts w:cs="Times New Roman"/>
          <w:szCs w:val="24"/>
          <w:shd w:val="clear" w:color="auto" w:fill="FFFFFF"/>
        </w:rPr>
        <w:t>Positionality represents the researcher’s world view in relation to the social and political context of the research and affects every phase</w:t>
      </w:r>
      <w:r w:rsidR="00981E21">
        <w:rPr>
          <w:rFonts w:cs="Times New Roman"/>
          <w:szCs w:val="24"/>
          <w:shd w:val="clear" w:color="auto" w:fill="FFFFFF"/>
        </w:rPr>
        <w:t xml:space="preserve"> of the research process. </w:t>
      </w:r>
      <w:r>
        <w:rPr>
          <w:rFonts w:cs="Times New Roman"/>
          <w:szCs w:val="24"/>
        </w:rPr>
        <w:t>I am</w:t>
      </w:r>
      <w:r w:rsidRPr="00824D47">
        <w:rPr>
          <w:rFonts w:cs="Times New Roman"/>
          <w:szCs w:val="24"/>
        </w:rPr>
        <w:t xml:space="preserve"> a first-generation immigrant and a former English Learner (EL)</w:t>
      </w:r>
      <w:r w:rsidR="00D60706">
        <w:rPr>
          <w:rFonts w:cs="Times New Roman"/>
          <w:szCs w:val="24"/>
          <w:vertAlign w:val="superscript"/>
        </w:rPr>
        <w:t>3</w:t>
      </w:r>
      <w:r w:rsidRPr="00824D47">
        <w:rPr>
          <w:rFonts w:cs="Times New Roman"/>
          <w:szCs w:val="24"/>
        </w:rPr>
        <w:t xml:space="preserve">. As a student who received and then exited EL services in US public schools, </w:t>
      </w:r>
      <w:r>
        <w:rPr>
          <w:rFonts w:cs="Times New Roman"/>
          <w:szCs w:val="24"/>
        </w:rPr>
        <w:t>I</w:t>
      </w:r>
      <w:r w:rsidRPr="00824D47">
        <w:rPr>
          <w:rFonts w:cs="Times New Roman"/>
          <w:szCs w:val="24"/>
        </w:rPr>
        <w:t xml:space="preserve"> attended both </w:t>
      </w:r>
      <w:proofErr w:type="gramStart"/>
      <w:r w:rsidRPr="00824D47">
        <w:rPr>
          <w:rFonts w:cs="Times New Roman"/>
          <w:szCs w:val="24"/>
        </w:rPr>
        <w:t>fully-segregated</w:t>
      </w:r>
      <w:proofErr w:type="gramEnd"/>
      <w:r w:rsidRPr="00824D47">
        <w:rPr>
          <w:rFonts w:cs="Times New Roman"/>
          <w:szCs w:val="24"/>
        </w:rPr>
        <w:t xml:space="preserve"> and English-only instructional environments. </w:t>
      </w:r>
      <w:r>
        <w:rPr>
          <w:rFonts w:cs="Times New Roman"/>
          <w:szCs w:val="24"/>
        </w:rPr>
        <w:lastRenderedPageBreak/>
        <w:t>My</w:t>
      </w:r>
      <w:r w:rsidRPr="00824D47">
        <w:rPr>
          <w:rFonts w:cs="Times New Roman"/>
          <w:szCs w:val="24"/>
        </w:rPr>
        <w:t xml:space="preserve"> research is </w:t>
      </w:r>
      <w:r>
        <w:rPr>
          <w:rFonts w:cs="Times New Roman"/>
          <w:szCs w:val="24"/>
        </w:rPr>
        <w:t xml:space="preserve">also </w:t>
      </w:r>
      <w:proofErr w:type="gramStart"/>
      <w:r w:rsidRPr="00824D47">
        <w:rPr>
          <w:rFonts w:cs="Times New Roman"/>
          <w:szCs w:val="24"/>
        </w:rPr>
        <w:t>informed</w:t>
      </w:r>
      <w:proofErr w:type="gramEnd"/>
      <w:r w:rsidRPr="00824D47">
        <w:rPr>
          <w:rFonts w:cs="Times New Roman"/>
          <w:szCs w:val="24"/>
        </w:rPr>
        <w:t xml:space="preserve"> and</w:t>
      </w:r>
      <w:r>
        <w:rPr>
          <w:rFonts w:cs="Times New Roman"/>
          <w:szCs w:val="24"/>
        </w:rPr>
        <w:t xml:space="preserve"> my</w:t>
      </w:r>
      <w:r w:rsidRPr="00824D47">
        <w:rPr>
          <w:rFonts w:cs="Times New Roman"/>
          <w:szCs w:val="24"/>
        </w:rPr>
        <w:t xml:space="preserve"> perspective shaped by a decade of training and practice as an </w:t>
      </w:r>
      <w:r>
        <w:rPr>
          <w:rFonts w:cs="Times New Roman"/>
          <w:szCs w:val="24"/>
        </w:rPr>
        <w:t>English as a Second Language</w:t>
      </w:r>
      <w:r w:rsidRPr="00824D47">
        <w:rPr>
          <w:rFonts w:cs="Times New Roman"/>
          <w:szCs w:val="24"/>
        </w:rPr>
        <w:t xml:space="preserve"> instructor in higher education and an English proficiency test developer. </w:t>
      </w:r>
      <w:r>
        <w:rPr>
          <w:rFonts w:cs="Times New Roman"/>
          <w:szCs w:val="24"/>
        </w:rPr>
        <w:t xml:space="preserve">I </w:t>
      </w:r>
      <w:r w:rsidRPr="00824D47">
        <w:rPr>
          <w:rFonts w:cs="Times New Roman"/>
          <w:szCs w:val="24"/>
        </w:rPr>
        <w:t>acknowledge</w:t>
      </w:r>
      <w:r>
        <w:rPr>
          <w:rFonts w:cs="Times New Roman"/>
          <w:szCs w:val="24"/>
        </w:rPr>
        <w:t xml:space="preserve"> </w:t>
      </w:r>
      <w:r w:rsidRPr="00824D47">
        <w:rPr>
          <w:rFonts w:cs="Times New Roman"/>
          <w:szCs w:val="24"/>
        </w:rPr>
        <w:t xml:space="preserve">that </w:t>
      </w:r>
      <w:r>
        <w:rPr>
          <w:rFonts w:cs="Times New Roman"/>
          <w:szCs w:val="24"/>
        </w:rPr>
        <w:t xml:space="preserve">my </w:t>
      </w:r>
      <w:r w:rsidRPr="00824D47">
        <w:rPr>
          <w:rFonts w:cs="Times New Roman"/>
          <w:szCs w:val="24"/>
        </w:rPr>
        <w:t xml:space="preserve">views are influenced by privileges associated with </w:t>
      </w:r>
      <w:r w:rsidR="00981E21">
        <w:rPr>
          <w:rFonts w:cs="Times New Roman"/>
          <w:szCs w:val="24"/>
        </w:rPr>
        <w:t xml:space="preserve">my </w:t>
      </w:r>
      <w:r w:rsidRPr="00824D47">
        <w:rPr>
          <w:rFonts w:cs="Times New Roman"/>
          <w:szCs w:val="24"/>
        </w:rPr>
        <w:t>US citizenship</w:t>
      </w:r>
      <w:r>
        <w:rPr>
          <w:rFonts w:cs="Times New Roman"/>
          <w:szCs w:val="24"/>
        </w:rPr>
        <w:t xml:space="preserve"> </w:t>
      </w:r>
      <w:r w:rsidRPr="00824D47">
        <w:rPr>
          <w:rFonts w:cs="Times New Roman"/>
          <w:szCs w:val="24"/>
        </w:rPr>
        <w:t xml:space="preserve">and non-disabled status. </w:t>
      </w:r>
      <w:bookmarkEnd w:id="2"/>
    </w:p>
    <w:bookmarkEnd w:id="1"/>
    <w:p w14:paraId="71B2C0A0" w14:textId="529DFF1B" w:rsidR="00B54FEB" w:rsidRPr="00E709A9" w:rsidRDefault="002B7BDF" w:rsidP="0051649A">
      <w:pPr>
        <w:spacing w:line="480" w:lineRule="auto"/>
        <w:ind w:firstLine="720"/>
        <w:jc w:val="center"/>
        <w:rPr>
          <w:b/>
          <w:bCs/>
        </w:rPr>
      </w:pPr>
      <w:r>
        <w:rPr>
          <w:b/>
          <w:bCs/>
        </w:rPr>
        <w:t>Dual Language Program Features</w:t>
      </w:r>
    </w:p>
    <w:p w14:paraId="10B92DE2" w14:textId="77777777" w:rsidR="006B497F" w:rsidRDefault="00C52D4D" w:rsidP="004B52F3">
      <w:pPr>
        <w:spacing w:line="480" w:lineRule="auto"/>
        <w:ind w:firstLine="720"/>
      </w:pPr>
      <w:r>
        <w:t xml:space="preserve">The central feature of dual language programs is the provision of </w:t>
      </w:r>
      <w:r w:rsidR="00513600">
        <w:t>literacy and content</w:t>
      </w:r>
      <w:r>
        <w:t xml:space="preserve"> instruction in both English and a partner language such as Spanish</w:t>
      </w:r>
      <w:r w:rsidR="00513600">
        <w:t xml:space="preserve"> for promoting bilingualism, biliteracy, grade-level academic achievement, and sociocultural competencies (Howard et al., 2018)</w:t>
      </w:r>
      <w:r w:rsidR="00BF22DD">
        <w:t>.</w:t>
      </w:r>
      <w:r w:rsidR="00B769D0">
        <w:t xml:space="preserve"> Two-way dual language programs enroll a mix of native users of English and native users of the partner language, with the idea that the two groups of students would model languages for each other. One-way programs use both English and the partner language to teach native users of the partner language. </w:t>
      </w:r>
    </w:p>
    <w:p w14:paraId="58F96368" w14:textId="29F0C84D" w:rsidR="002B7BDF" w:rsidRPr="006B497F" w:rsidRDefault="006B497F" w:rsidP="006B497F">
      <w:pPr>
        <w:spacing w:line="480" w:lineRule="auto"/>
        <w:ind w:firstLine="720"/>
      </w:pPr>
      <w:r>
        <w:t>Students who are developing English proficiency, to whom federal education policy refer as ELs, are an important target population for b</w:t>
      </w:r>
      <w:r w:rsidR="00B769D0">
        <w:t>oth two-way and one-way programs</w:t>
      </w:r>
      <w:r>
        <w:t>.</w:t>
      </w:r>
      <w:bookmarkStart w:id="3" w:name="_Hlk139521951"/>
      <w:r>
        <w:t xml:space="preserve"> Though the current study’s population of interest includes both non-ELs and ELs, I highlight below the theoretical framework linking dual language education to EL student achievement, as ELs tend to constitute a considerable portion of students in most dual language programs. </w:t>
      </w:r>
      <w:r w:rsidR="002B7BDF">
        <w:rPr>
          <w:rFonts w:cs="Times New Roman"/>
          <w:szCs w:val="24"/>
        </w:rPr>
        <w:t xml:space="preserve">In dual language programs, </w:t>
      </w:r>
      <w:r w:rsidR="002B7BDF" w:rsidRPr="00216567">
        <w:rPr>
          <w:rFonts w:cs="Times New Roman"/>
          <w:szCs w:val="24"/>
        </w:rPr>
        <w:t>EL</w:t>
      </w:r>
      <w:r w:rsidR="002B7BDF">
        <w:rPr>
          <w:rFonts w:cs="Times New Roman"/>
          <w:szCs w:val="24"/>
        </w:rPr>
        <w:t xml:space="preserve">s receive </w:t>
      </w:r>
      <w:r w:rsidR="002B7BDF" w:rsidRPr="00216567">
        <w:rPr>
          <w:rFonts w:cs="Times New Roman"/>
          <w:szCs w:val="24"/>
        </w:rPr>
        <w:t xml:space="preserve">home language </w:t>
      </w:r>
      <w:r w:rsidR="002B7BDF">
        <w:rPr>
          <w:rFonts w:cs="Times New Roman"/>
          <w:szCs w:val="24"/>
        </w:rPr>
        <w:t xml:space="preserve">support in content learning </w:t>
      </w:r>
      <w:r w:rsidR="002B7BDF" w:rsidRPr="00216567">
        <w:rPr>
          <w:rFonts w:cs="Times New Roman"/>
          <w:szCs w:val="24"/>
        </w:rPr>
        <w:t xml:space="preserve">for an extended duration. Transfer theory </w:t>
      </w:r>
      <w:r w:rsidR="002B7BDF">
        <w:rPr>
          <w:rFonts w:cs="Times New Roman"/>
          <w:szCs w:val="24"/>
        </w:rPr>
        <w:t xml:space="preserve">and underlying proficiency theory </w:t>
      </w:r>
      <w:r w:rsidR="002B7BDF" w:rsidRPr="00216567">
        <w:rPr>
          <w:rFonts w:cs="Times New Roman"/>
          <w:szCs w:val="24"/>
        </w:rPr>
        <w:t xml:space="preserve">explain that students </w:t>
      </w:r>
      <w:r w:rsidR="00AA1DB7">
        <w:rPr>
          <w:rFonts w:cs="Times New Roman"/>
          <w:szCs w:val="24"/>
        </w:rPr>
        <w:t xml:space="preserve">who are developing English proficiency </w:t>
      </w:r>
      <w:r w:rsidR="002B7BDF" w:rsidRPr="00216567">
        <w:rPr>
          <w:rFonts w:cs="Times New Roman"/>
          <w:szCs w:val="24"/>
        </w:rPr>
        <w:t>acquire literacy and academic concepts more easily in their home language than in English, and when they learn new concepts, the knowledge is added to their</w:t>
      </w:r>
      <w:r w:rsidR="002B7BDF">
        <w:rPr>
          <w:rFonts w:cs="Times New Roman"/>
          <w:szCs w:val="24"/>
        </w:rPr>
        <w:t xml:space="preserve"> </w:t>
      </w:r>
      <w:r w:rsidR="002B7BDF" w:rsidRPr="00216567">
        <w:rPr>
          <w:rFonts w:cs="Times New Roman"/>
          <w:szCs w:val="24"/>
        </w:rPr>
        <w:t>repertoire of skills and transferred to English</w:t>
      </w:r>
      <w:r w:rsidR="00FC3AED">
        <w:rPr>
          <w:rFonts w:cs="Times New Roman"/>
          <w:szCs w:val="24"/>
        </w:rPr>
        <w:t xml:space="preserve"> </w:t>
      </w:r>
      <w:r w:rsidR="00FC3AED" w:rsidRPr="00216567">
        <w:rPr>
          <w:rFonts w:cs="Times New Roman"/>
          <w:szCs w:val="24"/>
        </w:rPr>
        <w:t>(</w:t>
      </w:r>
      <w:r w:rsidR="00FC3AED">
        <w:rPr>
          <w:rFonts w:cs="Times New Roman"/>
          <w:szCs w:val="24"/>
        </w:rPr>
        <w:t>August &amp; Shanahan, 2006; Cummins, 1979</w:t>
      </w:r>
      <w:r w:rsidR="00FC3AED" w:rsidRPr="000046A7">
        <w:rPr>
          <w:rFonts w:cs="Times New Roman"/>
          <w:szCs w:val="24"/>
        </w:rPr>
        <w:t>; Goldenberg, 2008</w:t>
      </w:r>
      <w:r w:rsidR="00FC3AED" w:rsidRPr="00216567">
        <w:rPr>
          <w:rFonts w:cs="Times New Roman"/>
          <w:szCs w:val="24"/>
        </w:rPr>
        <w:t>)</w:t>
      </w:r>
      <w:r w:rsidR="002B7BDF" w:rsidRPr="00216567">
        <w:rPr>
          <w:rFonts w:cs="Times New Roman"/>
          <w:szCs w:val="24"/>
        </w:rPr>
        <w:t xml:space="preserve">. </w:t>
      </w:r>
      <w:r w:rsidR="00FC3AED">
        <w:rPr>
          <w:rFonts w:cs="Times New Roman"/>
          <w:szCs w:val="24"/>
        </w:rPr>
        <w:t xml:space="preserve">More recently, Phillips Galloway et al. (2020) found that core academic language skills in </w:t>
      </w:r>
      <w:r w:rsidR="00FC3AED">
        <w:rPr>
          <w:rFonts w:cs="Times New Roman"/>
          <w:szCs w:val="24"/>
        </w:rPr>
        <w:lastRenderedPageBreak/>
        <w:t xml:space="preserve">the </w:t>
      </w:r>
      <w:r w:rsidR="00AA1DB7">
        <w:rPr>
          <w:rFonts w:cs="Times New Roman"/>
          <w:szCs w:val="24"/>
        </w:rPr>
        <w:t xml:space="preserve">home </w:t>
      </w:r>
      <w:r w:rsidR="00FC3AED">
        <w:rPr>
          <w:rFonts w:cs="Times New Roman"/>
          <w:szCs w:val="24"/>
        </w:rPr>
        <w:t>language</w:t>
      </w:r>
      <w:r w:rsidR="00AA1DB7">
        <w:rPr>
          <w:rFonts w:cs="Times New Roman"/>
          <w:szCs w:val="24"/>
        </w:rPr>
        <w:t xml:space="preserve"> and in English</w:t>
      </w:r>
      <w:r w:rsidR="00FC3AED">
        <w:rPr>
          <w:rFonts w:cs="Times New Roman"/>
          <w:szCs w:val="24"/>
        </w:rPr>
        <w:t xml:space="preserve"> are positively related, suggesting that bilingual learners </w:t>
      </w:r>
      <w:proofErr w:type="gramStart"/>
      <w:r w:rsidR="00FC3AED">
        <w:rPr>
          <w:rFonts w:cs="Times New Roman"/>
          <w:szCs w:val="24"/>
        </w:rPr>
        <w:t>are able to</w:t>
      </w:r>
      <w:proofErr w:type="gramEnd"/>
      <w:r w:rsidR="00FC3AED">
        <w:rPr>
          <w:rFonts w:cs="Times New Roman"/>
          <w:szCs w:val="24"/>
        </w:rPr>
        <w:t xml:space="preserve"> leverage knowledge of shared communicative functions across languages and have greater opportunity for developing insights into how languages work. </w:t>
      </w:r>
      <w:r w:rsidR="002B7BDF" w:rsidRPr="00216567">
        <w:rPr>
          <w:rFonts w:cs="Times New Roman"/>
          <w:szCs w:val="24"/>
        </w:rPr>
        <w:t>Ultimately, students</w:t>
      </w:r>
      <w:r w:rsidR="00AA1DB7">
        <w:rPr>
          <w:rFonts w:cs="Times New Roman"/>
          <w:szCs w:val="24"/>
        </w:rPr>
        <w:t xml:space="preserve"> in dual language programs</w:t>
      </w:r>
      <w:r w:rsidR="002B7BDF" w:rsidRPr="00216567">
        <w:rPr>
          <w:rFonts w:cs="Times New Roman"/>
          <w:szCs w:val="24"/>
        </w:rPr>
        <w:t xml:space="preserve"> gain literacy</w:t>
      </w:r>
      <w:r w:rsidR="002B7BDF">
        <w:rPr>
          <w:rFonts w:cs="Times New Roman"/>
          <w:szCs w:val="24"/>
        </w:rPr>
        <w:t xml:space="preserve"> and academic skills</w:t>
      </w:r>
      <w:r w:rsidR="002B7BDF" w:rsidRPr="00216567">
        <w:rPr>
          <w:rFonts w:cs="Times New Roman"/>
          <w:szCs w:val="24"/>
        </w:rPr>
        <w:t xml:space="preserve"> in both English and their home language. </w:t>
      </w:r>
      <w:bookmarkStart w:id="4" w:name="_Hlk139275276"/>
      <w:r w:rsidR="002B7BDF" w:rsidRPr="00216567">
        <w:rPr>
          <w:rFonts w:cs="Times New Roman"/>
          <w:szCs w:val="24"/>
        </w:rPr>
        <w:t xml:space="preserve">However, </w:t>
      </w:r>
      <w:r w:rsidR="00A16CE2">
        <w:rPr>
          <w:rFonts w:cs="Times New Roman"/>
          <w:szCs w:val="24"/>
        </w:rPr>
        <w:t xml:space="preserve">initial exposure to English in dual language programs is reduced </w:t>
      </w:r>
      <w:r w:rsidR="00AA1DB7">
        <w:rPr>
          <w:rFonts w:cs="Times New Roman"/>
          <w:szCs w:val="24"/>
        </w:rPr>
        <w:t xml:space="preserve">(e.g., typically 10% </w:t>
      </w:r>
      <w:r w:rsidR="00981E21">
        <w:rPr>
          <w:rFonts w:cs="Times New Roman"/>
          <w:szCs w:val="24"/>
        </w:rPr>
        <w:t>to</w:t>
      </w:r>
      <w:r w:rsidR="00AA1DB7">
        <w:rPr>
          <w:rFonts w:cs="Times New Roman"/>
          <w:szCs w:val="24"/>
        </w:rPr>
        <w:t xml:space="preserve"> 50% of instruction in English) </w:t>
      </w:r>
      <w:r w:rsidR="00A16CE2">
        <w:rPr>
          <w:rFonts w:cs="Times New Roman"/>
          <w:szCs w:val="24"/>
        </w:rPr>
        <w:t>relative to English-only or English-dominant instruction; thus</w:t>
      </w:r>
      <w:r w:rsidR="002B7BDF" w:rsidRPr="002B7BDF">
        <w:rPr>
          <w:rFonts w:cs="Times New Roman"/>
          <w:szCs w:val="24"/>
        </w:rPr>
        <w:t xml:space="preserve">, we might expect EL students in </w:t>
      </w:r>
      <w:r w:rsidR="002B7BDF">
        <w:rPr>
          <w:rFonts w:cs="Times New Roman"/>
          <w:szCs w:val="24"/>
        </w:rPr>
        <w:t>dual language programs</w:t>
      </w:r>
      <w:r w:rsidR="002B7BDF" w:rsidRPr="002B7BDF">
        <w:rPr>
          <w:rFonts w:cs="Times New Roman"/>
          <w:szCs w:val="24"/>
        </w:rPr>
        <w:t xml:space="preserve"> to outperform their EL peers in other instructional services in </w:t>
      </w:r>
      <w:r w:rsidR="00A16CE2">
        <w:rPr>
          <w:rFonts w:cs="Times New Roman"/>
          <w:szCs w:val="24"/>
        </w:rPr>
        <w:t xml:space="preserve">English </w:t>
      </w:r>
      <w:r w:rsidR="002B7BDF" w:rsidRPr="002B7BDF">
        <w:rPr>
          <w:rFonts w:cs="Times New Roman"/>
          <w:szCs w:val="24"/>
        </w:rPr>
        <w:t>reading and academic content not immediately but in the long run</w:t>
      </w:r>
      <w:r w:rsidR="002B7BDF">
        <w:rPr>
          <w:rFonts w:cs="Times New Roman"/>
          <w:szCs w:val="24"/>
        </w:rPr>
        <w:t xml:space="preserve"> (Valentino &amp; Reardon, 2015)</w:t>
      </w:r>
      <w:r w:rsidR="002B7BDF" w:rsidRPr="002B7BDF">
        <w:rPr>
          <w:rFonts w:cs="Times New Roman"/>
          <w:szCs w:val="24"/>
        </w:rPr>
        <w:t xml:space="preserve">. </w:t>
      </w:r>
    </w:p>
    <w:bookmarkEnd w:id="3"/>
    <w:bookmarkEnd w:id="4"/>
    <w:p w14:paraId="0561F757" w14:textId="6003A5ED" w:rsidR="0038471B" w:rsidRPr="002B7BDF" w:rsidRDefault="0038471B" w:rsidP="0038471B">
      <w:pPr>
        <w:autoSpaceDE w:val="0"/>
        <w:autoSpaceDN w:val="0"/>
        <w:adjustRightInd w:val="0"/>
        <w:spacing w:line="480" w:lineRule="auto"/>
        <w:ind w:firstLine="720"/>
        <w:rPr>
          <w:rFonts w:cs="Times New Roman"/>
          <w:szCs w:val="24"/>
        </w:rPr>
      </w:pPr>
      <w:r w:rsidRPr="00216567">
        <w:rPr>
          <w:rFonts w:cs="Times New Roman"/>
          <w:szCs w:val="24"/>
        </w:rPr>
        <w:t xml:space="preserve">In addition, </w:t>
      </w:r>
      <w:r>
        <w:rPr>
          <w:rFonts w:cs="Times New Roman"/>
          <w:szCs w:val="24"/>
        </w:rPr>
        <w:t>dual language programs</w:t>
      </w:r>
      <w:r w:rsidRPr="00216567">
        <w:rPr>
          <w:rFonts w:cs="Times New Roman"/>
          <w:szCs w:val="24"/>
        </w:rPr>
        <w:t xml:space="preserve"> can elevate the social status of the partner language </w:t>
      </w:r>
      <w:r>
        <w:rPr>
          <w:rFonts w:cs="Times New Roman"/>
          <w:szCs w:val="24"/>
        </w:rPr>
        <w:t>and</w:t>
      </w:r>
      <w:r w:rsidRPr="00216567">
        <w:rPr>
          <w:rFonts w:cs="Times New Roman"/>
          <w:szCs w:val="24"/>
        </w:rPr>
        <w:t xml:space="preserve"> boost</w:t>
      </w:r>
      <w:r>
        <w:rPr>
          <w:rFonts w:cs="Times New Roman"/>
          <w:szCs w:val="24"/>
        </w:rPr>
        <w:t xml:space="preserve"> ELs’ </w:t>
      </w:r>
      <w:r w:rsidRPr="00216567">
        <w:rPr>
          <w:rFonts w:cs="Times New Roman"/>
          <w:szCs w:val="24"/>
        </w:rPr>
        <w:t>academic expectations and success</w:t>
      </w:r>
      <w:r>
        <w:rPr>
          <w:rFonts w:cs="Times New Roman"/>
          <w:szCs w:val="24"/>
        </w:rPr>
        <w:t xml:space="preserve"> (</w:t>
      </w:r>
      <w:r w:rsidRPr="00634723">
        <w:rPr>
          <w:rFonts w:cs="Times New Roman"/>
          <w:szCs w:val="24"/>
        </w:rPr>
        <w:t>Garcia, 2002</w:t>
      </w:r>
      <w:r w:rsidR="00BF3346" w:rsidRPr="00634723">
        <w:rPr>
          <w:rFonts w:cs="Times New Roman"/>
          <w:szCs w:val="24"/>
        </w:rPr>
        <w:t xml:space="preserve">; </w:t>
      </w:r>
      <w:proofErr w:type="spellStart"/>
      <w:r w:rsidR="00BF3346" w:rsidRPr="00634723">
        <w:rPr>
          <w:rFonts w:cs="Times New Roman"/>
          <w:szCs w:val="24"/>
        </w:rPr>
        <w:t>Hult</w:t>
      </w:r>
      <w:proofErr w:type="spellEnd"/>
      <w:r w:rsidR="00BF3346" w:rsidRPr="00634723">
        <w:rPr>
          <w:rFonts w:cs="Times New Roman"/>
          <w:szCs w:val="24"/>
        </w:rPr>
        <w:t xml:space="preserve"> &amp; Hornberger, 2016</w:t>
      </w:r>
      <w:r w:rsidR="00634723" w:rsidRPr="00634723">
        <w:rPr>
          <w:rFonts w:cs="Times New Roman"/>
          <w:szCs w:val="24"/>
        </w:rPr>
        <w:t>;</w:t>
      </w:r>
      <w:r w:rsidR="00634723">
        <w:rPr>
          <w:rFonts w:cs="Times New Roman"/>
          <w:szCs w:val="24"/>
        </w:rPr>
        <w:t xml:space="preserve"> Ruiz, 1984</w:t>
      </w:r>
      <w:r>
        <w:rPr>
          <w:rFonts w:cs="Times New Roman"/>
          <w:szCs w:val="24"/>
        </w:rPr>
        <w:t>)</w:t>
      </w:r>
      <w:r w:rsidRPr="00216567">
        <w:rPr>
          <w:rFonts w:cs="Times New Roman"/>
          <w:szCs w:val="24"/>
        </w:rPr>
        <w:t xml:space="preserve">. </w:t>
      </w:r>
      <w:r>
        <w:rPr>
          <w:rFonts w:cs="Times New Roman"/>
          <w:szCs w:val="24"/>
        </w:rPr>
        <w:t>Dual language programs</w:t>
      </w:r>
      <w:r w:rsidRPr="00216567">
        <w:rPr>
          <w:rFonts w:cs="Times New Roman"/>
          <w:szCs w:val="24"/>
        </w:rPr>
        <w:t xml:space="preserve"> can re</w:t>
      </w:r>
      <w:r>
        <w:rPr>
          <w:rFonts w:cs="Times New Roman"/>
          <w:szCs w:val="24"/>
        </w:rPr>
        <w:t>fram</w:t>
      </w:r>
      <w:r w:rsidRPr="00216567">
        <w:rPr>
          <w:rFonts w:cs="Times New Roman"/>
          <w:szCs w:val="24"/>
        </w:rPr>
        <w:t>e students’ status from “English Learner” to “native users of the partner language</w:t>
      </w:r>
      <w:r>
        <w:rPr>
          <w:rFonts w:cs="Times New Roman"/>
          <w:szCs w:val="24"/>
        </w:rPr>
        <w:t>,</w:t>
      </w:r>
      <w:r w:rsidRPr="00216567">
        <w:rPr>
          <w:rFonts w:cs="Times New Roman"/>
          <w:szCs w:val="24"/>
        </w:rPr>
        <w:t xml:space="preserve">” undoing negative effects </w:t>
      </w:r>
      <w:r>
        <w:rPr>
          <w:rFonts w:cs="Times New Roman"/>
          <w:szCs w:val="24"/>
        </w:rPr>
        <w:t xml:space="preserve">of </w:t>
      </w:r>
      <w:r w:rsidRPr="00216567">
        <w:rPr>
          <w:rFonts w:cs="Times New Roman"/>
          <w:szCs w:val="24"/>
        </w:rPr>
        <w:t xml:space="preserve">the EL label </w:t>
      </w:r>
      <w:r>
        <w:rPr>
          <w:rFonts w:cs="Times New Roman"/>
          <w:szCs w:val="24"/>
        </w:rPr>
        <w:t xml:space="preserve">on students’ outcomes </w:t>
      </w:r>
      <w:r w:rsidRPr="00216567">
        <w:rPr>
          <w:rFonts w:cs="Times New Roman"/>
          <w:szCs w:val="24"/>
        </w:rPr>
        <w:t xml:space="preserve">(Umansky, 2016). In the case of two-way </w:t>
      </w:r>
      <w:r>
        <w:rPr>
          <w:rFonts w:cs="Times New Roman"/>
          <w:szCs w:val="24"/>
        </w:rPr>
        <w:t>dual language programs</w:t>
      </w:r>
      <w:r w:rsidRPr="00216567">
        <w:rPr>
          <w:rFonts w:cs="Times New Roman"/>
          <w:szCs w:val="24"/>
        </w:rPr>
        <w:t>, the placement of emergent and native</w:t>
      </w:r>
      <w:r>
        <w:rPr>
          <w:rFonts w:cs="Times New Roman"/>
          <w:szCs w:val="24"/>
        </w:rPr>
        <w:t xml:space="preserve"> </w:t>
      </w:r>
      <w:r w:rsidRPr="00216567">
        <w:rPr>
          <w:rFonts w:cs="Times New Roman"/>
          <w:szCs w:val="24"/>
        </w:rPr>
        <w:t xml:space="preserve">English users in the same classroom can reduce linguistic and academic segregation. As a result, EL students in </w:t>
      </w:r>
      <w:r>
        <w:rPr>
          <w:rFonts w:cs="Times New Roman"/>
          <w:szCs w:val="24"/>
        </w:rPr>
        <w:t xml:space="preserve">dual language programs </w:t>
      </w:r>
      <w:r w:rsidRPr="00216567">
        <w:rPr>
          <w:rFonts w:cs="Times New Roman"/>
          <w:szCs w:val="24"/>
        </w:rPr>
        <w:t xml:space="preserve">can be exposed to higher-quality academic discourse </w:t>
      </w:r>
      <w:r w:rsidR="00A71791">
        <w:rPr>
          <w:rFonts w:cs="Times New Roman"/>
          <w:szCs w:val="24"/>
        </w:rPr>
        <w:t xml:space="preserve">in English </w:t>
      </w:r>
      <w:r w:rsidRPr="00216567">
        <w:rPr>
          <w:rFonts w:cs="Times New Roman"/>
          <w:szCs w:val="24"/>
        </w:rPr>
        <w:t xml:space="preserve">than they would in </w:t>
      </w:r>
      <w:r>
        <w:rPr>
          <w:rFonts w:cs="Times New Roman"/>
          <w:szCs w:val="24"/>
        </w:rPr>
        <w:t xml:space="preserve">EL-only </w:t>
      </w:r>
      <w:r w:rsidRPr="00216567">
        <w:rPr>
          <w:rFonts w:cs="Times New Roman"/>
          <w:szCs w:val="24"/>
        </w:rPr>
        <w:t>classrooms</w:t>
      </w:r>
      <w:r>
        <w:rPr>
          <w:rFonts w:cs="Times New Roman"/>
          <w:szCs w:val="24"/>
        </w:rPr>
        <w:t xml:space="preserve">. </w:t>
      </w:r>
      <w:r>
        <w:t xml:space="preserve">As the population of </w:t>
      </w:r>
      <w:r w:rsidR="00A71791">
        <w:t xml:space="preserve">EL </w:t>
      </w:r>
      <w:r>
        <w:t xml:space="preserve">students in the US continues to grow, dual language programs offer a potentially effective approach to addressing their academic needs. </w:t>
      </w:r>
    </w:p>
    <w:p w14:paraId="16AB457B" w14:textId="01C1B782" w:rsidR="00D95B7A" w:rsidRDefault="006E7520" w:rsidP="004B52F3">
      <w:pPr>
        <w:spacing w:line="480" w:lineRule="auto"/>
        <w:ind w:firstLine="720"/>
      </w:pPr>
      <w:r>
        <w:t>However, dual language program design</w:t>
      </w:r>
      <w:r w:rsidR="00DF616A">
        <w:t xml:space="preserve"> and implementation, and consequently program quality, </w:t>
      </w:r>
      <w:r>
        <w:t>vary greatly by context (</w:t>
      </w:r>
      <w:r w:rsidR="00B932D5">
        <w:t>Howard et al., 2018</w:t>
      </w:r>
      <w:r>
        <w:t xml:space="preserve">). </w:t>
      </w:r>
      <w:r w:rsidR="00DF616A">
        <w:t>A range of f</w:t>
      </w:r>
      <w:r w:rsidR="000205E6">
        <w:t>actors crucial to program quality and student achievement</w:t>
      </w:r>
      <w:r w:rsidR="00DF616A">
        <w:t xml:space="preserve"> differ across programs</w:t>
      </w:r>
      <w:r w:rsidR="000205E6">
        <w:t xml:space="preserve">, such as the proportion of instruction allocated to each language (e.g., 90:10 or 50:50), the academic subjects taught in each language, </w:t>
      </w:r>
      <w:r w:rsidR="000205E6">
        <w:lastRenderedPageBreak/>
        <w:t>the language proficiencies of its teachers, and curriculum materials (Vald</w:t>
      </w:r>
      <w:r w:rsidR="00EB14B6">
        <w:t>é</w:t>
      </w:r>
      <w:r w:rsidR="000205E6">
        <w:t xml:space="preserve">s, 2017). </w:t>
      </w:r>
      <w:bookmarkStart w:id="5" w:name="_Hlk139521620"/>
      <w:r w:rsidR="005932AF">
        <w:t xml:space="preserve">Many </w:t>
      </w:r>
      <w:r w:rsidR="00AA1DB7">
        <w:t xml:space="preserve">dual language </w:t>
      </w:r>
      <w:r w:rsidR="005932AF">
        <w:t xml:space="preserve">programs phase out partner language instruction </w:t>
      </w:r>
      <w:r w:rsidR="00AA1DB7">
        <w:t>after elementary school, with only one or two courses taught in the partner language starting in middle school</w:t>
      </w:r>
      <w:r w:rsidR="00B932D5">
        <w:t xml:space="preserve">. </w:t>
      </w:r>
      <w:bookmarkEnd w:id="5"/>
      <w:r w:rsidR="00B932D5">
        <w:t>A</w:t>
      </w:r>
      <w:r w:rsidR="005932AF">
        <w:t xml:space="preserve">s a result, students </w:t>
      </w:r>
      <w:r w:rsidR="006C0067">
        <w:t xml:space="preserve">(EL or non-EL) </w:t>
      </w:r>
      <w:r w:rsidR="005932AF">
        <w:t xml:space="preserve">may develop </w:t>
      </w:r>
      <w:r w:rsidR="00CB122C">
        <w:t xml:space="preserve">interpersonal communication </w:t>
      </w:r>
      <w:r w:rsidR="0025309D">
        <w:t xml:space="preserve">proficiency </w:t>
      </w:r>
      <w:r w:rsidR="005932AF">
        <w:t>in the partner language but have limited</w:t>
      </w:r>
      <w:r w:rsidR="00C52D4D">
        <w:t xml:space="preserve"> </w:t>
      </w:r>
      <w:r w:rsidR="005932AF">
        <w:t xml:space="preserve">opportunity to develop </w:t>
      </w:r>
      <w:r w:rsidR="0025309D">
        <w:t xml:space="preserve">academic </w:t>
      </w:r>
      <w:r w:rsidR="00CB122C">
        <w:t xml:space="preserve">partner </w:t>
      </w:r>
      <w:r w:rsidR="0025309D">
        <w:t>language</w:t>
      </w:r>
      <w:r w:rsidR="006E480D">
        <w:t xml:space="preserve"> skills</w:t>
      </w:r>
      <w:r w:rsidR="0025309D">
        <w:t xml:space="preserve"> </w:t>
      </w:r>
      <w:r w:rsidR="005932AF">
        <w:t xml:space="preserve">or apply partner language proficiency in the learning of academic subjects. </w:t>
      </w:r>
    </w:p>
    <w:p w14:paraId="18F731AE" w14:textId="7476EFFA" w:rsidR="0001548E" w:rsidRPr="0001548E" w:rsidRDefault="0001548E" w:rsidP="0001548E">
      <w:pPr>
        <w:spacing w:line="480" w:lineRule="auto"/>
        <w:jc w:val="center"/>
        <w:rPr>
          <w:b/>
          <w:bCs/>
        </w:rPr>
      </w:pPr>
      <w:r>
        <w:rPr>
          <w:b/>
          <w:bCs/>
        </w:rPr>
        <w:t>Dual Language and Academic Achievement</w:t>
      </w:r>
    </w:p>
    <w:p w14:paraId="4A016950" w14:textId="2B338C51" w:rsidR="002B7BDF" w:rsidRDefault="00D95B7A" w:rsidP="004B52F3">
      <w:pPr>
        <w:spacing w:line="480" w:lineRule="auto"/>
        <w:ind w:firstLine="720"/>
      </w:pPr>
      <w:r>
        <w:t xml:space="preserve">A mature line of descriptive studies documented positive correlations between participation in dual language programs and academic achievement (see </w:t>
      </w:r>
      <w:r w:rsidR="007736B1">
        <w:t xml:space="preserve">Bialystok, 2018 and </w:t>
      </w:r>
      <w:r>
        <w:t>Howard et al., 2018 for review</w:t>
      </w:r>
      <w:r w:rsidR="007736B1">
        <w:t>s</w:t>
      </w:r>
      <w:r>
        <w:t>). Generally,</w:t>
      </w:r>
      <w:r w:rsidR="0076285B">
        <w:t xml:space="preserve"> research has found that</w:t>
      </w:r>
      <w:r>
        <w:t xml:space="preserve"> longer program duration (at least six years of partner language instruction) is associated with better downstream achievement outcomes for ELs</w:t>
      </w:r>
      <w:r w:rsidR="00DD1F0D">
        <w:t xml:space="preserve"> and non-ELs</w:t>
      </w:r>
      <w:r>
        <w:t xml:space="preserve">. </w:t>
      </w:r>
      <w:r w:rsidR="006C0067">
        <w:t>A</w:t>
      </w:r>
      <w:r w:rsidR="002B7BDF">
        <w:t>cross a large body of work, Collier and Thomas used multivariate regression to compare the achievement of dual language students with students in other programs, such as E</w:t>
      </w:r>
      <w:r w:rsidR="009B1294">
        <w:t>nglish as a Second Language</w:t>
      </w:r>
      <w:r w:rsidR="002B7BDF">
        <w:t xml:space="preserve"> and short-term home language education. In a recent review, they summarized this work by stating that they found dual language programs complete</w:t>
      </w:r>
      <w:r w:rsidR="00981E21">
        <w:t>ly</w:t>
      </w:r>
      <w:r w:rsidR="002B7BDF">
        <w:t xml:space="preserve"> closed the achievement gap between ELs and English-proficient students, with effect sizes twice as large as those of other programs (</w:t>
      </w:r>
      <w:r w:rsidR="00A71791">
        <w:t xml:space="preserve">Collier &amp; Thomas, </w:t>
      </w:r>
      <w:r w:rsidR="002B7BDF">
        <w:t xml:space="preserve">2017). In a series of studies focused on </w:t>
      </w:r>
      <w:r w:rsidR="00DD1F0D">
        <w:t xml:space="preserve">EL and non-EL students in </w:t>
      </w:r>
      <w:r w:rsidR="002B7BDF">
        <w:t>schools in California, Lindholm-Leary and colleagues reported that Latin</w:t>
      </w:r>
      <w:r w:rsidR="00DD1F0D">
        <w:t>x</w:t>
      </w:r>
      <w:r w:rsidR="002B7BDF">
        <w:t xml:space="preserve"> students in dual language programs performed better than Latin</w:t>
      </w:r>
      <w:r w:rsidR="00DD1F0D">
        <w:t>x</w:t>
      </w:r>
      <w:r w:rsidR="002B7BDF">
        <w:t xml:space="preserve"> students in mainstream classes (e.g., Lindholm-Leary &amp; Block, 2010; Lindholm-Leary &amp; Hernández, 2011). However, many of the early studies either insufficiently addressed selection bias or used test scores that violated the assumption of vertical scaling. </w:t>
      </w:r>
    </w:p>
    <w:p w14:paraId="6BB1FC68" w14:textId="5191333C" w:rsidR="007C293B" w:rsidRDefault="00EC36C9" w:rsidP="00EC36C9">
      <w:pPr>
        <w:spacing w:line="480" w:lineRule="auto"/>
        <w:ind w:firstLine="720"/>
      </w:pPr>
      <w:r>
        <w:lastRenderedPageBreak/>
        <w:t>Three</w:t>
      </w:r>
      <w:r w:rsidR="002B7BDF">
        <w:t xml:space="preserve"> recent</w:t>
      </w:r>
      <w:r w:rsidR="00D95B7A">
        <w:t xml:space="preserve"> studies </w:t>
      </w:r>
      <w:r w:rsidR="002B7BDF">
        <w:t xml:space="preserve">leveraged rigorous experimental and quasi-experimental designs to provide robust estimates on the relation between dual language program participation and academic achievement. </w:t>
      </w:r>
      <w:r w:rsidR="007C293B">
        <w:t xml:space="preserve">Steele </w:t>
      </w:r>
      <w:r w:rsidR="00B255AD">
        <w:t>and colleagues</w:t>
      </w:r>
      <w:r w:rsidR="007C293B">
        <w:t xml:space="preserve"> (2017)</w:t>
      </w:r>
      <w:r w:rsidR="00B255AD">
        <w:t xml:space="preserve"> conducted a randomized experiment in Portland, Oregon, using a lottery to assign kindergarten students to a dual language immersion program. They found positive intent-to-treat effects on reading achievement in 5</w:t>
      </w:r>
      <w:r w:rsidR="00B255AD" w:rsidRPr="00B255AD">
        <w:rPr>
          <w:vertAlign w:val="superscript"/>
        </w:rPr>
        <w:t>th</w:t>
      </w:r>
      <w:r w:rsidR="00B255AD">
        <w:t xml:space="preserve"> (.13 standard deviations (SDs)</w:t>
      </w:r>
      <w:proofErr w:type="gramStart"/>
      <w:r w:rsidR="00B255AD">
        <w:t>)</w:t>
      </w:r>
      <w:proofErr w:type="gramEnd"/>
      <w:r w:rsidR="00B255AD">
        <w:t xml:space="preserve"> and 8</w:t>
      </w:r>
      <w:r w:rsidR="00B255AD" w:rsidRPr="00B255AD">
        <w:rPr>
          <w:vertAlign w:val="superscript"/>
        </w:rPr>
        <w:t>th</w:t>
      </w:r>
      <w:r w:rsidR="00B255AD">
        <w:t xml:space="preserve"> grade (.22 SDs) but no effect on math achievement</w:t>
      </w:r>
      <w:r w:rsidR="00DD1F0D">
        <w:t xml:space="preserve"> for ELs and non-ELs</w:t>
      </w:r>
      <w:r w:rsidR="00B255AD">
        <w:t xml:space="preserve">. </w:t>
      </w:r>
      <w:proofErr w:type="spellStart"/>
      <w:r>
        <w:t>Bibler</w:t>
      </w:r>
      <w:proofErr w:type="spellEnd"/>
      <w:r>
        <w:t xml:space="preserve"> (202</w:t>
      </w:r>
      <w:r w:rsidR="001E257A">
        <w:t>1</w:t>
      </w:r>
      <w:r>
        <w:t>) used school-choice lottery data from Charlotte Mecklenburg School District and found that attending a dual language school increased math and reading achievement by 0.04 and 0.05 SD per year, respectively</w:t>
      </w:r>
      <w:r w:rsidR="00DD1F0D">
        <w:t>, and that the</w:t>
      </w:r>
      <w:r w:rsidR="002B09AD">
        <w:t xml:space="preserve"> promising </w:t>
      </w:r>
      <w:r w:rsidR="00DD1F0D">
        <w:t>results applied to ELs and non-ELs alike</w:t>
      </w:r>
      <w:r>
        <w:t xml:space="preserve">. </w:t>
      </w:r>
      <w:r w:rsidR="007C293B">
        <w:t xml:space="preserve">Valentino </w:t>
      </w:r>
      <w:r w:rsidR="00B255AD">
        <w:t xml:space="preserve">and </w:t>
      </w:r>
      <w:r w:rsidR="007C293B">
        <w:t xml:space="preserve">Reardon (2015) </w:t>
      </w:r>
      <w:r w:rsidR="00B255AD">
        <w:t xml:space="preserve">applied multilevel modeling to achievement data from a district in California </w:t>
      </w:r>
      <w:r w:rsidR="00623D72">
        <w:t xml:space="preserve">to examine the rate of change in standardized achievement measures across grade levels. Controlling for an extensive list of covariates, including parent program preference, they </w:t>
      </w:r>
      <w:r w:rsidR="002622EB">
        <w:t xml:space="preserve">compared the </w:t>
      </w:r>
      <w:r w:rsidR="00676FDD">
        <w:t xml:space="preserve">spring </w:t>
      </w:r>
      <w:r w:rsidR="002B7BDF">
        <w:t>California Standards Test (CST)</w:t>
      </w:r>
      <w:r w:rsidR="00676FDD">
        <w:t xml:space="preserve"> scores</w:t>
      </w:r>
      <w:r w:rsidR="002622EB">
        <w:t xml:space="preserve"> of </w:t>
      </w:r>
      <w:r w:rsidR="000872A2">
        <w:t>ELs</w:t>
      </w:r>
      <w:r w:rsidR="002622EB">
        <w:t xml:space="preserve"> who enrolled in dual language immersion to students in three other language programs.</w:t>
      </w:r>
      <w:r w:rsidR="00623D72">
        <w:t xml:space="preserve"> The study found that in terms of SD units of </w:t>
      </w:r>
      <w:r w:rsidR="003602E0">
        <w:t xml:space="preserve">reading </w:t>
      </w:r>
      <w:r w:rsidR="00623D72">
        <w:t>achievement scores, ELs in dual language immersion start</w:t>
      </w:r>
      <w:r w:rsidR="00676FDD">
        <w:t>ed</w:t>
      </w:r>
      <w:r w:rsidR="00623D72">
        <w:t xml:space="preserve"> the lowest among all programs in 2</w:t>
      </w:r>
      <w:r w:rsidR="00623D72" w:rsidRPr="00623D72">
        <w:rPr>
          <w:vertAlign w:val="superscript"/>
        </w:rPr>
        <w:t>nd</w:t>
      </w:r>
      <w:r w:rsidR="00623D72">
        <w:t xml:space="preserve"> grade but experienced the </w:t>
      </w:r>
      <w:r w:rsidR="00676FDD">
        <w:t>most</w:t>
      </w:r>
      <w:r w:rsidR="00623D72">
        <w:t xml:space="preserve"> gains between 2</w:t>
      </w:r>
      <w:r w:rsidR="00623D72" w:rsidRPr="00623D72">
        <w:rPr>
          <w:vertAlign w:val="superscript"/>
        </w:rPr>
        <w:t>nd</w:t>
      </w:r>
      <w:r w:rsidR="00623D72">
        <w:t xml:space="preserve"> and 7</w:t>
      </w:r>
      <w:r w:rsidR="00623D72" w:rsidRPr="00623D72">
        <w:rPr>
          <w:vertAlign w:val="superscript"/>
        </w:rPr>
        <w:t>th</w:t>
      </w:r>
      <w:r w:rsidR="00623D72">
        <w:t xml:space="preserve"> grade.</w:t>
      </w:r>
    </w:p>
    <w:p w14:paraId="07CDFD5E" w14:textId="2C7AF565" w:rsidR="0001548E" w:rsidRPr="0001548E" w:rsidRDefault="0001548E" w:rsidP="0001548E">
      <w:pPr>
        <w:spacing w:line="480" w:lineRule="auto"/>
        <w:rPr>
          <w:b/>
          <w:bCs/>
        </w:rPr>
      </w:pPr>
      <w:r w:rsidRPr="0001548E">
        <w:rPr>
          <w:b/>
          <w:bCs/>
        </w:rPr>
        <w:t>The Need to Examine Growth and Seasonal Learning</w:t>
      </w:r>
    </w:p>
    <w:p w14:paraId="4A5CB252" w14:textId="4DC79E66" w:rsidR="007E6DB0" w:rsidRPr="006F4644" w:rsidRDefault="00785B0E" w:rsidP="004B52F3">
      <w:pPr>
        <w:spacing w:line="480" w:lineRule="auto"/>
        <w:ind w:firstLine="720"/>
        <w:rPr>
          <w:b/>
          <w:bCs/>
        </w:rPr>
      </w:pPr>
      <w:r>
        <w:t>Taken together,</w:t>
      </w:r>
      <w:r w:rsidR="009016B7">
        <w:t xml:space="preserve"> </w:t>
      </w:r>
      <w:r>
        <w:t>extant</w:t>
      </w:r>
      <w:r w:rsidR="009016B7">
        <w:t xml:space="preserve"> research </w:t>
      </w:r>
      <w:r>
        <w:t xml:space="preserve">on dual language programs </w:t>
      </w:r>
      <w:r w:rsidR="009016B7">
        <w:t>provided evidenc</w:t>
      </w:r>
      <w:r w:rsidR="00BF03BD">
        <w:t>e on student</w:t>
      </w:r>
      <w:r w:rsidR="002B7BDF">
        <w:t>s’</w:t>
      </w:r>
      <w:r w:rsidR="00BF03BD">
        <w:t xml:space="preserve"> achievement</w:t>
      </w:r>
      <w:r w:rsidR="002B7BDF">
        <w:t xml:space="preserve"> status</w:t>
      </w:r>
      <w:r w:rsidR="00BF03BD">
        <w:t>. However, the</w:t>
      </w:r>
      <w:r w:rsidR="009016B7">
        <w:t xml:space="preserve"> studies faced key limitations in modeling academic </w:t>
      </w:r>
      <w:r w:rsidR="009016B7" w:rsidRPr="002B7BDF">
        <w:rPr>
          <w:i/>
          <w:iCs/>
        </w:rPr>
        <w:t>growth</w:t>
      </w:r>
      <w:r w:rsidR="009016B7">
        <w:t xml:space="preserve"> over time. </w:t>
      </w:r>
      <w:r w:rsidR="009E6E4C">
        <w:t>In most study contexts, the test was not vertically</w:t>
      </w:r>
      <w:r w:rsidR="0051649A">
        <w:t xml:space="preserve"> </w:t>
      </w:r>
      <w:r w:rsidR="009E6E4C">
        <w:t xml:space="preserve">scaled; as a result, scale scores could not be compared across grade levels. </w:t>
      </w:r>
      <w:r w:rsidR="00264D19">
        <w:t xml:space="preserve">Valentino and Reardon (2015) </w:t>
      </w:r>
      <w:r w:rsidR="002B7BDF">
        <w:t xml:space="preserve">addressed this by </w:t>
      </w:r>
      <w:r w:rsidR="001C69FE">
        <w:t xml:space="preserve">comparing students’ movement in achievement </w:t>
      </w:r>
      <w:r w:rsidR="00FF654F">
        <w:t>status</w:t>
      </w:r>
      <w:r w:rsidR="001C69FE">
        <w:t xml:space="preserve"> relative to grade-level peers</w:t>
      </w:r>
      <w:r w:rsidR="00264D19">
        <w:t xml:space="preserve">. </w:t>
      </w:r>
      <w:r w:rsidR="007E6DB0">
        <w:t xml:space="preserve">But </w:t>
      </w:r>
      <w:r w:rsidR="0089626B">
        <w:t>this approach does not allow us to examine</w:t>
      </w:r>
      <w:r w:rsidR="007E6DB0">
        <w:t xml:space="preserve"> within-student growth. </w:t>
      </w:r>
      <w:r w:rsidR="0089626B">
        <w:t>W</w:t>
      </w:r>
      <w:r w:rsidR="007E6DB0">
        <w:t xml:space="preserve">hen a student moves up in rank, </w:t>
      </w:r>
      <w:r w:rsidR="007E6DB0">
        <w:lastRenderedPageBreak/>
        <w:t xml:space="preserve">we assume but cannot be sure of the direction or amount of academic growth. In other words, the rank approach simply presents </w:t>
      </w:r>
      <w:r w:rsidR="001C69FE">
        <w:t>relative</w:t>
      </w:r>
      <w:r w:rsidR="007E6DB0">
        <w:t xml:space="preserve"> order but lacks the information to describe magnitude or meaning between any two points of interest. </w:t>
      </w:r>
      <w:r w:rsidR="007E6DB0" w:rsidRPr="00B253CC">
        <w:rPr>
          <w:rFonts w:cs="Times New Roman"/>
          <w:szCs w:val="24"/>
        </w:rPr>
        <w:t xml:space="preserve">When we see a student move up the ranks, her new position does </w:t>
      </w:r>
      <w:r w:rsidR="007E6DB0">
        <w:rPr>
          <w:rFonts w:cs="Times New Roman"/>
          <w:szCs w:val="24"/>
        </w:rPr>
        <w:t>not confirm learning</w:t>
      </w:r>
      <w:r w:rsidR="007E6DB0" w:rsidRPr="00B253CC">
        <w:rPr>
          <w:rFonts w:cs="Times New Roman"/>
          <w:szCs w:val="24"/>
        </w:rPr>
        <w:t xml:space="preserve">. </w:t>
      </w:r>
      <w:r w:rsidR="007E6DB0">
        <w:rPr>
          <w:rFonts w:cs="Times New Roman"/>
          <w:szCs w:val="24"/>
        </w:rPr>
        <w:t xml:space="preserve">Maybe her peers grew, and she grew more; or </w:t>
      </w:r>
      <w:r w:rsidR="007E6DB0" w:rsidRPr="00B253CC">
        <w:rPr>
          <w:rFonts w:cs="Times New Roman"/>
          <w:szCs w:val="24"/>
        </w:rPr>
        <w:t>perhaps she stayed the same while her peers lost learning</w:t>
      </w:r>
      <w:r w:rsidR="007E6DB0">
        <w:rPr>
          <w:rFonts w:cs="Times New Roman"/>
          <w:szCs w:val="24"/>
        </w:rPr>
        <w:t>; s</w:t>
      </w:r>
      <w:r w:rsidR="007E6DB0" w:rsidRPr="00B253CC">
        <w:rPr>
          <w:rFonts w:cs="Times New Roman"/>
          <w:szCs w:val="24"/>
        </w:rPr>
        <w:t>he might have even lost some learning but move</w:t>
      </w:r>
      <w:r w:rsidR="007E6DB0">
        <w:rPr>
          <w:rFonts w:cs="Times New Roman"/>
          <w:szCs w:val="24"/>
        </w:rPr>
        <w:t>d</w:t>
      </w:r>
      <w:r w:rsidR="007E6DB0" w:rsidRPr="00B253CC">
        <w:rPr>
          <w:rFonts w:cs="Times New Roman"/>
          <w:szCs w:val="24"/>
        </w:rPr>
        <w:t xml:space="preserve"> up the ranks because her peers lost more. As such, analysis of </w:t>
      </w:r>
      <w:r w:rsidR="007E6DB0">
        <w:rPr>
          <w:rFonts w:cs="Times New Roman"/>
          <w:szCs w:val="24"/>
        </w:rPr>
        <w:t>relative status</w:t>
      </w:r>
      <w:r w:rsidR="007E6DB0" w:rsidRPr="00B253CC">
        <w:rPr>
          <w:rFonts w:cs="Times New Roman"/>
          <w:szCs w:val="24"/>
        </w:rPr>
        <w:t xml:space="preserve"> </w:t>
      </w:r>
      <w:r w:rsidR="007E6DB0">
        <w:rPr>
          <w:rFonts w:cs="Times New Roman"/>
          <w:szCs w:val="24"/>
        </w:rPr>
        <w:t>does not capture</w:t>
      </w:r>
      <w:r w:rsidR="007E6DB0" w:rsidRPr="00B253CC">
        <w:rPr>
          <w:rFonts w:cs="Times New Roman"/>
          <w:szCs w:val="24"/>
        </w:rPr>
        <w:t xml:space="preserve"> within-student growth patterns contributing to t</w:t>
      </w:r>
      <w:r w:rsidR="007E6DB0">
        <w:rPr>
          <w:rFonts w:cs="Times New Roman"/>
          <w:szCs w:val="24"/>
        </w:rPr>
        <w:t xml:space="preserve">he achievement </w:t>
      </w:r>
      <w:r w:rsidR="007E6DB0" w:rsidRPr="00B253CC">
        <w:rPr>
          <w:rFonts w:cs="Times New Roman"/>
          <w:szCs w:val="24"/>
        </w:rPr>
        <w:t>gaps.</w:t>
      </w:r>
      <w:r w:rsidR="0089626B">
        <w:rPr>
          <w:rFonts w:cs="Times New Roman"/>
          <w:szCs w:val="24"/>
        </w:rPr>
        <w:t xml:space="preserve"> </w:t>
      </w:r>
    </w:p>
    <w:p w14:paraId="1385BA4C" w14:textId="3C468148" w:rsidR="006C0067" w:rsidRDefault="00941DF1" w:rsidP="00892059">
      <w:pPr>
        <w:spacing w:line="480" w:lineRule="auto"/>
        <w:ind w:firstLine="720"/>
        <w:rPr>
          <w:rFonts w:cs="Times New Roman"/>
          <w:szCs w:val="24"/>
          <w:shd w:val="clear" w:color="auto" w:fill="FFFFFF"/>
        </w:rPr>
      </w:pPr>
      <w:r>
        <w:t>In addition, the extant research relies on scores from annual standardized testing. As a result, we lack information about within-year growth between fall and spring and about summer learning growth or loss.</w:t>
      </w:r>
      <w:r w:rsidR="007E6DB0">
        <w:t xml:space="preserve"> </w:t>
      </w:r>
      <w:r w:rsidR="0089626B">
        <w:t xml:space="preserve">For example, </w:t>
      </w:r>
      <w:proofErr w:type="spellStart"/>
      <w:r w:rsidR="0089626B">
        <w:t>Alvaer</w:t>
      </w:r>
      <w:proofErr w:type="spellEnd"/>
      <w:r w:rsidR="0089626B">
        <w:t xml:space="preserve"> (2019) used </w:t>
      </w:r>
      <w:proofErr w:type="gramStart"/>
      <w:r w:rsidR="0089626B">
        <w:t>vertically-scaled</w:t>
      </w:r>
      <w:proofErr w:type="gramEnd"/>
      <w:r w:rsidR="0089626B">
        <w:t xml:space="preserve"> measures of Spanish reading and found that </w:t>
      </w:r>
      <w:r w:rsidR="00DD1F0D">
        <w:t>within a kindergarten cohort of Latin</w:t>
      </w:r>
      <w:r w:rsidR="00892059">
        <w:t>x</w:t>
      </w:r>
      <w:r w:rsidR="00DD1F0D">
        <w:t xml:space="preserve"> EL students, </w:t>
      </w:r>
      <w:r w:rsidR="0089626B">
        <w:t>dual language students grew at similar rates as students in short-term bilingual programs between kindergarten and 3</w:t>
      </w:r>
      <w:r w:rsidR="0089626B" w:rsidRPr="0089626B">
        <w:rPr>
          <w:vertAlign w:val="superscript"/>
        </w:rPr>
        <w:t>rd</w:t>
      </w:r>
      <w:r w:rsidR="0089626B">
        <w:t xml:space="preserve"> grade. Since this study used annual assessment data, it is impossible to identify </w:t>
      </w:r>
      <w:r w:rsidR="00EC36C9">
        <w:t xml:space="preserve">within-year patterns that contributed to this finding. </w:t>
      </w:r>
      <w:r w:rsidR="007E6DB0">
        <w:t xml:space="preserve">Variations in patterns of learning by grade level and season are well-documented in recent </w:t>
      </w:r>
      <w:r w:rsidR="007E6DB0" w:rsidRPr="00C573F9">
        <w:t>research (</w:t>
      </w:r>
      <w:r w:rsidR="007E6DB0">
        <w:t xml:space="preserve">Kuhfeld, 2019; </w:t>
      </w:r>
      <w:r w:rsidR="007E6DB0" w:rsidRPr="00C573F9">
        <w:rPr>
          <w:rFonts w:cs="Times New Roman"/>
          <w:szCs w:val="24"/>
          <w:shd w:val="clear" w:color="auto" w:fill="FFFFFF"/>
        </w:rPr>
        <w:t xml:space="preserve">von Hippel &amp; </w:t>
      </w:r>
      <w:proofErr w:type="spellStart"/>
      <w:r w:rsidR="007E6DB0" w:rsidRPr="00C573F9">
        <w:rPr>
          <w:rFonts w:cs="Times New Roman"/>
          <w:szCs w:val="24"/>
          <w:shd w:val="clear" w:color="auto" w:fill="FFFFFF"/>
        </w:rPr>
        <w:t>Hamrock</w:t>
      </w:r>
      <w:proofErr w:type="spellEnd"/>
      <w:r w:rsidR="007E6DB0" w:rsidRPr="00C573F9">
        <w:rPr>
          <w:rFonts w:cs="Times New Roman"/>
          <w:szCs w:val="24"/>
          <w:shd w:val="clear" w:color="auto" w:fill="FFFFFF"/>
        </w:rPr>
        <w:t>, 2019). Learning gains during the school year tend to be followed by stagnation or loss during the summer</w:t>
      </w:r>
      <w:r w:rsidR="00892059">
        <w:rPr>
          <w:rFonts w:cs="Times New Roman"/>
          <w:szCs w:val="24"/>
          <w:shd w:val="clear" w:color="auto" w:fill="FFFFFF"/>
        </w:rPr>
        <w:t xml:space="preserve">; this pattern applies </w:t>
      </w:r>
      <w:r w:rsidR="000C39ED">
        <w:rPr>
          <w:rFonts w:cs="Times New Roman"/>
          <w:szCs w:val="24"/>
          <w:shd w:val="clear" w:color="auto" w:fill="FFFFFF"/>
        </w:rPr>
        <w:t>across student groups</w:t>
      </w:r>
      <w:r w:rsidR="00892059">
        <w:rPr>
          <w:rFonts w:cs="Times New Roman"/>
          <w:szCs w:val="24"/>
          <w:shd w:val="clear" w:color="auto" w:fill="FFFFFF"/>
        </w:rPr>
        <w:t xml:space="preserve">. </w:t>
      </w:r>
    </w:p>
    <w:p w14:paraId="436C62E3" w14:textId="739AC508" w:rsidR="00892059" w:rsidRDefault="00892059" w:rsidP="00892059">
      <w:pPr>
        <w:spacing w:line="480" w:lineRule="auto"/>
        <w:ind w:firstLine="720"/>
      </w:pPr>
      <w:r>
        <w:rPr>
          <w:rFonts w:cs="Times New Roman"/>
          <w:szCs w:val="24"/>
          <w:shd w:val="clear" w:color="auto" w:fill="FFFFFF"/>
        </w:rPr>
        <w:t>I</w:t>
      </w:r>
      <w:r w:rsidR="007E6DB0">
        <w:rPr>
          <w:rFonts w:cs="Times New Roman"/>
          <w:szCs w:val="24"/>
          <w:shd w:val="clear" w:color="auto" w:fill="FFFFFF"/>
        </w:rPr>
        <w:t>nferences on the effectiveness of teachers and school programs appear to be sensitive to the inclusion of summers (</w:t>
      </w:r>
      <w:proofErr w:type="spellStart"/>
      <w:r w:rsidR="007E6DB0">
        <w:rPr>
          <w:rFonts w:cs="Times New Roman"/>
          <w:szCs w:val="24"/>
          <w:shd w:val="clear" w:color="auto" w:fill="FFFFFF"/>
        </w:rPr>
        <w:t>Atteberry</w:t>
      </w:r>
      <w:proofErr w:type="spellEnd"/>
      <w:r w:rsidR="007E6DB0">
        <w:rPr>
          <w:rFonts w:cs="Times New Roman"/>
          <w:szCs w:val="24"/>
          <w:shd w:val="clear" w:color="auto" w:fill="FFFFFF"/>
        </w:rPr>
        <w:t xml:space="preserve"> &amp; Mangan, 2020)</w:t>
      </w:r>
      <w:r>
        <w:rPr>
          <w:rFonts w:cs="Times New Roman"/>
          <w:szCs w:val="24"/>
          <w:shd w:val="clear" w:color="auto" w:fill="FFFFFF"/>
        </w:rPr>
        <w:t xml:space="preserve">, which </w:t>
      </w:r>
      <w:r w:rsidR="007E6DB0" w:rsidRPr="00C573F9">
        <w:rPr>
          <w:rFonts w:cs="Times New Roman"/>
          <w:szCs w:val="24"/>
          <w:shd w:val="clear" w:color="auto" w:fill="FFFFFF"/>
        </w:rPr>
        <w:t>means that estimating a single effect size for each year masks important differences in seasonal learning rates.</w:t>
      </w:r>
      <w:r>
        <w:rPr>
          <w:rFonts w:cs="Times New Roman"/>
          <w:szCs w:val="24"/>
          <w:shd w:val="clear" w:color="auto" w:fill="FFFFFF"/>
        </w:rPr>
        <w:t xml:space="preserve"> </w:t>
      </w:r>
      <w:r w:rsidR="008C763D">
        <w:t xml:space="preserve">In exploring </w:t>
      </w:r>
      <w:r w:rsidR="000C39ED">
        <w:t xml:space="preserve">the </w:t>
      </w:r>
      <w:r w:rsidR="008C763D">
        <w:t>efficacy</w:t>
      </w:r>
      <w:r w:rsidR="000C39ED">
        <w:t xml:space="preserve"> of dual language education</w:t>
      </w:r>
      <w:r w:rsidR="008C763D">
        <w:t xml:space="preserve">, it is important to examine within-year growth to track seasonal learning. </w:t>
      </w:r>
      <w:r w:rsidR="000C39ED">
        <w:t xml:space="preserve">While we may not expect the effects of instructional programs to extend beyond the school year or hold schools responsible </w:t>
      </w:r>
      <w:r w:rsidR="000E08CC">
        <w:t>for summer loss</w:t>
      </w:r>
      <w:r w:rsidR="000C39ED">
        <w:t xml:space="preserve">, educators and policymakers </w:t>
      </w:r>
      <w:r w:rsidR="000C39ED">
        <w:lastRenderedPageBreak/>
        <w:t xml:space="preserve">need to be informed if the benefits of school-year programs are diminished or undone </w:t>
      </w:r>
      <w:r w:rsidR="000E08CC">
        <w:t>during the summer</w:t>
      </w:r>
      <w:r w:rsidR="000C39ED">
        <w:t xml:space="preserve">. </w:t>
      </w:r>
      <w:r w:rsidR="000E08CC">
        <w:t>Given the e</w:t>
      </w:r>
      <w:r w:rsidR="000C39ED">
        <w:t xml:space="preserve">fforts and resources </w:t>
      </w:r>
      <w:r w:rsidR="000E08CC">
        <w:t xml:space="preserve">invested in program design and implementation, districts and schools strive to help students not only maximize learning gains during the school year but also maintain or augment their knowledge and skills while school is out of session. A breakdown of </w:t>
      </w:r>
      <w:proofErr w:type="gramStart"/>
      <w:r w:rsidR="000E08CC">
        <w:t>school-year</w:t>
      </w:r>
      <w:proofErr w:type="gramEnd"/>
      <w:r w:rsidR="000E08CC">
        <w:t xml:space="preserve"> and summer growth will help decisionmakers identify ways in which students’ long-term learning growth can be sustained.  </w:t>
      </w:r>
      <w:r w:rsidR="000C39ED">
        <w:t xml:space="preserve"> </w:t>
      </w:r>
    </w:p>
    <w:p w14:paraId="4AD85298" w14:textId="3BD0B198" w:rsidR="008C763D" w:rsidRPr="00892059" w:rsidRDefault="008C763D" w:rsidP="00892059">
      <w:pPr>
        <w:spacing w:line="480" w:lineRule="auto"/>
        <w:ind w:firstLine="720"/>
        <w:rPr>
          <w:rFonts w:cs="Times New Roman"/>
          <w:szCs w:val="24"/>
          <w:shd w:val="clear" w:color="auto" w:fill="FFFFFF"/>
        </w:rPr>
      </w:pPr>
      <w:r>
        <w:t>If dual language instruction is more effective at closing achievement gaps than other programs</w:t>
      </w:r>
      <w:r w:rsidR="000C39ED">
        <w:t xml:space="preserve"> during the school year</w:t>
      </w:r>
      <w:r>
        <w:t xml:space="preserve">, we should see dual language students making more learning gains than other students between </w:t>
      </w:r>
      <w:r w:rsidR="000C39ED">
        <w:t>fall and spring</w:t>
      </w:r>
      <w:r>
        <w:t>. Similarly, we need to interrogate what happens to student learning while they are out of school during summer break. If dual language programs are also more effective than other programs at providing students with extended learning opportunities in the summer, through family engagement or other mechanisms, then we would see dual language students making gains or losing less learning than other students. However, it is also possible that dual language programs are more effective during the year when students are in class but are no more (or less) effective than other programs at supporting students while they are out of school. In this case, we would want to identify any gaps in summer learning rates so that schools can revise program designs to help students maintain or augment their school-year learning in the summer. This is not possible by only examining spring-to-spring achievement status, as previous research has done.</w:t>
      </w:r>
    </w:p>
    <w:p w14:paraId="05B14928" w14:textId="32EBC9E1" w:rsidR="008D2FBD" w:rsidRDefault="007E6DB0" w:rsidP="003946B4">
      <w:pPr>
        <w:spacing w:line="480" w:lineRule="auto"/>
        <w:ind w:firstLine="720"/>
        <w:rPr>
          <w:rFonts w:cs="Times New Roman"/>
          <w:szCs w:val="24"/>
          <w:shd w:val="clear" w:color="auto" w:fill="FFFFFF"/>
        </w:rPr>
      </w:pPr>
      <w:r w:rsidRPr="007917CA">
        <w:rPr>
          <w:rFonts w:cs="Times New Roman"/>
          <w:szCs w:val="24"/>
          <w:shd w:val="clear" w:color="auto" w:fill="FFFFFF"/>
        </w:rPr>
        <w:t>Seasonal learning patterns for students</w:t>
      </w:r>
      <w:r>
        <w:rPr>
          <w:rFonts w:cs="Times New Roman"/>
          <w:szCs w:val="24"/>
          <w:shd w:val="clear" w:color="auto" w:fill="FFFFFF"/>
        </w:rPr>
        <w:t xml:space="preserve"> who use another language at home</w:t>
      </w:r>
      <w:r w:rsidRPr="007917CA">
        <w:rPr>
          <w:rFonts w:cs="Times New Roman"/>
          <w:szCs w:val="24"/>
          <w:shd w:val="clear" w:color="auto" w:fill="FFFFFF"/>
        </w:rPr>
        <w:t>—a</w:t>
      </w:r>
      <w:r>
        <w:rPr>
          <w:rFonts w:cs="Times New Roman"/>
          <w:szCs w:val="24"/>
          <w:shd w:val="clear" w:color="auto" w:fill="FFFFFF"/>
        </w:rPr>
        <w:t>nd participation in</w:t>
      </w:r>
      <w:r w:rsidRPr="007917CA">
        <w:rPr>
          <w:rFonts w:cs="Times New Roman"/>
          <w:szCs w:val="24"/>
          <w:shd w:val="clear" w:color="auto" w:fill="FFFFFF"/>
        </w:rPr>
        <w:t xml:space="preserve"> </w:t>
      </w:r>
      <w:r>
        <w:rPr>
          <w:rFonts w:cs="Times New Roman"/>
          <w:szCs w:val="24"/>
          <w:shd w:val="clear" w:color="auto" w:fill="FFFFFF"/>
        </w:rPr>
        <w:t>dual language programs</w:t>
      </w:r>
      <w:r w:rsidRPr="007917CA">
        <w:rPr>
          <w:rFonts w:cs="Times New Roman"/>
          <w:szCs w:val="24"/>
          <w:shd w:val="clear" w:color="auto" w:fill="FFFFFF"/>
        </w:rPr>
        <w:t>—</w:t>
      </w:r>
      <w:r>
        <w:rPr>
          <w:rFonts w:cs="Times New Roman"/>
          <w:szCs w:val="24"/>
          <w:shd w:val="clear" w:color="auto" w:fill="FFFFFF"/>
        </w:rPr>
        <w:t>merit</w:t>
      </w:r>
      <w:r w:rsidRPr="007917CA">
        <w:rPr>
          <w:rFonts w:cs="Times New Roman"/>
          <w:szCs w:val="24"/>
          <w:shd w:val="clear" w:color="auto" w:fill="FFFFFF"/>
        </w:rPr>
        <w:t xml:space="preserve"> investigation</w:t>
      </w:r>
      <w:r>
        <w:rPr>
          <w:rFonts w:cs="Times New Roman"/>
          <w:szCs w:val="24"/>
          <w:shd w:val="clear" w:color="auto" w:fill="FFFFFF"/>
        </w:rPr>
        <w:t xml:space="preserve"> because of the</w:t>
      </w:r>
      <w:r w:rsidRPr="007917CA">
        <w:rPr>
          <w:rFonts w:cs="Times New Roman"/>
          <w:szCs w:val="24"/>
          <w:shd w:val="clear" w:color="auto" w:fill="FFFFFF"/>
        </w:rPr>
        <w:t xml:space="preserve"> students’ unique home contexts. </w:t>
      </w:r>
      <w:r w:rsidR="008D2FBD">
        <w:rPr>
          <w:rFonts w:cs="Times New Roman"/>
          <w:szCs w:val="24"/>
          <w:shd w:val="clear" w:color="auto" w:fill="FFFFFF"/>
        </w:rPr>
        <w:t xml:space="preserve">In a recent qualitative study examining Latinx students’ mathematics learning, </w:t>
      </w:r>
      <w:proofErr w:type="spellStart"/>
      <w:r w:rsidR="008D2FBD">
        <w:rPr>
          <w:rFonts w:cs="Times New Roman"/>
          <w:szCs w:val="24"/>
          <w:shd w:val="clear" w:color="auto" w:fill="FFFFFF"/>
        </w:rPr>
        <w:t>Stoehr</w:t>
      </w:r>
      <w:proofErr w:type="spellEnd"/>
      <w:r w:rsidR="008D2FBD">
        <w:rPr>
          <w:rFonts w:cs="Times New Roman"/>
          <w:szCs w:val="24"/>
          <w:shd w:val="clear" w:color="auto" w:fill="FFFFFF"/>
        </w:rPr>
        <w:t xml:space="preserve"> et al. (2022) found that teacher-parent collaborations, especially in a bilingual context, </w:t>
      </w:r>
      <w:r w:rsidR="008D2FBD">
        <w:rPr>
          <w:rFonts w:cs="Times New Roman"/>
          <w:szCs w:val="24"/>
          <w:shd w:val="clear" w:color="auto" w:fill="FFFFFF"/>
        </w:rPr>
        <w:lastRenderedPageBreak/>
        <w:t xml:space="preserve">can be beneficial to student learning. </w:t>
      </w:r>
      <w:r>
        <w:rPr>
          <w:rFonts w:cs="Times New Roman"/>
          <w:szCs w:val="24"/>
          <w:shd w:val="clear" w:color="auto" w:fill="FFFFFF"/>
        </w:rPr>
        <w:t>Language barriers</w:t>
      </w:r>
      <w:r w:rsidR="008D2FBD">
        <w:rPr>
          <w:rFonts w:cs="Times New Roman"/>
          <w:szCs w:val="24"/>
          <w:shd w:val="clear" w:color="auto" w:fill="FFFFFF"/>
        </w:rPr>
        <w:t>, on the other hand,</w:t>
      </w:r>
      <w:r>
        <w:rPr>
          <w:rFonts w:cs="Times New Roman"/>
          <w:szCs w:val="24"/>
          <w:shd w:val="clear" w:color="auto" w:fill="FFFFFF"/>
        </w:rPr>
        <w:t xml:space="preserve"> hinder family involvement </w:t>
      </w:r>
      <w:r w:rsidRPr="007917CA">
        <w:rPr>
          <w:rFonts w:cs="Times New Roman"/>
          <w:szCs w:val="24"/>
          <w:shd w:val="clear" w:color="auto" w:fill="FFFFFF"/>
        </w:rPr>
        <w:t xml:space="preserve">(Vera et al., 2012). </w:t>
      </w:r>
      <w:r>
        <w:rPr>
          <w:rFonts w:cs="Times New Roman"/>
          <w:szCs w:val="24"/>
          <w:shd w:val="clear" w:color="auto" w:fill="FFFFFF"/>
        </w:rPr>
        <w:t>When</w:t>
      </w:r>
      <w:r w:rsidRPr="007917CA">
        <w:rPr>
          <w:rFonts w:cs="Times New Roman"/>
          <w:szCs w:val="24"/>
          <w:shd w:val="clear" w:color="auto" w:fill="FFFFFF"/>
        </w:rPr>
        <w:t xml:space="preserve"> schools provide </w:t>
      </w:r>
      <w:r>
        <w:rPr>
          <w:rFonts w:cs="Times New Roman"/>
          <w:szCs w:val="24"/>
          <w:shd w:val="clear" w:color="auto" w:fill="FFFFFF"/>
        </w:rPr>
        <w:t xml:space="preserve">academic </w:t>
      </w:r>
      <w:r w:rsidRPr="007917CA">
        <w:rPr>
          <w:rFonts w:cs="Times New Roman"/>
          <w:szCs w:val="24"/>
          <w:shd w:val="clear" w:color="auto" w:fill="FFFFFF"/>
        </w:rPr>
        <w:t>materials</w:t>
      </w:r>
      <w:r w:rsidR="00FF654F">
        <w:rPr>
          <w:rFonts w:cs="Times New Roman"/>
          <w:szCs w:val="24"/>
          <w:shd w:val="clear" w:color="auto" w:fill="FFFFFF"/>
        </w:rPr>
        <w:t xml:space="preserve"> only</w:t>
      </w:r>
      <w:r w:rsidRPr="007917CA">
        <w:rPr>
          <w:rFonts w:cs="Times New Roman"/>
          <w:szCs w:val="24"/>
          <w:shd w:val="clear" w:color="auto" w:fill="FFFFFF"/>
        </w:rPr>
        <w:t xml:space="preserve"> in English for students to practice at home, Spanish-speaking families may not be able to help the students</w:t>
      </w:r>
      <w:r w:rsidR="001C69FE">
        <w:rPr>
          <w:rFonts w:cs="Times New Roman"/>
          <w:szCs w:val="24"/>
          <w:shd w:val="clear" w:color="auto" w:fill="FFFFFF"/>
        </w:rPr>
        <w:t xml:space="preserve"> using those English materials</w:t>
      </w:r>
      <w:r w:rsidRPr="007917CA">
        <w:rPr>
          <w:rFonts w:cs="Times New Roman"/>
          <w:szCs w:val="24"/>
          <w:shd w:val="clear" w:color="auto" w:fill="FFFFFF"/>
        </w:rPr>
        <w:t>. D</w:t>
      </w:r>
      <w:r>
        <w:rPr>
          <w:rFonts w:cs="Times New Roman"/>
          <w:szCs w:val="24"/>
          <w:shd w:val="clear" w:color="auto" w:fill="FFFFFF"/>
        </w:rPr>
        <w:t>ual language programs</w:t>
      </w:r>
      <w:r w:rsidRPr="007917CA">
        <w:rPr>
          <w:rFonts w:cs="Times New Roman"/>
          <w:szCs w:val="24"/>
          <w:shd w:val="clear" w:color="auto" w:fill="FFFFFF"/>
        </w:rPr>
        <w:t xml:space="preserve"> ha</w:t>
      </w:r>
      <w:r>
        <w:rPr>
          <w:rFonts w:cs="Times New Roman"/>
          <w:szCs w:val="24"/>
          <w:shd w:val="clear" w:color="auto" w:fill="FFFFFF"/>
        </w:rPr>
        <w:t>ve</w:t>
      </w:r>
      <w:r w:rsidRPr="007917CA">
        <w:rPr>
          <w:rFonts w:cs="Times New Roman"/>
          <w:szCs w:val="24"/>
          <w:shd w:val="clear" w:color="auto" w:fill="FFFFFF"/>
        </w:rPr>
        <w:t xml:space="preserve"> the potential to increase family involvement, which creates more out-of-school learning opportunities. For example, if families read to students in Spanish during summer vacation, students would continue to add to their repertoire of literacy skills, preparing them to acquire more advanced concepts in both Spanish and English in the fall. In this case, students would grow</w:t>
      </w:r>
      <w:r>
        <w:rPr>
          <w:rFonts w:cs="Times New Roman"/>
          <w:szCs w:val="24"/>
          <w:shd w:val="clear" w:color="auto" w:fill="FFFFFF"/>
        </w:rPr>
        <w:t xml:space="preserve"> or at least maintain their skills</w:t>
      </w:r>
      <w:r w:rsidRPr="007917CA">
        <w:rPr>
          <w:rFonts w:cs="Times New Roman"/>
          <w:szCs w:val="24"/>
          <w:shd w:val="clear" w:color="auto" w:fill="FFFFFF"/>
        </w:rPr>
        <w:t xml:space="preserve"> during summers. However, </w:t>
      </w:r>
      <w:r>
        <w:rPr>
          <w:rFonts w:cs="Times New Roman"/>
          <w:szCs w:val="24"/>
          <w:shd w:val="clear" w:color="auto" w:fill="FFFFFF"/>
        </w:rPr>
        <w:t xml:space="preserve">if families do not pursue </w:t>
      </w:r>
      <w:r w:rsidRPr="007917CA">
        <w:rPr>
          <w:rFonts w:cs="Times New Roman"/>
          <w:szCs w:val="24"/>
          <w:shd w:val="clear" w:color="auto" w:fill="FFFFFF"/>
        </w:rPr>
        <w:t>reading and other achievement-enhancing activities on their own</w:t>
      </w:r>
      <w:r>
        <w:rPr>
          <w:rFonts w:cs="Times New Roman"/>
          <w:szCs w:val="24"/>
          <w:shd w:val="clear" w:color="auto" w:fill="FFFFFF"/>
        </w:rPr>
        <w:t xml:space="preserve"> regardless of language, then</w:t>
      </w:r>
      <w:r w:rsidRPr="007917CA">
        <w:rPr>
          <w:rFonts w:cs="Times New Roman"/>
          <w:szCs w:val="24"/>
          <w:shd w:val="clear" w:color="auto" w:fill="FFFFFF"/>
        </w:rPr>
        <w:t xml:space="preserve"> </w:t>
      </w:r>
      <w:r>
        <w:rPr>
          <w:rFonts w:cs="Times New Roman"/>
          <w:szCs w:val="24"/>
          <w:shd w:val="clear" w:color="auto" w:fill="FFFFFF"/>
        </w:rPr>
        <w:t xml:space="preserve">students might flatline or decline over the summer, and having </w:t>
      </w:r>
      <w:r w:rsidRPr="007917CA">
        <w:rPr>
          <w:rFonts w:cs="Times New Roman"/>
          <w:szCs w:val="24"/>
          <w:shd w:val="clear" w:color="auto" w:fill="FFFFFF"/>
        </w:rPr>
        <w:t>Spanish instruction in school would not</w:t>
      </w:r>
      <w:r>
        <w:rPr>
          <w:rFonts w:cs="Times New Roman"/>
          <w:szCs w:val="24"/>
          <w:shd w:val="clear" w:color="auto" w:fill="FFFFFF"/>
        </w:rPr>
        <w:t xml:space="preserve"> make</w:t>
      </w:r>
      <w:r w:rsidRPr="007917CA">
        <w:rPr>
          <w:rFonts w:cs="Times New Roman"/>
          <w:szCs w:val="24"/>
          <w:shd w:val="clear" w:color="auto" w:fill="FFFFFF"/>
        </w:rPr>
        <w:t xml:space="preserve"> a difference.</w:t>
      </w:r>
      <w:r w:rsidR="00BA1093">
        <w:rPr>
          <w:rFonts w:cs="Times New Roman"/>
          <w:szCs w:val="24"/>
          <w:shd w:val="clear" w:color="auto" w:fill="FFFFFF"/>
        </w:rPr>
        <w:t xml:space="preserve"> </w:t>
      </w:r>
    </w:p>
    <w:p w14:paraId="03833394" w14:textId="3ABF3593" w:rsidR="007E6DB0" w:rsidRPr="007E6DB0" w:rsidRDefault="008D2FBD" w:rsidP="004B52F3">
      <w:pPr>
        <w:spacing w:line="480" w:lineRule="auto"/>
        <w:ind w:firstLine="720"/>
        <w:rPr>
          <w:rFonts w:cs="Times New Roman"/>
          <w:szCs w:val="24"/>
          <w:shd w:val="clear" w:color="auto" w:fill="FFFFFF"/>
        </w:rPr>
      </w:pPr>
      <w:r>
        <w:rPr>
          <w:rFonts w:cs="Times New Roman"/>
          <w:szCs w:val="24"/>
          <w:shd w:val="clear" w:color="auto" w:fill="FFFFFF"/>
        </w:rPr>
        <w:t xml:space="preserve">McCormick et al. (2021) found that during the summer prior to kindergarten, dual language learners (defined as students who use a language other than English) showed larger drops in language skills compared to monolingual learners. </w:t>
      </w:r>
      <w:r w:rsidR="003946B4">
        <w:rPr>
          <w:rFonts w:cs="Times New Roman"/>
          <w:szCs w:val="24"/>
          <w:shd w:val="clear" w:color="auto" w:fill="FFFFFF"/>
        </w:rPr>
        <w:t xml:space="preserve">In a paper looking at kindergarten to fourth grade students, </w:t>
      </w:r>
      <w:r w:rsidR="000A55A0">
        <w:rPr>
          <w:rFonts w:cs="Times New Roman"/>
          <w:szCs w:val="24"/>
          <w:shd w:val="clear" w:color="auto" w:fill="FFFFFF"/>
        </w:rPr>
        <w:t>Johnson</w:t>
      </w:r>
      <w:r w:rsidR="00717101">
        <w:rPr>
          <w:rFonts w:cs="Times New Roman"/>
          <w:szCs w:val="24"/>
          <w:shd w:val="clear" w:color="auto" w:fill="FFFFFF"/>
        </w:rPr>
        <w:t xml:space="preserve"> (</w:t>
      </w:r>
      <w:r w:rsidR="000A55A0">
        <w:rPr>
          <w:rFonts w:cs="Times New Roman"/>
          <w:szCs w:val="24"/>
          <w:shd w:val="clear" w:color="auto" w:fill="FFFFFF"/>
        </w:rPr>
        <w:t>2022</w:t>
      </w:r>
      <w:r w:rsidR="00717101">
        <w:rPr>
          <w:rFonts w:cs="Times New Roman"/>
          <w:szCs w:val="24"/>
          <w:shd w:val="clear" w:color="auto" w:fill="FFFFFF"/>
        </w:rPr>
        <w:t>)</w:t>
      </w:r>
      <w:r w:rsidR="003946B4">
        <w:rPr>
          <w:rFonts w:cs="Times New Roman"/>
          <w:szCs w:val="24"/>
          <w:shd w:val="clear" w:color="auto" w:fill="FFFFFF"/>
        </w:rPr>
        <w:t xml:space="preserve"> showed that compared to monolingual English users, students who are developing English proficiency grew more during the school year but also lost more learning over the summers. </w:t>
      </w:r>
      <w:r>
        <w:rPr>
          <w:rFonts w:cs="Times New Roman"/>
          <w:szCs w:val="24"/>
          <w:shd w:val="clear" w:color="auto" w:fill="FFFFFF"/>
        </w:rPr>
        <w:t xml:space="preserve">To my best knowledge, there is no study examining summer learning </w:t>
      </w:r>
      <w:r w:rsidR="003946B4">
        <w:rPr>
          <w:rFonts w:cs="Times New Roman"/>
          <w:szCs w:val="24"/>
          <w:shd w:val="clear" w:color="auto" w:fill="FFFFFF"/>
        </w:rPr>
        <w:t xml:space="preserve">trajectories </w:t>
      </w:r>
      <w:r>
        <w:rPr>
          <w:rFonts w:cs="Times New Roman"/>
          <w:szCs w:val="24"/>
          <w:shd w:val="clear" w:color="auto" w:fill="FFFFFF"/>
        </w:rPr>
        <w:t xml:space="preserve">during the K-12 grades for students in dual language programs. </w:t>
      </w:r>
      <w:r w:rsidR="007E6DB0" w:rsidRPr="007917CA">
        <w:rPr>
          <w:rFonts w:cs="Times New Roman"/>
          <w:szCs w:val="24"/>
          <w:shd w:val="clear" w:color="auto" w:fill="FFFFFF"/>
        </w:rPr>
        <w:t>Research is needed</w:t>
      </w:r>
      <w:r w:rsidR="00FF654F">
        <w:rPr>
          <w:rFonts w:cs="Times New Roman"/>
          <w:szCs w:val="24"/>
          <w:shd w:val="clear" w:color="auto" w:fill="FFFFFF"/>
        </w:rPr>
        <w:t>,</w:t>
      </w:r>
      <w:r w:rsidR="007E6DB0" w:rsidRPr="007917CA">
        <w:rPr>
          <w:rFonts w:cs="Times New Roman"/>
          <w:szCs w:val="24"/>
          <w:shd w:val="clear" w:color="auto" w:fill="FFFFFF"/>
        </w:rPr>
        <w:t xml:space="preserve"> first </w:t>
      </w:r>
      <w:r w:rsidR="00FF654F">
        <w:rPr>
          <w:rFonts w:cs="Times New Roman"/>
          <w:szCs w:val="24"/>
          <w:shd w:val="clear" w:color="auto" w:fill="FFFFFF"/>
        </w:rPr>
        <w:t xml:space="preserve">to </w:t>
      </w:r>
      <w:r w:rsidR="007E6DB0" w:rsidRPr="007917CA">
        <w:rPr>
          <w:rFonts w:cs="Times New Roman"/>
          <w:szCs w:val="24"/>
          <w:shd w:val="clear" w:color="auto" w:fill="FFFFFF"/>
        </w:rPr>
        <w:t xml:space="preserve">identify which pattern holds and then explore </w:t>
      </w:r>
      <w:r w:rsidR="007E6DB0" w:rsidRPr="00C13CC3">
        <w:rPr>
          <w:rFonts w:cs="Times New Roman"/>
          <w:szCs w:val="24"/>
          <w:shd w:val="clear" w:color="auto" w:fill="FFFFFF"/>
        </w:rPr>
        <w:t xml:space="preserve">how </w:t>
      </w:r>
      <w:r w:rsidR="007E6DB0">
        <w:rPr>
          <w:rFonts w:cs="Times New Roman"/>
          <w:szCs w:val="24"/>
          <w:shd w:val="clear" w:color="auto" w:fill="FFFFFF"/>
        </w:rPr>
        <w:t>dual language</w:t>
      </w:r>
      <w:r w:rsidR="007E6DB0" w:rsidRPr="00C13CC3">
        <w:rPr>
          <w:rFonts w:cs="Times New Roman"/>
          <w:szCs w:val="24"/>
          <w:shd w:val="clear" w:color="auto" w:fill="FFFFFF"/>
        </w:rPr>
        <w:t xml:space="preserve"> program features, such as teacher-family interactions and summer learning support, shape </w:t>
      </w:r>
      <w:r w:rsidR="007E6DB0">
        <w:rPr>
          <w:rFonts w:cs="Times New Roman"/>
          <w:szCs w:val="24"/>
          <w:shd w:val="clear" w:color="auto" w:fill="FFFFFF"/>
        </w:rPr>
        <w:t>students’</w:t>
      </w:r>
      <w:r w:rsidR="007E6DB0" w:rsidRPr="00C13CC3">
        <w:rPr>
          <w:rFonts w:cs="Times New Roman"/>
          <w:szCs w:val="24"/>
          <w:shd w:val="clear" w:color="auto" w:fill="FFFFFF"/>
        </w:rPr>
        <w:t xml:space="preserve"> seasonal learning.</w:t>
      </w:r>
      <w:r w:rsidR="007E6DB0">
        <w:rPr>
          <w:rFonts w:cs="Times New Roman"/>
          <w:szCs w:val="24"/>
          <w:shd w:val="clear" w:color="auto" w:fill="FFFFFF"/>
        </w:rPr>
        <w:t xml:space="preserve"> </w:t>
      </w:r>
    </w:p>
    <w:p w14:paraId="5070AA6F" w14:textId="03BA72AD" w:rsidR="00852718" w:rsidRPr="00852718" w:rsidRDefault="00852718" w:rsidP="004B52F3">
      <w:pPr>
        <w:spacing w:line="480" w:lineRule="auto"/>
        <w:rPr>
          <w:b/>
          <w:bCs/>
        </w:rPr>
      </w:pPr>
      <w:r w:rsidRPr="00852718">
        <w:rPr>
          <w:b/>
          <w:bCs/>
        </w:rPr>
        <w:t>Current Study</w:t>
      </w:r>
    </w:p>
    <w:p w14:paraId="4911C684" w14:textId="24B0B4DA" w:rsidR="00704F0F" w:rsidRPr="006F39EB" w:rsidRDefault="00F5650A" w:rsidP="00626722">
      <w:pPr>
        <w:tabs>
          <w:tab w:val="left" w:pos="8166"/>
        </w:tabs>
        <w:spacing w:line="480" w:lineRule="auto"/>
        <w:ind w:firstLine="720"/>
      </w:pPr>
      <w:r>
        <w:lastRenderedPageBreak/>
        <w:t>This study address</w:t>
      </w:r>
      <w:r w:rsidR="00165AA3">
        <w:t>es</w:t>
      </w:r>
      <w:r>
        <w:t xml:space="preserve"> these important gaps in the </w:t>
      </w:r>
      <w:r w:rsidR="00502549">
        <w:t>research</w:t>
      </w:r>
      <w:r>
        <w:t xml:space="preserve"> by estimating the association between participation in a dual language program and students’ achievement </w:t>
      </w:r>
      <w:r w:rsidR="00165AA3">
        <w:t xml:space="preserve">growth </w:t>
      </w:r>
      <w:r>
        <w:t xml:space="preserve">within and across years. </w:t>
      </w:r>
      <w:r w:rsidR="00D80F31">
        <w:t xml:space="preserve">I leverage rich longitudinal data from a diverse district </w:t>
      </w:r>
      <w:r w:rsidR="00165AA3">
        <w:t xml:space="preserve">in the Midwest </w:t>
      </w:r>
      <w:r w:rsidR="00D80F31">
        <w:t xml:space="preserve">with a long history of serving </w:t>
      </w:r>
      <w:r w:rsidR="00165AA3">
        <w:t xml:space="preserve">a large </w:t>
      </w:r>
      <w:r w:rsidR="00D80F31">
        <w:t>Spanish-speaking student</w:t>
      </w:r>
      <w:r w:rsidR="00165AA3">
        <w:t xml:space="preserve"> population</w:t>
      </w:r>
      <w:r w:rsidR="00D80F31">
        <w:t xml:space="preserve">. </w:t>
      </w:r>
      <w:r w:rsidR="00165AA3">
        <w:t xml:space="preserve">A district-wide curriculum </w:t>
      </w:r>
      <w:proofErr w:type="gramStart"/>
      <w:r w:rsidR="00165AA3">
        <w:t>change</w:t>
      </w:r>
      <w:proofErr w:type="gramEnd"/>
      <w:r w:rsidR="00165AA3">
        <w:t xml:space="preserve"> in 2011-12 resulted in the </w:t>
      </w:r>
      <w:r w:rsidR="00F30083">
        <w:t>ex</w:t>
      </w:r>
      <w:r w:rsidR="0051649A">
        <w:t>pansion</w:t>
      </w:r>
      <w:r w:rsidR="00F30083">
        <w:t xml:space="preserve"> of bilingual/dual language education from</w:t>
      </w:r>
      <w:r w:rsidR="001C69FE">
        <w:t xml:space="preserve"> K-2</w:t>
      </w:r>
      <w:r w:rsidR="00165AA3">
        <w:t xml:space="preserve"> </w:t>
      </w:r>
      <w:r w:rsidR="00F30083">
        <w:t xml:space="preserve">to </w:t>
      </w:r>
      <w:r w:rsidR="001C69FE">
        <w:t>K-12</w:t>
      </w:r>
      <w:r w:rsidR="00F30083">
        <w:t>, which has since</w:t>
      </w:r>
      <w:r w:rsidR="003946B4">
        <w:t xml:space="preserve"> served a large group of Hispanic students and</w:t>
      </w:r>
      <w:r w:rsidR="00F30083">
        <w:t xml:space="preserve"> been</w:t>
      </w:r>
      <w:r w:rsidR="00165AA3">
        <w:t xml:space="preserve"> the primary support program for Spanish-speaking ELs. Controlling for student- and school-level covariates, I compare achievement and growth</w:t>
      </w:r>
      <w:r w:rsidR="00527A67">
        <w:t xml:space="preserve"> for Hispanic students who participated in the long-term dual language program to Hispanic students who did not participate</w:t>
      </w:r>
      <w:r w:rsidR="00165AA3">
        <w:t xml:space="preserve">. </w:t>
      </w:r>
    </w:p>
    <w:p w14:paraId="7093D9D4" w14:textId="1A245A50" w:rsidR="00F858C8" w:rsidRDefault="00F858C8" w:rsidP="004B52F3">
      <w:pPr>
        <w:spacing w:line="480" w:lineRule="auto"/>
        <w:jc w:val="center"/>
        <w:rPr>
          <w:b/>
          <w:bCs/>
        </w:rPr>
      </w:pPr>
      <w:r>
        <w:rPr>
          <w:b/>
          <w:bCs/>
        </w:rPr>
        <w:t>Study Context</w:t>
      </w:r>
    </w:p>
    <w:p w14:paraId="4E1CE98C" w14:textId="0AD094E7" w:rsidR="00710828" w:rsidRDefault="001751D0" w:rsidP="004B52F3">
      <w:pPr>
        <w:spacing w:line="480" w:lineRule="auto"/>
      </w:pPr>
      <w:r>
        <w:tab/>
        <w:t xml:space="preserve">This study is conducted in a research-practice partnership with a large school district in the Midwest. The district enrolls about 40,000 students in total. </w:t>
      </w:r>
      <w:bookmarkStart w:id="6" w:name="_Hlk139457384"/>
      <w:r>
        <w:t xml:space="preserve">Slightly more than half the students are Hispanic; another quarter are White; and the rest of the students are members of other racial/ethnic groups. </w:t>
      </w:r>
      <w:r w:rsidR="005A74B7">
        <w:t xml:space="preserve">Just under two-thirds of the students come from low-income families. </w:t>
      </w:r>
      <w:r>
        <w:t xml:space="preserve">The district has a long history of serving students from diverse linguistic backgrounds, with current ELs comprising </w:t>
      </w:r>
      <w:r w:rsidR="007B6984">
        <w:t xml:space="preserve">over 30% </w:t>
      </w:r>
      <w:r>
        <w:t>of its total student population.</w:t>
      </w:r>
      <w:r w:rsidR="00DD121E">
        <w:t xml:space="preserve"> </w:t>
      </w:r>
      <w:r w:rsidR="00830543">
        <w:t>Though the district serves students with about 100 home languages, a</w:t>
      </w:r>
      <w:r w:rsidR="00825363">
        <w:t>bout 80%</w:t>
      </w:r>
      <w:r w:rsidR="00DD121E">
        <w:t xml:space="preserve"> of the ELs use Spanish at home.</w:t>
      </w:r>
    </w:p>
    <w:bookmarkEnd w:id="6"/>
    <w:p w14:paraId="04B00CAD" w14:textId="2075BCCB" w:rsidR="00710828" w:rsidRPr="00710828" w:rsidRDefault="00710828" w:rsidP="0001548E">
      <w:pPr>
        <w:keepNext/>
        <w:spacing w:line="480" w:lineRule="auto"/>
        <w:rPr>
          <w:b/>
          <w:bCs/>
        </w:rPr>
      </w:pPr>
      <w:r w:rsidRPr="00710828">
        <w:rPr>
          <w:b/>
          <w:bCs/>
        </w:rPr>
        <w:t>Spanish-English D</w:t>
      </w:r>
      <w:r w:rsidR="0001548E">
        <w:rPr>
          <w:b/>
          <w:bCs/>
        </w:rPr>
        <w:t xml:space="preserve">ual </w:t>
      </w:r>
      <w:r w:rsidRPr="00710828">
        <w:rPr>
          <w:b/>
          <w:bCs/>
        </w:rPr>
        <w:t>L</w:t>
      </w:r>
      <w:r w:rsidR="0001548E">
        <w:rPr>
          <w:b/>
          <w:bCs/>
        </w:rPr>
        <w:t>anguage</w:t>
      </w:r>
      <w:r w:rsidRPr="00710828">
        <w:rPr>
          <w:b/>
          <w:bCs/>
        </w:rPr>
        <w:t xml:space="preserve"> Instruction</w:t>
      </w:r>
    </w:p>
    <w:p w14:paraId="356AA493" w14:textId="45058BE6" w:rsidR="000D04F5" w:rsidRPr="000B47F9" w:rsidRDefault="00DD121E" w:rsidP="004B52F3">
      <w:pPr>
        <w:spacing w:line="480" w:lineRule="auto"/>
        <w:ind w:firstLine="720"/>
        <w:rPr>
          <w:vertAlign w:val="superscript"/>
        </w:rPr>
      </w:pPr>
      <w:r>
        <w:t xml:space="preserve">Spanish-English </w:t>
      </w:r>
      <w:r w:rsidR="00F01975">
        <w:t>bilingual education</w:t>
      </w:r>
      <w:r>
        <w:t xml:space="preserve"> was first implemented in the dist</w:t>
      </w:r>
      <w:r w:rsidR="00F01975">
        <w:t>rict in the 1970s and expanded over the years</w:t>
      </w:r>
      <w:r>
        <w:t xml:space="preserve">. </w:t>
      </w:r>
      <w:r w:rsidR="00D80F31">
        <w:t>For decades, Spanish instruction</w:t>
      </w:r>
      <w:r w:rsidR="00F01975">
        <w:t xml:space="preserve"> </w:t>
      </w:r>
      <w:r w:rsidR="004D7435">
        <w:t xml:space="preserve">was </w:t>
      </w:r>
      <w:r w:rsidR="00F01975">
        <w:t xml:space="preserve">available to students in kindergarten </w:t>
      </w:r>
      <w:r w:rsidR="00D04B67">
        <w:t xml:space="preserve">through </w:t>
      </w:r>
      <w:r w:rsidR="009A3D21">
        <w:t>2</w:t>
      </w:r>
      <w:r w:rsidR="009A3D21" w:rsidRPr="009A3D21">
        <w:rPr>
          <w:vertAlign w:val="superscript"/>
        </w:rPr>
        <w:t>nd</w:t>
      </w:r>
      <w:r w:rsidR="00D04B67">
        <w:t xml:space="preserve"> grade</w:t>
      </w:r>
      <w:r w:rsidR="0069115D">
        <w:t xml:space="preserve"> in most elementary schools</w:t>
      </w:r>
      <w:r w:rsidR="009A3D21">
        <w:t xml:space="preserve">. </w:t>
      </w:r>
      <w:r w:rsidR="0038471B">
        <w:t xml:space="preserve">Prior to the introduction of the </w:t>
      </w:r>
      <w:r w:rsidR="0001548E">
        <w:t>dual language</w:t>
      </w:r>
      <w:r w:rsidR="0038471B">
        <w:t xml:space="preserve"> program, Spanish-speaking ELs in the district received language service through this transitional bilingual program, English as a second language, and</w:t>
      </w:r>
      <w:r w:rsidR="00804A05">
        <w:t xml:space="preserve">/or </w:t>
      </w:r>
      <w:r w:rsidR="0038471B">
        <w:t xml:space="preserve">sheltered instruction. </w:t>
      </w:r>
      <w:r w:rsidR="00165AA3">
        <w:lastRenderedPageBreak/>
        <w:t>Starting in</w:t>
      </w:r>
      <w:r w:rsidR="0069115D">
        <w:t xml:space="preserve"> the 2011-12 school year, </w:t>
      </w:r>
      <w:r w:rsidR="00EB1F7D">
        <w:t xml:space="preserve">Spanish-English </w:t>
      </w:r>
      <w:r w:rsidR="00255927">
        <w:t xml:space="preserve">two-way </w:t>
      </w:r>
      <w:r w:rsidR="0001548E">
        <w:t>dual language</w:t>
      </w:r>
      <w:r w:rsidR="00EB1F7D">
        <w:t xml:space="preserve"> instruction</w:t>
      </w:r>
      <w:r w:rsidR="00D80F31">
        <w:t xml:space="preserve"> was </w:t>
      </w:r>
      <w:r w:rsidR="00B1259A">
        <w:t xml:space="preserve">made available </w:t>
      </w:r>
      <w:r w:rsidR="00165AA3">
        <w:t>across the district</w:t>
      </w:r>
      <w:r w:rsidR="00EB1F7D">
        <w:t xml:space="preserve">, such that any </w:t>
      </w:r>
      <w:r w:rsidR="0028553A">
        <w:t>Spanish</w:t>
      </w:r>
      <w:r w:rsidR="001C69FE">
        <w:t>-speaking</w:t>
      </w:r>
      <w:r w:rsidR="0028553A">
        <w:t xml:space="preserve"> EL </w:t>
      </w:r>
      <w:r w:rsidR="00EB1F7D">
        <w:t>student</w:t>
      </w:r>
      <w:r w:rsidR="008508DE">
        <w:t xml:space="preserve"> enrolling in </w:t>
      </w:r>
      <w:r w:rsidR="00426CDF">
        <w:t>2</w:t>
      </w:r>
      <w:r w:rsidR="00426CDF" w:rsidRPr="00426CDF">
        <w:rPr>
          <w:vertAlign w:val="superscript"/>
        </w:rPr>
        <w:t>nd</w:t>
      </w:r>
      <w:r w:rsidR="008508DE">
        <w:t xml:space="preserve"> grade or below in 2011-12</w:t>
      </w:r>
      <w:r w:rsidR="000D04F5">
        <w:t>, as well as all subsequent cohorts,</w:t>
      </w:r>
      <w:r w:rsidR="008508DE">
        <w:t xml:space="preserve"> would </w:t>
      </w:r>
      <w:r w:rsidR="002D1CC6">
        <w:t xml:space="preserve">be able to </w:t>
      </w:r>
      <w:r w:rsidR="001C69FE">
        <w:t>enroll in</w:t>
      </w:r>
      <w:r w:rsidR="002D1CC6">
        <w:t xml:space="preserve"> </w:t>
      </w:r>
      <w:r w:rsidR="0001548E">
        <w:t>dual language</w:t>
      </w:r>
      <w:r w:rsidR="002D1CC6">
        <w:t xml:space="preserve"> from elementary to high school. </w:t>
      </w:r>
      <w:r w:rsidR="0028553A">
        <w:t xml:space="preserve">Students who are native and fluent users of English are also eligible to participate. </w:t>
      </w:r>
      <w:r w:rsidR="008A52F4">
        <w:t xml:space="preserve">The remainder of this paper will refer to </w:t>
      </w:r>
      <w:r w:rsidR="000D04F5">
        <w:t xml:space="preserve">this Spanish-English </w:t>
      </w:r>
      <w:r w:rsidR="0001548E">
        <w:t>dual language</w:t>
      </w:r>
      <w:r w:rsidR="000D04F5">
        <w:t xml:space="preserve"> program as </w:t>
      </w:r>
      <w:r w:rsidR="00C77476">
        <w:t>DL.</w:t>
      </w:r>
    </w:p>
    <w:p w14:paraId="3B006E79" w14:textId="74B69D15" w:rsidR="0055596F" w:rsidRDefault="000D04F5" w:rsidP="004B52F3">
      <w:pPr>
        <w:spacing w:line="480" w:lineRule="auto"/>
        <w:ind w:firstLine="720"/>
      </w:pPr>
      <w:r>
        <w:t>In 2011-12, a</w:t>
      </w:r>
      <w:r w:rsidR="002D1CC6">
        <w:t xml:space="preserve">ll </w:t>
      </w:r>
      <w:r w:rsidR="00EF70B5">
        <w:t xml:space="preserve">Spanish-speaking EL </w:t>
      </w:r>
      <w:r w:rsidR="002D1CC6">
        <w:t>students in the district became eligible</w:t>
      </w:r>
      <w:r>
        <w:t xml:space="preserve"> </w:t>
      </w:r>
      <w:r w:rsidR="002D1CC6">
        <w:t xml:space="preserve">to participate in a </w:t>
      </w:r>
      <w:r>
        <w:t>DL by default</w:t>
      </w:r>
      <w:r w:rsidR="00887409">
        <w:t>, though s</w:t>
      </w:r>
      <w:r w:rsidR="002D1CC6">
        <w:t>tudents’ families have the right to opt out of participation.</w:t>
      </w:r>
      <w:r>
        <w:t xml:space="preserve"> </w:t>
      </w:r>
      <w:r w:rsidR="00DC5EBD">
        <w:t xml:space="preserve">Since </w:t>
      </w:r>
      <w:r w:rsidR="00426CDF">
        <w:t>DL</w:t>
      </w:r>
      <w:r w:rsidR="00DC5EBD">
        <w:t xml:space="preserve"> started, it has been the primary </w:t>
      </w:r>
      <w:r w:rsidR="00426CDF">
        <w:t>support</w:t>
      </w:r>
      <w:r w:rsidR="00DC5EBD">
        <w:t xml:space="preserve"> serv</w:t>
      </w:r>
      <w:r w:rsidR="00426CDF">
        <w:t xml:space="preserve">ice for </w:t>
      </w:r>
      <w:r w:rsidR="00DC5EBD">
        <w:t>Spanish-speaking ELs in the district. Other support services, such as transitional</w:t>
      </w:r>
      <w:r w:rsidR="00B61053">
        <w:t xml:space="preserve"> </w:t>
      </w:r>
      <w:r w:rsidR="004D7435">
        <w:t xml:space="preserve">(K-2) </w:t>
      </w:r>
      <w:r w:rsidR="006F39EB">
        <w:t>bilingual</w:t>
      </w:r>
      <w:r w:rsidR="00B61053">
        <w:t xml:space="preserve">, </w:t>
      </w:r>
      <w:r w:rsidR="001C69FE">
        <w:t>E</w:t>
      </w:r>
      <w:r w:rsidR="009B1294">
        <w:t>nglish as a Second Language</w:t>
      </w:r>
      <w:r w:rsidR="00B61053">
        <w:t>, and sheltered instruction</w:t>
      </w:r>
      <w:r w:rsidR="00DC5EBD">
        <w:t>, remain available to ELs in the district. Spanish-speaking ELs who opt out of DL can choose to receive or decline these</w:t>
      </w:r>
      <w:r w:rsidR="00EF70B5">
        <w:t xml:space="preserve"> alternative</w:t>
      </w:r>
      <w:r w:rsidR="00DC5EBD">
        <w:t xml:space="preserve"> services. </w:t>
      </w:r>
      <w:r w:rsidR="00825363">
        <w:t>More than 85</w:t>
      </w:r>
      <w:r w:rsidR="00DC5EBD">
        <w:t xml:space="preserve">% Spanish-speaking ever-ELs who enrolled in the district in or after 2011-12 </w:t>
      </w:r>
      <w:r w:rsidR="00887409">
        <w:t xml:space="preserve">enrolled </w:t>
      </w:r>
      <w:r w:rsidR="00DC5EBD">
        <w:t>in DL</w:t>
      </w:r>
      <w:r w:rsidR="00887409">
        <w:t xml:space="preserve"> during at least one school year</w:t>
      </w:r>
      <w:r w:rsidR="001C69FE">
        <w:t>; almost all students who enroll stay in the program</w:t>
      </w:r>
      <w:r w:rsidR="00DC5EBD">
        <w:t xml:space="preserve">. </w:t>
      </w:r>
      <w:r>
        <w:t xml:space="preserve">ELs can stay </w:t>
      </w:r>
      <w:r w:rsidR="0009459F">
        <w:t xml:space="preserve">in DL </w:t>
      </w:r>
      <w:r>
        <w:t>after gaining fluent English proficiency and reclassifying</w:t>
      </w:r>
      <w:r w:rsidR="0009459F">
        <w:t>; i</w:t>
      </w:r>
      <w:r>
        <w:t>n other words, exiting EL status does not lead to</w:t>
      </w:r>
      <w:r w:rsidR="0009459F">
        <w:t xml:space="preserve"> changes or</w:t>
      </w:r>
      <w:r>
        <w:t xml:space="preserve"> removal of services.</w:t>
      </w:r>
      <w:r w:rsidR="00036B18">
        <w:t xml:space="preserve"> Very few s</w:t>
      </w:r>
      <w:r w:rsidR="0038471B">
        <w:t xml:space="preserve">tudents </w:t>
      </w:r>
      <w:r w:rsidR="00036B18">
        <w:t>(about 1%)</w:t>
      </w:r>
      <w:r w:rsidR="0009459F">
        <w:t xml:space="preserve"> who enroll in DL</w:t>
      </w:r>
      <w:r w:rsidR="00036B18">
        <w:t xml:space="preserve">, ever-EL or never-EL, exit the program. </w:t>
      </w:r>
    </w:p>
    <w:p w14:paraId="020142C2" w14:textId="467B5694" w:rsidR="00710828" w:rsidRPr="00710828" w:rsidRDefault="00710828" w:rsidP="004B52F3">
      <w:pPr>
        <w:spacing w:line="480" w:lineRule="auto"/>
        <w:rPr>
          <w:b/>
          <w:bCs/>
        </w:rPr>
      </w:pPr>
      <w:r w:rsidRPr="00710828">
        <w:rPr>
          <w:b/>
          <w:bCs/>
        </w:rPr>
        <w:t xml:space="preserve">Program </w:t>
      </w:r>
      <w:r w:rsidR="005C4BF1">
        <w:rPr>
          <w:b/>
          <w:bCs/>
        </w:rPr>
        <w:t>F</w:t>
      </w:r>
      <w:r w:rsidRPr="00710828">
        <w:rPr>
          <w:b/>
          <w:bCs/>
        </w:rPr>
        <w:t>eatures</w:t>
      </w:r>
    </w:p>
    <w:p w14:paraId="6CFC19CE" w14:textId="21C61702" w:rsidR="00726AD5" w:rsidRPr="00F20120" w:rsidRDefault="005C4BF1" w:rsidP="00F20120">
      <w:pPr>
        <w:spacing w:line="480" w:lineRule="auto"/>
        <w:ind w:firstLine="720"/>
      </w:pPr>
      <w:r w:rsidRPr="005C4BF1">
        <w:t>DL offers instruction</w:t>
      </w:r>
      <w:r w:rsidR="0009459F">
        <w:t xml:space="preserve"> in Spanish and English</w:t>
      </w:r>
      <w:r w:rsidRPr="005C4BF1">
        <w:t xml:space="preserve"> between kindergarten and 12</w:t>
      </w:r>
      <w:r w:rsidRPr="005C4BF1">
        <w:rPr>
          <w:vertAlign w:val="superscript"/>
        </w:rPr>
        <w:t>th</w:t>
      </w:r>
      <w:r w:rsidRPr="005C4BF1">
        <w:t xml:space="preserve"> grade. </w:t>
      </w:r>
      <w:r w:rsidR="00F17C70">
        <w:t xml:space="preserve">EL and non-EL participants receive the same instruction. </w:t>
      </w:r>
      <w:r>
        <w:t xml:space="preserve">Kindergarten </w:t>
      </w:r>
      <w:r w:rsidR="00A23D0C">
        <w:t>instruction is delivered 80% in Spanish and 20% in English (80:20)</w:t>
      </w:r>
      <w:r w:rsidR="00F7059A">
        <w:t>, followed by 70:30 and 60:40 in 1</w:t>
      </w:r>
      <w:r w:rsidR="00F7059A" w:rsidRPr="00F7059A">
        <w:rPr>
          <w:vertAlign w:val="superscript"/>
        </w:rPr>
        <w:t>st</w:t>
      </w:r>
      <w:r w:rsidR="00A23D0C">
        <w:t xml:space="preserve"> and 2</w:t>
      </w:r>
      <w:r w:rsidR="00A23D0C" w:rsidRPr="00A23D0C">
        <w:rPr>
          <w:vertAlign w:val="superscript"/>
        </w:rPr>
        <w:t>nd</w:t>
      </w:r>
      <w:r w:rsidR="00A23D0C">
        <w:t xml:space="preserve"> grade, respectively</w:t>
      </w:r>
      <w:r w:rsidR="00F7059A">
        <w:t>, and 50:50 b</w:t>
      </w:r>
      <w:r w:rsidR="00A23D0C">
        <w:t>etween 3</w:t>
      </w:r>
      <w:r w:rsidR="00A23D0C" w:rsidRPr="00A23D0C">
        <w:rPr>
          <w:vertAlign w:val="superscript"/>
        </w:rPr>
        <w:t>rd</w:t>
      </w:r>
      <w:r w:rsidR="00A23D0C">
        <w:t xml:space="preserve"> and 6</w:t>
      </w:r>
      <w:r w:rsidR="00A23D0C" w:rsidRPr="00A23D0C">
        <w:rPr>
          <w:vertAlign w:val="superscript"/>
        </w:rPr>
        <w:t>th</w:t>
      </w:r>
      <w:r w:rsidR="00A23D0C">
        <w:t xml:space="preserve"> grade</w:t>
      </w:r>
      <w:r w:rsidR="00F7059A">
        <w:t>. In 7</w:t>
      </w:r>
      <w:r w:rsidR="00F7059A" w:rsidRPr="00F7059A">
        <w:rPr>
          <w:vertAlign w:val="superscript"/>
        </w:rPr>
        <w:t>th</w:t>
      </w:r>
      <w:r w:rsidR="00F7059A">
        <w:t xml:space="preserve"> and 8</w:t>
      </w:r>
      <w:r w:rsidR="00F7059A" w:rsidRPr="00F7059A">
        <w:rPr>
          <w:vertAlign w:val="superscript"/>
        </w:rPr>
        <w:t>th</w:t>
      </w:r>
      <w:r w:rsidR="00F7059A">
        <w:t xml:space="preserve"> grade (middle school), students take language arts in both Spanish and English, social studies in Spanish, and math and science </w:t>
      </w:r>
      <w:r w:rsidR="00F7059A">
        <w:lastRenderedPageBreak/>
        <w:t xml:space="preserve">in English. </w:t>
      </w:r>
      <w:r w:rsidR="004651C4">
        <w:t>From 9</w:t>
      </w:r>
      <w:r w:rsidR="004651C4" w:rsidRPr="004651C4">
        <w:rPr>
          <w:vertAlign w:val="superscript"/>
        </w:rPr>
        <w:t>th</w:t>
      </w:r>
      <w:r w:rsidR="004651C4">
        <w:t xml:space="preserve"> to 12</w:t>
      </w:r>
      <w:r w:rsidR="004651C4" w:rsidRPr="004651C4">
        <w:rPr>
          <w:vertAlign w:val="superscript"/>
        </w:rPr>
        <w:t>th</w:t>
      </w:r>
      <w:r w:rsidR="004651C4">
        <w:t xml:space="preserve"> grade</w:t>
      </w:r>
      <w:r w:rsidR="00F7059A">
        <w:t>, students take Spanish language arts and at least one additional core subject course in Spanish</w:t>
      </w:r>
      <w:r w:rsidR="004651C4">
        <w:t xml:space="preserve"> every year</w:t>
      </w:r>
      <w:r w:rsidR="00F7059A">
        <w:t>. In addition, all 9</w:t>
      </w:r>
      <w:r w:rsidR="00F7059A" w:rsidRPr="00F7059A">
        <w:rPr>
          <w:vertAlign w:val="superscript"/>
        </w:rPr>
        <w:t>th</w:t>
      </w:r>
      <w:r w:rsidR="00F7059A">
        <w:t xml:space="preserve"> grade DL students are required to take the Advanced Placement Spanish </w:t>
      </w:r>
      <w:r w:rsidR="0037469A">
        <w:t xml:space="preserve">Language </w:t>
      </w:r>
      <w:r w:rsidR="00F7059A">
        <w:t xml:space="preserve">exam. </w:t>
      </w:r>
    </w:p>
    <w:p w14:paraId="0E1537A3" w14:textId="32A131B1" w:rsidR="0055596F" w:rsidRDefault="00F858C8" w:rsidP="004B52F3">
      <w:pPr>
        <w:spacing w:line="480" w:lineRule="auto"/>
        <w:jc w:val="center"/>
        <w:rPr>
          <w:b/>
          <w:bCs/>
        </w:rPr>
      </w:pPr>
      <w:r>
        <w:rPr>
          <w:b/>
          <w:bCs/>
        </w:rPr>
        <w:t>Data</w:t>
      </w:r>
      <w:r w:rsidR="0055596F">
        <w:rPr>
          <w:b/>
          <w:bCs/>
        </w:rPr>
        <w:t xml:space="preserve"> and Sample</w:t>
      </w:r>
    </w:p>
    <w:p w14:paraId="59ECE0E5" w14:textId="2A577A1D" w:rsidR="007E48EE" w:rsidRDefault="0055596F" w:rsidP="004B52F3">
      <w:pPr>
        <w:spacing w:line="480" w:lineRule="auto"/>
      </w:pPr>
      <w:r>
        <w:tab/>
        <w:t xml:space="preserve">The data for this study </w:t>
      </w:r>
      <w:r w:rsidR="00776E3E">
        <w:t xml:space="preserve">come from </w:t>
      </w:r>
      <w:r>
        <w:t>the district’s administrative records</w:t>
      </w:r>
      <w:r w:rsidR="00776E3E">
        <w:t xml:space="preserve"> between school years 20</w:t>
      </w:r>
      <w:r w:rsidR="000256C0">
        <w:t>09-10</w:t>
      </w:r>
      <w:r w:rsidR="00776E3E">
        <w:t xml:space="preserve"> and 20</w:t>
      </w:r>
      <w:r w:rsidR="001527A0">
        <w:t>19-20</w:t>
      </w:r>
      <w:r w:rsidR="00776E3E">
        <w:t>. Variables</w:t>
      </w:r>
      <w:r w:rsidR="00F2338F">
        <w:t xml:space="preserve"> include students’ (a) demographic characteristics (e.g., </w:t>
      </w:r>
      <w:r w:rsidR="007D3959">
        <w:t>biological sex</w:t>
      </w:r>
      <w:r w:rsidR="00F2338F">
        <w:t xml:space="preserve">, race/ethnicity, home language); (b) eligibility to receive EL, free or reduced-price lunch (FRPL), and </w:t>
      </w:r>
      <w:r w:rsidR="00776E3E">
        <w:t>S</w:t>
      </w:r>
      <w:r w:rsidR="00E91AB0">
        <w:t>pecial Education (SPED)</w:t>
      </w:r>
      <w:r w:rsidR="00D60706">
        <w:rPr>
          <w:vertAlign w:val="superscript"/>
        </w:rPr>
        <w:t>4</w:t>
      </w:r>
      <w:r w:rsidR="00776E3E">
        <w:t xml:space="preserve"> </w:t>
      </w:r>
      <w:r w:rsidR="00F2338F">
        <w:t>services</w:t>
      </w:r>
      <w:r w:rsidR="007E48EE">
        <w:t xml:space="preserve"> and participation</w:t>
      </w:r>
      <w:r w:rsidR="00F2338F">
        <w:t xml:space="preserve">; (c) </w:t>
      </w:r>
      <w:r w:rsidR="007137D1">
        <w:t>course enrollment, which identifies DL</w:t>
      </w:r>
      <w:r w:rsidR="007E48EE">
        <w:t xml:space="preserve"> participation</w:t>
      </w:r>
      <w:r w:rsidR="00F2338F">
        <w:t xml:space="preserve">; and (d) </w:t>
      </w:r>
      <w:r w:rsidR="00B41D7C">
        <w:t>academic assessment</w:t>
      </w:r>
      <w:r w:rsidR="00F2338F">
        <w:t xml:space="preserve"> scores. </w:t>
      </w:r>
    </w:p>
    <w:p w14:paraId="53A8570C" w14:textId="56435737" w:rsidR="007E48EE" w:rsidRDefault="007E48EE" w:rsidP="004B52F3">
      <w:pPr>
        <w:spacing w:line="480" w:lineRule="auto"/>
        <w:rPr>
          <w:b/>
          <w:bCs/>
        </w:rPr>
      </w:pPr>
      <w:r w:rsidRPr="007E48EE">
        <w:rPr>
          <w:b/>
          <w:bCs/>
        </w:rPr>
        <w:t>Assessment Scores</w:t>
      </w:r>
    </w:p>
    <w:p w14:paraId="7D813EFF" w14:textId="42EEA2DE" w:rsidR="00AB55F3" w:rsidRDefault="007E48EE" w:rsidP="004B52F3">
      <w:pPr>
        <w:spacing w:line="480" w:lineRule="auto"/>
        <w:ind w:firstLine="720"/>
        <w:rPr>
          <w:bCs/>
        </w:rPr>
      </w:pPr>
      <w:bookmarkStart w:id="7" w:name="_Hlk139277161"/>
      <w:r>
        <w:t xml:space="preserve">This study </w:t>
      </w:r>
      <w:r w:rsidR="002C0E51">
        <w:t>focuses on NWEA’s</w:t>
      </w:r>
      <w:r>
        <w:t xml:space="preserve"> MAP Growth</w:t>
      </w:r>
      <w:r w:rsidR="00ED14BE">
        <w:t xml:space="preserve"> assessment</w:t>
      </w:r>
      <w:r w:rsidR="002C0E51">
        <w:t xml:space="preserve">. </w:t>
      </w:r>
      <w:r w:rsidR="00C33475">
        <w:rPr>
          <w:rFonts w:cs="Times New Roman"/>
          <w:szCs w:val="24"/>
        </w:rPr>
        <w:t>MAP Growth is a computer adaptive test</w:t>
      </w:r>
      <w:r w:rsidR="00B41D7C">
        <w:rPr>
          <w:rFonts w:cs="Times New Roman"/>
          <w:szCs w:val="24"/>
        </w:rPr>
        <w:t xml:space="preserve">, </w:t>
      </w:r>
      <w:r w:rsidR="00C33475">
        <w:rPr>
          <w:rFonts w:cs="Times New Roman"/>
          <w:szCs w:val="24"/>
        </w:rPr>
        <w:t xml:space="preserve">which </w:t>
      </w:r>
      <w:r w:rsidR="00B41D7C">
        <w:rPr>
          <w:rFonts w:cs="Times New Roman"/>
          <w:szCs w:val="24"/>
        </w:rPr>
        <w:t xml:space="preserve">provides </w:t>
      </w:r>
      <w:r w:rsidR="00473D1F">
        <w:rPr>
          <w:rFonts w:cs="Times New Roman"/>
          <w:szCs w:val="24"/>
        </w:rPr>
        <w:t xml:space="preserve">a </w:t>
      </w:r>
      <w:r w:rsidR="00B41D7C">
        <w:rPr>
          <w:rFonts w:cs="Times New Roman"/>
          <w:szCs w:val="24"/>
        </w:rPr>
        <w:t xml:space="preserve">precise </w:t>
      </w:r>
      <w:r w:rsidR="00C33475">
        <w:rPr>
          <w:rFonts w:cs="Times New Roman"/>
          <w:szCs w:val="24"/>
        </w:rPr>
        <w:t>measurement even for students above or below grade leve</w:t>
      </w:r>
      <w:r w:rsidR="00B41D7C">
        <w:rPr>
          <w:rFonts w:cs="Times New Roman"/>
          <w:szCs w:val="24"/>
        </w:rPr>
        <w:t>l.</w:t>
      </w:r>
      <w:r w:rsidR="00D60706">
        <w:rPr>
          <w:rFonts w:cs="Times New Roman"/>
          <w:szCs w:val="24"/>
          <w:vertAlign w:val="superscript"/>
        </w:rPr>
        <w:t>5</w:t>
      </w:r>
      <w:r w:rsidR="00B41D7C">
        <w:rPr>
          <w:rFonts w:cs="Times New Roman"/>
          <w:szCs w:val="24"/>
        </w:rPr>
        <w:t xml:space="preserve"> </w:t>
      </w:r>
      <w:r w:rsidR="00553AB8">
        <w:rPr>
          <w:bCs/>
        </w:rPr>
        <w:t xml:space="preserve">The assessments are aligned to </w:t>
      </w:r>
      <w:r w:rsidR="002F3ABF">
        <w:rPr>
          <w:bCs/>
        </w:rPr>
        <w:t xml:space="preserve">the state’s </w:t>
      </w:r>
      <w:r w:rsidR="00553AB8">
        <w:rPr>
          <w:bCs/>
        </w:rPr>
        <w:t>content standards</w:t>
      </w:r>
      <w:r w:rsidR="00553AB8">
        <w:t xml:space="preserve">. </w:t>
      </w:r>
      <w:r w:rsidR="00AB55F3">
        <w:t xml:space="preserve">States and districts choose to administer MAP Growth to their students for various purposes, including monitoring academic achievement and growth. </w:t>
      </w:r>
      <w:r w:rsidR="00AB55F3">
        <w:rPr>
          <w:bCs/>
        </w:rPr>
        <w:t>The t</w:t>
      </w:r>
      <w:r w:rsidR="00C33475">
        <w:rPr>
          <w:bCs/>
        </w:rPr>
        <w:t>est</w:t>
      </w:r>
      <w:r w:rsidR="00AB55F3">
        <w:rPr>
          <w:bCs/>
        </w:rPr>
        <w:t>s</w:t>
      </w:r>
      <w:r w:rsidR="00C33475">
        <w:rPr>
          <w:bCs/>
        </w:rPr>
        <w:t xml:space="preserve"> </w:t>
      </w:r>
      <w:r w:rsidR="00AB55F3">
        <w:rPr>
          <w:bCs/>
        </w:rPr>
        <w:t xml:space="preserve">are untimed, though they typically </w:t>
      </w:r>
      <w:r w:rsidR="00C33475">
        <w:rPr>
          <w:bCs/>
        </w:rPr>
        <w:t xml:space="preserve">take approximately 40 to 60 </w:t>
      </w:r>
      <w:r w:rsidR="00473D1F">
        <w:rPr>
          <w:bCs/>
        </w:rPr>
        <w:t xml:space="preserve">minutes </w:t>
      </w:r>
      <w:r w:rsidR="00AB55F3">
        <w:rPr>
          <w:bCs/>
        </w:rPr>
        <w:t>for students to complete. States and district</w:t>
      </w:r>
      <w:r w:rsidR="007A2E0D">
        <w:rPr>
          <w:bCs/>
        </w:rPr>
        <w:t>s</w:t>
      </w:r>
      <w:r w:rsidR="00AB55F3">
        <w:rPr>
          <w:bCs/>
        </w:rPr>
        <w:t xml:space="preserve"> decide when and how many times to administer MAP Growth, depending on their assessment need and context. Testing typically</w:t>
      </w:r>
      <w:r w:rsidR="00C33475">
        <w:rPr>
          <w:bCs/>
        </w:rPr>
        <w:t xml:space="preserve"> t</w:t>
      </w:r>
      <w:r w:rsidR="00AB55F3">
        <w:rPr>
          <w:bCs/>
        </w:rPr>
        <w:t>akes</w:t>
      </w:r>
      <w:r w:rsidR="00C33475">
        <w:rPr>
          <w:bCs/>
        </w:rPr>
        <w:t xml:space="preserve"> place three times per academic year—in the fall, winter, and spring.</w:t>
      </w:r>
      <w:r w:rsidR="007A2E0D">
        <w:rPr>
          <w:bCs/>
        </w:rPr>
        <w:t xml:space="preserve"> Up to and through </w:t>
      </w:r>
      <w:r w:rsidR="001527A0">
        <w:rPr>
          <w:bCs/>
        </w:rPr>
        <w:t>winter 2020</w:t>
      </w:r>
      <w:r w:rsidR="007A2E0D">
        <w:rPr>
          <w:bCs/>
        </w:rPr>
        <w:t>, s</w:t>
      </w:r>
      <w:r w:rsidR="00AB55F3">
        <w:rPr>
          <w:bCs/>
        </w:rPr>
        <w:t xml:space="preserve">tudents took the tests in school during regular school hours on electronic devices provided by the school, with school staff (often their classroom teacher) proctoring the test sessions and providing </w:t>
      </w:r>
      <w:r w:rsidR="007A2E0D">
        <w:rPr>
          <w:bCs/>
        </w:rPr>
        <w:t xml:space="preserve">necessary </w:t>
      </w:r>
      <w:r w:rsidR="00AB55F3">
        <w:rPr>
          <w:bCs/>
        </w:rPr>
        <w:t>support</w:t>
      </w:r>
      <w:r w:rsidR="007A2E0D">
        <w:rPr>
          <w:bCs/>
        </w:rPr>
        <w:t xml:space="preserve"> </w:t>
      </w:r>
      <w:r w:rsidR="00AB55F3">
        <w:rPr>
          <w:bCs/>
        </w:rPr>
        <w:t xml:space="preserve">with navigation of the test interface. </w:t>
      </w:r>
      <w:r w:rsidR="00553AB8">
        <w:rPr>
          <w:rFonts w:cs="Times New Roman"/>
          <w:szCs w:val="24"/>
        </w:rPr>
        <w:t xml:space="preserve">The assessment is vertically scaled to allow for the estimation of gains across time. </w:t>
      </w:r>
      <w:r w:rsidR="006863CD">
        <w:rPr>
          <w:bCs/>
        </w:rPr>
        <w:t xml:space="preserve">Test scores are reported on the </w:t>
      </w:r>
      <w:r w:rsidR="006863CD">
        <w:rPr>
          <w:bCs/>
        </w:rPr>
        <w:lastRenderedPageBreak/>
        <w:t>R</w:t>
      </w:r>
      <w:r w:rsidR="0009459F">
        <w:rPr>
          <w:bCs/>
        </w:rPr>
        <w:t xml:space="preserve">asch </w:t>
      </w:r>
      <w:proofErr w:type="spellStart"/>
      <w:r w:rsidR="0009459F">
        <w:rPr>
          <w:bCs/>
        </w:rPr>
        <w:t>un</w:t>
      </w:r>
      <w:r w:rsidR="006863CD">
        <w:rPr>
          <w:bCs/>
        </w:rPr>
        <w:t>IT</w:t>
      </w:r>
      <w:proofErr w:type="spellEnd"/>
      <w:r w:rsidR="0009459F">
        <w:rPr>
          <w:bCs/>
        </w:rPr>
        <w:t xml:space="preserve"> (RIT)</w:t>
      </w:r>
      <w:r w:rsidR="006863CD">
        <w:rPr>
          <w:bCs/>
        </w:rPr>
        <w:t xml:space="preserve"> scale, where RIT is a linear transformation of the logit scale units of the Rasch item response theory model. </w:t>
      </w:r>
    </w:p>
    <w:p w14:paraId="4289C77C" w14:textId="20CFF2DF" w:rsidR="006863CD" w:rsidRPr="0021661C" w:rsidRDefault="00553AB8" w:rsidP="004B52F3">
      <w:pPr>
        <w:spacing w:line="480" w:lineRule="auto"/>
        <w:ind w:firstLine="720"/>
      </w:pPr>
      <w:r>
        <w:rPr>
          <w:bCs/>
        </w:rPr>
        <w:t>In this district, students</w:t>
      </w:r>
      <w:r w:rsidR="00ED14BE">
        <w:rPr>
          <w:bCs/>
        </w:rPr>
        <w:t xml:space="preserve"> took</w:t>
      </w:r>
      <w:r>
        <w:rPr>
          <w:bCs/>
        </w:rPr>
        <w:t xml:space="preserve"> the MAP Growth assessments </w:t>
      </w:r>
      <w:r w:rsidR="00C77476">
        <w:rPr>
          <w:bCs/>
        </w:rPr>
        <w:t xml:space="preserve">three times a year, </w:t>
      </w:r>
      <w:r>
        <w:rPr>
          <w:bCs/>
        </w:rPr>
        <w:t>from the fall of 2</w:t>
      </w:r>
      <w:r w:rsidRPr="00553AB8">
        <w:rPr>
          <w:bCs/>
          <w:vertAlign w:val="superscript"/>
        </w:rPr>
        <w:t>nd</w:t>
      </w:r>
      <w:r>
        <w:rPr>
          <w:bCs/>
        </w:rPr>
        <w:t xml:space="preserve"> grade to the winter of 8</w:t>
      </w:r>
      <w:r w:rsidRPr="00553AB8">
        <w:rPr>
          <w:bCs/>
          <w:vertAlign w:val="superscript"/>
        </w:rPr>
        <w:t>th</w:t>
      </w:r>
      <w:r>
        <w:rPr>
          <w:bCs/>
        </w:rPr>
        <w:t xml:space="preserve"> grade</w:t>
      </w:r>
      <w:r w:rsidR="007E48EE">
        <w:rPr>
          <w:bCs/>
        </w:rPr>
        <w:t xml:space="preserve"> between 2004-05 and </w:t>
      </w:r>
      <w:r w:rsidR="001527A0">
        <w:rPr>
          <w:bCs/>
        </w:rPr>
        <w:t>winter 2020</w:t>
      </w:r>
      <w:r>
        <w:rPr>
          <w:bCs/>
        </w:rPr>
        <w:t xml:space="preserve">. </w:t>
      </w:r>
      <w:r w:rsidR="000256C0">
        <w:rPr>
          <w:bCs/>
        </w:rPr>
        <w:t>I use data for cohorts of students</w:t>
      </w:r>
      <w:r w:rsidR="003F0873">
        <w:rPr>
          <w:bCs/>
        </w:rPr>
        <w:t xml:space="preserve"> (defined by the year of entering 2</w:t>
      </w:r>
      <w:r w:rsidR="003F0873" w:rsidRPr="003F0873">
        <w:rPr>
          <w:bCs/>
          <w:vertAlign w:val="superscript"/>
        </w:rPr>
        <w:t>nd</w:t>
      </w:r>
      <w:r w:rsidR="003F0873">
        <w:rPr>
          <w:bCs/>
        </w:rPr>
        <w:t xml:space="preserve"> grade)</w:t>
      </w:r>
      <w:r w:rsidR="000256C0">
        <w:rPr>
          <w:bCs/>
        </w:rPr>
        <w:t xml:space="preserve"> who were in 2</w:t>
      </w:r>
      <w:r w:rsidR="000256C0" w:rsidRPr="000256C0">
        <w:rPr>
          <w:bCs/>
          <w:vertAlign w:val="superscript"/>
        </w:rPr>
        <w:t>nd</w:t>
      </w:r>
      <w:r w:rsidR="000256C0">
        <w:rPr>
          <w:bCs/>
        </w:rPr>
        <w:t xml:space="preserve"> grade after the start of DL, from 2011-12 to </w:t>
      </w:r>
      <w:r w:rsidR="001527A0">
        <w:rPr>
          <w:bCs/>
        </w:rPr>
        <w:t>winter 2020</w:t>
      </w:r>
      <w:r w:rsidR="000256C0">
        <w:rPr>
          <w:bCs/>
        </w:rPr>
        <w:t xml:space="preserve">. </w:t>
      </w:r>
      <w:r w:rsidR="002C229F">
        <w:t xml:space="preserve">Eighth-grade spring testing is optional in the district, therefore test scores in that term are excluded. </w:t>
      </w:r>
    </w:p>
    <w:bookmarkEnd w:id="7"/>
    <w:p w14:paraId="5578875D" w14:textId="0BEDCE09" w:rsidR="00161F83" w:rsidRPr="007E48EE" w:rsidRDefault="007E48EE" w:rsidP="004B52F3">
      <w:pPr>
        <w:spacing w:line="480" w:lineRule="auto"/>
        <w:rPr>
          <w:b/>
          <w:bCs/>
        </w:rPr>
      </w:pPr>
      <w:r w:rsidRPr="007E48EE">
        <w:rPr>
          <w:b/>
          <w:bCs/>
        </w:rPr>
        <w:t>Student and School Covariates</w:t>
      </w:r>
    </w:p>
    <w:p w14:paraId="30686C38" w14:textId="7130D211" w:rsidR="000D2933" w:rsidRDefault="00687E12" w:rsidP="004B52F3">
      <w:pPr>
        <w:spacing w:line="480" w:lineRule="auto"/>
        <w:ind w:firstLine="720"/>
      </w:pPr>
      <w:r>
        <w:t xml:space="preserve">I observe a comprehensive set of student demographic characteristics and school-level student composition variables. I include key student- and school-level covariates in my analyses (described in the Analysis section) because prior research (e.g., Valentino &amp; Reardon, 2015) has shown them to be strongly correlated with student achievement and used them as statistical controls. </w:t>
      </w:r>
      <w:proofErr w:type="gramStart"/>
      <w:r w:rsidR="007137D1">
        <w:t>For the purpose of</w:t>
      </w:r>
      <w:proofErr w:type="gramEnd"/>
      <w:r w:rsidR="009071BD">
        <w:t xml:space="preserve"> multilevel growth modeling</w:t>
      </w:r>
      <w:r w:rsidR="007137D1">
        <w:t xml:space="preserve">, </w:t>
      </w:r>
      <w:r w:rsidR="009071BD">
        <w:t>student- and school-level covariates are treated as constant</w:t>
      </w:r>
      <w:r w:rsidR="008008D5">
        <w:t xml:space="preserve"> across time</w:t>
      </w:r>
      <w:r w:rsidR="009071BD">
        <w:t>. A</w:t>
      </w:r>
      <w:r w:rsidR="007137D1">
        <w:t xml:space="preserve">nnual support service eligibility flags are used to generate ever-eligible indicators at the student level. Each student thus has an ever-EL, an ever-FRPL, and an ever-SPED variable that has the same value across all time points in the data. </w:t>
      </w:r>
      <w:bookmarkStart w:id="8" w:name="_Hlk139275791"/>
      <w:r w:rsidR="008A7EE1">
        <w:t xml:space="preserve">Since very few DL students leave the program, ever-participating is essentially equivalent to consistently participating; therefore, I use ever-DL as a student-level indicator for participation. </w:t>
      </w:r>
      <w:r w:rsidR="001C14B9">
        <w:t>I also include an indicator for refusing EL service at any time before the fall of 2</w:t>
      </w:r>
      <w:r w:rsidR="001C14B9" w:rsidRPr="001C14B9">
        <w:rPr>
          <w:vertAlign w:val="superscript"/>
        </w:rPr>
        <w:t>nd</w:t>
      </w:r>
      <w:r w:rsidR="001C14B9">
        <w:t xml:space="preserve"> grade</w:t>
      </w:r>
      <w:r w:rsidR="004D09AC">
        <w:t>. All ELs are entitled to receiving</w:t>
      </w:r>
      <w:r w:rsidR="008A7EE1">
        <w:t xml:space="preserve"> support</w:t>
      </w:r>
      <w:r w:rsidR="004D09AC">
        <w:t xml:space="preserve"> service, but students’ families can choose to opt out of service. Though individual families’ rationale for refusing EL service are unknown, s</w:t>
      </w:r>
      <w:r w:rsidR="001C14B9">
        <w:t>tudents whose families refused service may be systematically different from students whose families consistently accepted EL service.</w:t>
      </w:r>
      <w:r w:rsidR="00036B18">
        <w:t xml:space="preserve"> </w:t>
      </w:r>
      <w:bookmarkStart w:id="9" w:name="_Hlk139276117"/>
      <w:bookmarkEnd w:id="8"/>
      <w:r w:rsidR="004D09AC">
        <w:t xml:space="preserve">For example, some students may have had high English proficiencies close </w:t>
      </w:r>
      <w:r w:rsidR="004D09AC">
        <w:lastRenderedPageBreak/>
        <w:t xml:space="preserve">to but not quite meeting the cut scores for the state’s English proficiency test; their families may have refused EL service believing that their child’s English proficiency and other skills are sufficient to succeed in a general education setting without language support. </w:t>
      </w:r>
      <w:bookmarkEnd w:id="9"/>
      <w:r w:rsidR="00776E3E">
        <w:t>Using student-level data, I calculate</w:t>
      </w:r>
      <w:r w:rsidR="009D49C5">
        <w:t xml:space="preserve"> </w:t>
      </w:r>
      <w:r w:rsidR="006226E8">
        <w:t xml:space="preserve">the </w:t>
      </w:r>
      <w:r w:rsidR="00776E3E">
        <w:t xml:space="preserve">percentages of students </w:t>
      </w:r>
      <w:r w:rsidR="009D49C5">
        <w:t xml:space="preserve">enrolled </w:t>
      </w:r>
      <w:r w:rsidR="006226E8">
        <w:t xml:space="preserve">at each school </w:t>
      </w:r>
      <w:r w:rsidR="009D49C5">
        <w:t xml:space="preserve">who are </w:t>
      </w:r>
      <w:r w:rsidR="00776E3E">
        <w:t>eligible for EL</w:t>
      </w:r>
      <w:r w:rsidR="006226E8">
        <w:t xml:space="preserve"> and</w:t>
      </w:r>
      <w:r w:rsidR="00776E3E">
        <w:t xml:space="preserve"> FRPL</w:t>
      </w:r>
      <w:r w:rsidR="006226E8">
        <w:t xml:space="preserve"> services</w:t>
      </w:r>
      <w:r w:rsidR="00776E3E">
        <w:t>.</w:t>
      </w:r>
      <w:r w:rsidR="007137D1">
        <w:t xml:space="preserve"> </w:t>
      </w:r>
      <w:r w:rsidR="009071BD">
        <w:t xml:space="preserve">Students are nested within the first school attended in the district, and school-level characteristics </w:t>
      </w:r>
      <w:r w:rsidR="008008D5">
        <w:t>are treated as constant across time</w:t>
      </w:r>
      <w:r w:rsidR="008008D5" w:rsidRPr="00BF5838">
        <w:t>.</w:t>
      </w:r>
      <w:r w:rsidR="00D60706">
        <w:rPr>
          <w:vertAlign w:val="superscript"/>
        </w:rPr>
        <w:t>6</w:t>
      </w:r>
      <w:r w:rsidR="008008D5">
        <w:t xml:space="preserve"> </w:t>
      </w:r>
    </w:p>
    <w:p w14:paraId="50D995CA" w14:textId="746C37D8" w:rsidR="000D2933" w:rsidRDefault="002723F6" w:rsidP="0001548E">
      <w:pPr>
        <w:keepNext/>
        <w:spacing w:line="480" w:lineRule="auto"/>
        <w:rPr>
          <w:b/>
          <w:bCs/>
        </w:rPr>
      </w:pPr>
      <w:r>
        <w:rPr>
          <w:b/>
          <w:bCs/>
        </w:rPr>
        <w:t>Sample</w:t>
      </w:r>
    </w:p>
    <w:p w14:paraId="7A661A54" w14:textId="7D55EF2C" w:rsidR="00DE2B0C" w:rsidRDefault="009E7204" w:rsidP="004B52F3">
      <w:pPr>
        <w:spacing w:line="480" w:lineRule="auto"/>
        <w:ind w:firstLine="720"/>
      </w:pPr>
      <w:r>
        <w:t>I retain only Hispanic students</w:t>
      </w:r>
      <w:r w:rsidR="00FE7B08">
        <w:t xml:space="preserve"> (including ELs and non-ELs)</w:t>
      </w:r>
      <w:r>
        <w:t xml:space="preserve"> in the analytic sample s</w:t>
      </w:r>
      <w:r w:rsidR="00861F57">
        <w:t xml:space="preserve">ince the </w:t>
      </w:r>
      <w:r w:rsidR="00116A6B">
        <w:t xml:space="preserve">Spanish-English DL was designed </w:t>
      </w:r>
      <w:r w:rsidR="00C652FD">
        <w:t xml:space="preserve">primarily </w:t>
      </w:r>
      <w:r w:rsidR="00116A6B">
        <w:t>to serve Spanish-speaking students</w:t>
      </w:r>
      <w:r w:rsidR="00861F57">
        <w:t xml:space="preserve"> and </w:t>
      </w:r>
      <w:proofErr w:type="gramStart"/>
      <w:r w:rsidR="00861F57">
        <w:t>the vast majority of</w:t>
      </w:r>
      <w:proofErr w:type="gramEnd"/>
      <w:r w:rsidR="00861F57">
        <w:t xml:space="preserve"> participants have been students whose reported race/ethnicity</w:t>
      </w:r>
      <w:r w:rsidR="00B46E35">
        <w:t xml:space="preserve"> is</w:t>
      </w:r>
      <w:r w:rsidR="00861F57">
        <w:t xml:space="preserve"> Hispanic</w:t>
      </w:r>
      <w:r w:rsidR="0036776C">
        <w:t>.</w:t>
      </w:r>
      <w:r>
        <w:t xml:space="preserve"> </w:t>
      </w:r>
      <w:bookmarkStart w:id="10" w:name="_Hlk85120515"/>
      <w:r w:rsidR="00E72C3E">
        <w:t xml:space="preserve">However, I do not observe Spanish proficiency or complete English proficiency data for the Hispanic students in my sample, therefore, I am unable to distinguish language proficiency beyond EL status. </w:t>
      </w:r>
      <w:bookmarkEnd w:id="10"/>
      <w:r w:rsidR="00461263">
        <w:t xml:space="preserve">In the descriptive analyses outlined in the </w:t>
      </w:r>
      <w:r w:rsidR="002C3B96">
        <w:t>next</w:t>
      </w:r>
      <w:r w:rsidR="00461263">
        <w:t xml:space="preserve"> section, I compare </w:t>
      </w:r>
      <w:r w:rsidR="002C3B96">
        <w:t xml:space="preserve">the academic growth of </w:t>
      </w:r>
      <w:r w:rsidR="00461263">
        <w:t>DL participants (students in cohorts</w:t>
      </w:r>
      <w:r w:rsidR="008C763D">
        <w:t xml:space="preserve"> after start of the program,</w:t>
      </w:r>
      <w:r w:rsidR="00461263">
        <w:t xml:space="preserve"> </w:t>
      </w:r>
      <w:r w:rsidR="008C763D">
        <w:t xml:space="preserve">or “post-program cohorts”, </w:t>
      </w:r>
      <w:r w:rsidR="00461263">
        <w:t xml:space="preserve">who enrolled) to nonparticipants (students in post-program cohorts who could have enrolled but did not). </w:t>
      </w:r>
      <w:bookmarkStart w:id="11" w:name="_Hlk85541701"/>
      <w:r w:rsidR="001E42E1">
        <w:t>It is important to note that n</w:t>
      </w:r>
      <w:r w:rsidR="00805979">
        <w:t xml:space="preserve">onparticipants in post-DL cohorts shared time-specific schooling experiences with participants but may have differed in systematic ways. The unobserved characteristics that led some Hispanic students to enroll in DL and others </w:t>
      </w:r>
      <w:r w:rsidR="001E42E1">
        <w:t xml:space="preserve">not </w:t>
      </w:r>
      <w:r w:rsidR="00805979">
        <w:t xml:space="preserve">may also be driving differences in achievement growth. </w:t>
      </w:r>
      <w:r w:rsidR="001E42E1">
        <w:t xml:space="preserve">Though this paper does not aim to provide causal estimates, I conduct a series of sensitivity analyses </w:t>
      </w:r>
      <w:proofErr w:type="gramStart"/>
      <w:r w:rsidR="001E42E1">
        <w:t>in an effort to</w:t>
      </w:r>
      <w:proofErr w:type="gramEnd"/>
      <w:r w:rsidR="00473D3F">
        <w:t xml:space="preserve"> account for baseline differences</w:t>
      </w:r>
      <w:r w:rsidR="001E42E1">
        <w:t xml:space="preserve">. </w:t>
      </w:r>
      <w:r w:rsidR="00473D3F" w:rsidRPr="00473D3F">
        <w:t xml:space="preserve">These include </w:t>
      </w:r>
      <w:r w:rsidR="00B25343" w:rsidRPr="00473D3F">
        <w:t>(a)</w:t>
      </w:r>
      <w:r w:rsidR="00805979" w:rsidRPr="00473D3F">
        <w:t xml:space="preserve"> </w:t>
      </w:r>
      <w:r w:rsidR="00B25343" w:rsidRPr="00473D3F">
        <w:t xml:space="preserve">adding cohort </w:t>
      </w:r>
      <w:r w:rsidR="00BF5838" w:rsidRPr="00473D3F">
        <w:t>dummies</w:t>
      </w:r>
      <w:r w:rsidR="00B25343" w:rsidRPr="00473D3F">
        <w:t xml:space="preserve"> to the model </w:t>
      </w:r>
      <w:r w:rsidR="00BF5838" w:rsidRPr="00473D3F">
        <w:t xml:space="preserve">and </w:t>
      </w:r>
      <w:r w:rsidR="00473D3F" w:rsidRPr="00473D3F">
        <w:t>(b) controlling for early literacy assessment scores before 2</w:t>
      </w:r>
      <w:r w:rsidR="00473D3F" w:rsidRPr="00473D3F">
        <w:rPr>
          <w:vertAlign w:val="superscript"/>
        </w:rPr>
        <w:t>nd</w:t>
      </w:r>
      <w:r w:rsidR="00473D3F" w:rsidRPr="00473D3F">
        <w:t xml:space="preserve"> grade. The results are reported</w:t>
      </w:r>
      <w:r w:rsidR="000C3D40" w:rsidRPr="00473D3F">
        <w:t xml:space="preserve"> </w:t>
      </w:r>
      <w:r w:rsidR="001E733D" w:rsidRPr="00473D3F">
        <w:t xml:space="preserve">in the </w:t>
      </w:r>
      <w:r w:rsidR="00B5033B">
        <w:t>online s</w:t>
      </w:r>
      <w:r w:rsidR="001E733D" w:rsidRPr="00473D3F">
        <w:t xml:space="preserve">upplemental </w:t>
      </w:r>
      <w:r w:rsidR="00B5033B">
        <w:t>m</w:t>
      </w:r>
      <w:r w:rsidR="001E733D" w:rsidRPr="00473D3F">
        <w:t>aterials</w:t>
      </w:r>
      <w:r w:rsidR="00805979" w:rsidRPr="00473D3F">
        <w:t>.</w:t>
      </w:r>
    </w:p>
    <w:bookmarkEnd w:id="11"/>
    <w:p w14:paraId="6D2A4A9C" w14:textId="5CB0A085" w:rsidR="00163298" w:rsidRDefault="00CF784A" w:rsidP="004B52F3">
      <w:pPr>
        <w:spacing w:line="480" w:lineRule="auto"/>
        <w:ind w:firstLine="720"/>
      </w:pPr>
      <w:r>
        <w:lastRenderedPageBreak/>
        <w:t xml:space="preserve">I observe achievement </w:t>
      </w:r>
      <w:r w:rsidR="008A7EE1">
        <w:t xml:space="preserve">scores </w:t>
      </w:r>
      <w:r>
        <w:t xml:space="preserve">at up to 20 time points for each student, for a total of </w:t>
      </w:r>
      <w:r w:rsidR="001E42E1">
        <w:t>156,212</w:t>
      </w:r>
      <w:r>
        <w:t xml:space="preserve"> </w:t>
      </w:r>
      <w:r w:rsidR="00FF570C">
        <w:t xml:space="preserve">math </w:t>
      </w:r>
      <w:r>
        <w:t xml:space="preserve">test scores </w:t>
      </w:r>
      <w:r w:rsidR="00FF570C">
        <w:t xml:space="preserve">and </w:t>
      </w:r>
      <w:r w:rsidR="001E42E1">
        <w:t>155,459</w:t>
      </w:r>
      <w:r w:rsidR="00FF570C">
        <w:t xml:space="preserve"> </w:t>
      </w:r>
      <w:r w:rsidR="000440AB">
        <w:t xml:space="preserve">English </w:t>
      </w:r>
      <w:r w:rsidR="00FF570C">
        <w:t>reading test scores</w:t>
      </w:r>
      <w:r>
        <w:t xml:space="preserve"> nested within </w:t>
      </w:r>
      <w:r w:rsidR="001E42E1">
        <w:t>14,577</w:t>
      </w:r>
      <w:r>
        <w:t xml:space="preserve"> students within 5</w:t>
      </w:r>
      <w:r w:rsidR="001E42E1">
        <w:t>0</w:t>
      </w:r>
      <w:r>
        <w:t xml:space="preserve"> schools. </w:t>
      </w:r>
      <w:r w:rsidR="002C0E51">
        <w:t>Table</w:t>
      </w:r>
      <w:r w:rsidR="0021622D">
        <w:t xml:space="preserve"> 1</w:t>
      </w:r>
      <w:r w:rsidR="002C0E51">
        <w:t xml:space="preserve"> sh</w:t>
      </w:r>
      <w:r w:rsidR="00573D78">
        <w:t>o</w:t>
      </w:r>
      <w:r w:rsidR="002C0E51">
        <w:t xml:space="preserve">ws the </w:t>
      </w:r>
      <w:r w:rsidR="006C05EB">
        <w:t xml:space="preserve">summary statistics </w:t>
      </w:r>
      <w:r w:rsidR="00C91371">
        <w:t xml:space="preserve">for the </w:t>
      </w:r>
      <w:r w:rsidR="009600EC">
        <w:t xml:space="preserve">full </w:t>
      </w:r>
      <w:r w:rsidR="006C05EB">
        <w:t>sampl</w:t>
      </w:r>
      <w:r w:rsidR="00C91371">
        <w:t>e, students who enrolled in DL at least one year (“DL”), and students who never enrolled in DL (“non-DL”)</w:t>
      </w:r>
      <w:r w:rsidR="006C05EB">
        <w:t xml:space="preserve">. </w:t>
      </w:r>
      <w:r w:rsidR="00DC04E1">
        <w:t>About 7</w:t>
      </w:r>
      <w:r w:rsidR="001E42E1">
        <w:t>6</w:t>
      </w:r>
      <w:r>
        <w:t xml:space="preserve">% </w:t>
      </w:r>
      <w:r w:rsidR="00C91371">
        <w:t xml:space="preserve">of the students in the pooled sample were ever eligible for EL services, </w:t>
      </w:r>
      <w:r w:rsidR="00DC04E1">
        <w:t>9</w:t>
      </w:r>
      <w:r w:rsidR="001E42E1">
        <w:t>2</w:t>
      </w:r>
      <w:r w:rsidR="00C91371">
        <w:t xml:space="preserve">% ever eligible for FRPL services, and </w:t>
      </w:r>
      <w:r w:rsidR="00DC04E1">
        <w:t>1</w:t>
      </w:r>
      <w:r w:rsidR="006A38FA">
        <w:t>6</w:t>
      </w:r>
      <w:r w:rsidR="00C91371">
        <w:t>% ever eligible for SPED services.</w:t>
      </w:r>
      <w:r w:rsidR="00DE2B0C">
        <w:t xml:space="preserve"> </w:t>
      </w:r>
      <w:r w:rsidR="00F05767">
        <w:t>S</w:t>
      </w:r>
      <w:r w:rsidR="00DE2B0C">
        <w:t xml:space="preserve">tudents </w:t>
      </w:r>
      <w:r w:rsidR="00F05767">
        <w:t xml:space="preserve">in DL </w:t>
      </w:r>
      <w:r w:rsidR="00DE2B0C">
        <w:t>had higher rates of ever-</w:t>
      </w:r>
      <w:r w:rsidR="00DC04E1">
        <w:t>EL (9</w:t>
      </w:r>
      <w:r w:rsidR="006A38FA">
        <w:t>4</w:t>
      </w:r>
      <w:r w:rsidR="00DC04E1">
        <w:t xml:space="preserve">% vs </w:t>
      </w:r>
      <w:r w:rsidR="006A38FA">
        <w:t>3</w:t>
      </w:r>
      <w:r w:rsidR="00DC04E1">
        <w:t>8%)</w:t>
      </w:r>
      <w:r w:rsidR="00DE2B0C">
        <w:t xml:space="preserve"> and </w:t>
      </w:r>
      <w:r w:rsidR="00163298">
        <w:t>ever-FRPL (96% vs 8</w:t>
      </w:r>
      <w:r w:rsidR="006A38FA">
        <w:t>3</w:t>
      </w:r>
      <w:r w:rsidR="00163298">
        <w:t>%) than non-DL students.</w:t>
      </w:r>
      <w:r w:rsidR="009600EC">
        <w:t xml:space="preserve"> Table 2 shows the number of students tested by cohort and grade. Since only four post-DL cohorts have 7</w:t>
      </w:r>
      <w:r w:rsidR="009600EC" w:rsidRPr="00573D78">
        <w:rPr>
          <w:vertAlign w:val="superscript"/>
        </w:rPr>
        <w:t>th</w:t>
      </w:r>
      <w:r w:rsidR="009600EC">
        <w:t xml:space="preserve"> and 8</w:t>
      </w:r>
      <w:r w:rsidR="009600EC" w:rsidRPr="00573D78">
        <w:rPr>
          <w:vertAlign w:val="superscript"/>
        </w:rPr>
        <w:t>th</w:t>
      </w:r>
      <w:r w:rsidR="009600EC">
        <w:t xml:space="preserve"> grade test scores, </w:t>
      </w:r>
      <w:bookmarkStart w:id="12" w:name="_Hlk139468106"/>
      <w:r w:rsidR="009600EC">
        <w:t>I interpret findings pertaining to middle school growth as suggestive rather than definitive evidence.</w:t>
      </w:r>
    </w:p>
    <w:bookmarkEnd w:id="12"/>
    <w:p w14:paraId="292F22D5" w14:textId="1788E66B" w:rsidR="00347D38" w:rsidRDefault="00D72C2D" w:rsidP="004B52F3">
      <w:pPr>
        <w:spacing w:line="480" w:lineRule="auto"/>
        <w:jc w:val="center"/>
      </w:pPr>
      <w:r>
        <w:t xml:space="preserve">[Table </w:t>
      </w:r>
      <w:r w:rsidR="0021622D">
        <w:t>1</w:t>
      </w:r>
      <w:r>
        <w:t xml:space="preserve"> here]</w:t>
      </w:r>
    </w:p>
    <w:p w14:paraId="608497AF" w14:textId="476D6F49" w:rsidR="008A7EE1" w:rsidRPr="00F20120" w:rsidRDefault="009600EC" w:rsidP="00F20120">
      <w:pPr>
        <w:spacing w:line="480" w:lineRule="auto"/>
        <w:jc w:val="center"/>
      </w:pPr>
      <w:r>
        <w:t>[Table 2 here]</w:t>
      </w:r>
    </w:p>
    <w:p w14:paraId="3A906C98" w14:textId="7F0AE874" w:rsidR="002C0E51" w:rsidRDefault="000D2933" w:rsidP="004B52F3">
      <w:pPr>
        <w:spacing w:line="480" w:lineRule="auto"/>
        <w:jc w:val="center"/>
        <w:rPr>
          <w:b/>
          <w:bCs/>
        </w:rPr>
      </w:pPr>
      <w:r>
        <w:rPr>
          <w:b/>
          <w:bCs/>
        </w:rPr>
        <w:t>Analysis</w:t>
      </w:r>
    </w:p>
    <w:p w14:paraId="28AD65EA" w14:textId="6B4FABB8" w:rsidR="000C1678" w:rsidRDefault="00AD1606" w:rsidP="004B52F3">
      <w:pPr>
        <w:spacing w:line="480" w:lineRule="auto"/>
        <w:ind w:firstLine="720"/>
      </w:pPr>
      <w:r>
        <w:t xml:space="preserve">I examine the math and reading trajectories of DL and non-DL students in </w:t>
      </w:r>
      <w:r w:rsidR="004D7435">
        <w:t>two visual analyses and growth modeling</w:t>
      </w:r>
      <w:r>
        <w:t>. Prior literature primarily relied on</w:t>
      </w:r>
      <w:r w:rsidR="000440AB">
        <w:t xml:space="preserve"> </w:t>
      </w:r>
      <w:r w:rsidR="007E6DB0">
        <w:t>z-scores</w:t>
      </w:r>
      <w:r>
        <w:t xml:space="preserve"> to compare students’ </w:t>
      </w:r>
      <w:r w:rsidR="00DB31F5">
        <w:t xml:space="preserve">spring </w:t>
      </w:r>
      <w:r>
        <w:t xml:space="preserve">achievement </w:t>
      </w:r>
      <w:r w:rsidR="00DB31F5">
        <w:t>across grades</w:t>
      </w:r>
      <w:r>
        <w:t xml:space="preserve"> (e.g., </w:t>
      </w:r>
      <w:r w:rsidR="000C1678">
        <w:t>Valentino &amp; Reardon, 2015</w:t>
      </w:r>
      <w:r>
        <w:t>). Following this line of research</w:t>
      </w:r>
      <w:r w:rsidR="0069129F">
        <w:t xml:space="preserve"> and to provide comparisons to previous findings</w:t>
      </w:r>
      <w:r>
        <w:t xml:space="preserve">, </w:t>
      </w:r>
      <w:r w:rsidR="00DB31F5">
        <w:t>my first approach</w:t>
      </w:r>
      <w:r>
        <w:t xml:space="preserve"> plot</w:t>
      </w:r>
      <w:r w:rsidR="002F3ABF">
        <w:t>s</w:t>
      </w:r>
      <w:r>
        <w:t xml:space="preserve"> </w:t>
      </w:r>
      <w:r w:rsidR="00DB31F5">
        <w:t xml:space="preserve">spring achievement </w:t>
      </w:r>
      <w:r w:rsidR="000C1678">
        <w:t>z-scores</w:t>
      </w:r>
      <w:r w:rsidR="00DD4518">
        <w:t>, calculated using MAP Growth norms</w:t>
      </w:r>
      <w:r w:rsidR="000440AB">
        <w:t xml:space="preserve"> by subtracting the grade-level mean and dividing by the grade-level standard deviation</w:t>
      </w:r>
      <w:r w:rsidR="00DD4518">
        <w:t>,</w:t>
      </w:r>
      <w:r>
        <w:t xml:space="preserve"> for DL and non-DL students </w:t>
      </w:r>
      <w:r w:rsidR="002C229F">
        <w:t>between 2</w:t>
      </w:r>
      <w:r w:rsidR="002C229F" w:rsidRPr="002C229F">
        <w:rPr>
          <w:vertAlign w:val="superscript"/>
        </w:rPr>
        <w:t>nd</w:t>
      </w:r>
      <w:r w:rsidR="002C229F">
        <w:t xml:space="preserve"> and 7</w:t>
      </w:r>
      <w:r w:rsidR="002C229F" w:rsidRPr="002C229F">
        <w:rPr>
          <w:vertAlign w:val="superscript"/>
        </w:rPr>
        <w:t>th</w:t>
      </w:r>
      <w:r w:rsidR="002C229F">
        <w:t xml:space="preserve"> grade</w:t>
      </w:r>
      <w:r w:rsidR="00DD4518">
        <w:t xml:space="preserve"> (Thum &amp; </w:t>
      </w:r>
      <w:r w:rsidR="000200A1">
        <w:t>Kuhfeld, 2020</w:t>
      </w:r>
      <w:r w:rsidR="00DD4518">
        <w:t>)</w:t>
      </w:r>
      <w:r>
        <w:t xml:space="preserve">. </w:t>
      </w:r>
      <w:r w:rsidR="007E6DB0">
        <w:t xml:space="preserve">Then, </w:t>
      </w:r>
      <w:r w:rsidR="00A85204">
        <w:t xml:space="preserve">I leverage </w:t>
      </w:r>
      <w:proofErr w:type="gramStart"/>
      <w:r w:rsidR="00A85204">
        <w:t>vertically-scaled</w:t>
      </w:r>
      <w:proofErr w:type="gramEnd"/>
      <w:r w:rsidR="00A85204">
        <w:t xml:space="preserve"> test scores from the fall, winter, and spring to interrogate growth within and across </w:t>
      </w:r>
      <w:r w:rsidR="00773363">
        <w:t>grades</w:t>
      </w:r>
      <w:r w:rsidR="00A85204">
        <w:t>.</w:t>
      </w:r>
      <w:r w:rsidR="00773363">
        <w:t xml:space="preserve"> </w:t>
      </w:r>
      <w:r>
        <w:t>First, I plot</w:t>
      </w:r>
      <w:r w:rsidR="00635D7C">
        <w:t xml:space="preserve"> the mean achievement </w:t>
      </w:r>
      <w:r w:rsidR="002F3ABF">
        <w:t xml:space="preserve">by DL participation </w:t>
      </w:r>
      <w:r w:rsidR="000C1678">
        <w:t xml:space="preserve">for each test term </w:t>
      </w:r>
      <w:r w:rsidR="00635D7C">
        <w:t>between the fall of 2</w:t>
      </w:r>
      <w:r w:rsidR="00635D7C" w:rsidRPr="00635D7C">
        <w:rPr>
          <w:vertAlign w:val="superscript"/>
        </w:rPr>
        <w:t>nd</w:t>
      </w:r>
      <w:r w:rsidR="00635D7C">
        <w:t xml:space="preserve"> grade and the winter </w:t>
      </w:r>
      <w:r w:rsidR="00635D7C">
        <w:lastRenderedPageBreak/>
        <w:t>of 8</w:t>
      </w:r>
      <w:r w:rsidR="00635D7C" w:rsidRPr="00635D7C">
        <w:rPr>
          <w:vertAlign w:val="superscript"/>
        </w:rPr>
        <w:t>th</w:t>
      </w:r>
      <w:r w:rsidR="00635D7C">
        <w:t xml:space="preserve"> grade. </w:t>
      </w:r>
      <w:r w:rsidR="000440AB">
        <w:t>The</w:t>
      </w:r>
      <w:r w:rsidR="000C1678">
        <w:t xml:space="preserve"> plots illustrate changes in achievement score not only between but also within grades. </w:t>
      </w:r>
    </w:p>
    <w:p w14:paraId="58FF481E" w14:textId="264D8967" w:rsidR="00635D7C" w:rsidRDefault="007E6DB0" w:rsidP="004B52F3">
      <w:pPr>
        <w:spacing w:line="480" w:lineRule="auto"/>
        <w:ind w:firstLine="720"/>
      </w:pPr>
      <w:r>
        <w:t>Finally</w:t>
      </w:r>
      <w:r w:rsidR="00635D7C">
        <w:t xml:space="preserve">, </w:t>
      </w:r>
      <w:r w:rsidR="000D2933">
        <w:t xml:space="preserve">I use </w:t>
      </w:r>
      <w:r w:rsidR="00635D7C">
        <w:t>a</w:t>
      </w:r>
      <w:r w:rsidR="000D2933">
        <w:t xml:space="preserve"> piecewise multilevel growth model to estimate growth (e.g., von Hippel, Workman, &amp; Downey, 2018). </w:t>
      </w:r>
      <w:r w:rsidR="00AC544A">
        <w:t>E</w:t>
      </w:r>
      <w:r w:rsidR="00084E08">
        <w:t>xposure to school in each grade and each summer</w:t>
      </w:r>
      <w:r w:rsidR="00AC544A">
        <w:t xml:space="preserve"> varied</w:t>
      </w:r>
      <w:r w:rsidR="00084E08">
        <w:t xml:space="preserve">. </w:t>
      </w:r>
      <w:r w:rsidR="00084E08">
        <w:rPr>
          <w:rFonts w:eastAsia="Times New Roman" w:cs="Times New Roman"/>
          <w:szCs w:val="24"/>
        </w:rPr>
        <w:t xml:space="preserve">Students were not tested on the first and last days of school each year; even within school, students’ test dates varied depending on the availability of electronic devices used for testing. </w:t>
      </w:r>
      <w:r w:rsidR="00C573F9">
        <w:t>An important advantage of</w:t>
      </w:r>
      <w:r w:rsidR="00E2198E">
        <w:t xml:space="preserve"> the </w:t>
      </w:r>
      <w:r w:rsidR="00C573F9">
        <w:t>piecewise multilevel model is</w:t>
      </w:r>
      <w:r w:rsidR="00E2198E">
        <w:t xml:space="preserve"> its</w:t>
      </w:r>
      <w:r w:rsidR="00C573F9">
        <w:t xml:space="preserve"> ability to account for variation in test administration dates within the school year and allow for separate growth terms in each school year and summer (e.g., Quinn et a</w:t>
      </w:r>
      <w:r w:rsidR="00C573F9" w:rsidRPr="00E2198E">
        <w:t>l., 2016).</w:t>
      </w:r>
      <w:r w:rsidR="00C573F9" w:rsidRPr="00E2198E">
        <w:rPr>
          <w:rFonts w:eastAsia="Times New Roman" w:cs="Times New Roman"/>
          <w:szCs w:val="24"/>
        </w:rPr>
        <w:t xml:space="preserve"> By separately specifying growth terms for each school year, we can test </w:t>
      </w:r>
      <w:r w:rsidR="00E2198E" w:rsidRPr="00E2198E">
        <w:rPr>
          <w:rFonts w:eastAsia="Times New Roman" w:cs="Times New Roman"/>
          <w:szCs w:val="24"/>
        </w:rPr>
        <w:t xml:space="preserve">whether any </w:t>
      </w:r>
      <w:r w:rsidR="00C573F9" w:rsidRPr="00E2198E">
        <w:rPr>
          <w:rFonts w:eastAsia="Times New Roman" w:cs="Times New Roman"/>
          <w:szCs w:val="24"/>
        </w:rPr>
        <w:t xml:space="preserve">differences in growth rates between DL and non-DL students </w:t>
      </w:r>
      <w:r w:rsidR="00E2198E" w:rsidRPr="00E2198E">
        <w:rPr>
          <w:rFonts w:eastAsia="Times New Roman" w:cs="Times New Roman"/>
          <w:szCs w:val="24"/>
        </w:rPr>
        <w:t xml:space="preserve">expand, stay the same, or diminish across grade levels. </w:t>
      </w:r>
    </w:p>
    <w:p w14:paraId="73991E64" w14:textId="571BD6A8" w:rsidR="00635D7C" w:rsidRPr="00F5244B" w:rsidRDefault="00635D7C" w:rsidP="004B52F3">
      <w:pPr>
        <w:pStyle w:val="NoSpacing"/>
        <w:spacing w:line="480" w:lineRule="auto"/>
        <w:ind w:firstLine="720"/>
        <w:rPr>
          <w:rFonts w:ascii="Times New Roman" w:eastAsia="Times New Roman" w:hAnsi="Times New Roman" w:cs="Times New Roman"/>
          <w:color w:val="7030A0"/>
          <w:sz w:val="24"/>
          <w:szCs w:val="24"/>
        </w:rPr>
      </w:pPr>
      <w:r w:rsidRPr="00E2198E">
        <w:rPr>
          <w:rFonts w:ascii="Times New Roman" w:eastAsia="Times New Roman" w:hAnsi="Times New Roman" w:cs="Times New Roman"/>
          <w:sz w:val="24"/>
          <w:szCs w:val="24"/>
        </w:rPr>
        <w:t>Th</w:t>
      </w:r>
      <w:r w:rsidR="00E2198E" w:rsidRPr="00E2198E">
        <w:rPr>
          <w:rFonts w:ascii="Times New Roman" w:eastAsia="Times New Roman" w:hAnsi="Times New Roman" w:cs="Times New Roman"/>
          <w:sz w:val="24"/>
          <w:szCs w:val="24"/>
        </w:rPr>
        <w:t>e</w:t>
      </w:r>
      <w:r w:rsidRPr="00E2198E">
        <w:rPr>
          <w:rFonts w:ascii="Times New Roman" w:eastAsia="Times New Roman" w:hAnsi="Times New Roman" w:cs="Times New Roman"/>
          <w:sz w:val="24"/>
          <w:szCs w:val="24"/>
        </w:rPr>
        <w:t xml:space="preserve"> model </w:t>
      </w:r>
      <w:r w:rsidR="00084E08">
        <w:rPr>
          <w:rFonts w:ascii="Times New Roman" w:eastAsia="Times New Roman" w:hAnsi="Times New Roman" w:cs="Times New Roman"/>
          <w:sz w:val="24"/>
          <w:szCs w:val="24"/>
        </w:rPr>
        <w:t xml:space="preserve">accounts for variations in test dates and </w:t>
      </w:r>
      <w:r w:rsidRPr="00E2198E">
        <w:rPr>
          <w:rFonts w:ascii="Times New Roman" w:eastAsia="Times New Roman" w:hAnsi="Times New Roman" w:cs="Times New Roman"/>
          <w:sz w:val="24"/>
          <w:szCs w:val="24"/>
        </w:rPr>
        <w:t>estimates students’ academic growth as a linear function of their “months of exposure” to each school year an</w:t>
      </w:r>
      <w:r w:rsidR="00E2198E" w:rsidRPr="00E2198E">
        <w:rPr>
          <w:rFonts w:ascii="Times New Roman" w:eastAsia="Times New Roman" w:hAnsi="Times New Roman" w:cs="Times New Roman"/>
          <w:sz w:val="24"/>
          <w:szCs w:val="24"/>
        </w:rPr>
        <w:t xml:space="preserve">d </w:t>
      </w:r>
      <w:r w:rsidRPr="00E2198E">
        <w:rPr>
          <w:rFonts w:ascii="Times New Roman" w:eastAsia="Times New Roman" w:hAnsi="Times New Roman" w:cs="Times New Roman"/>
          <w:sz w:val="24"/>
          <w:szCs w:val="24"/>
        </w:rPr>
        <w:t>summer.</w:t>
      </w:r>
      <w:r w:rsidR="00D60706">
        <w:rPr>
          <w:rFonts w:ascii="Times New Roman" w:eastAsia="Times New Roman" w:hAnsi="Times New Roman" w:cs="Times New Roman"/>
          <w:sz w:val="24"/>
          <w:szCs w:val="24"/>
          <w:vertAlign w:val="superscript"/>
        </w:rPr>
        <w:t>7</w:t>
      </w:r>
      <w:r w:rsidRPr="00E2198E">
        <w:rPr>
          <w:rFonts w:ascii="Times New Roman" w:eastAsia="Times New Roman" w:hAnsi="Times New Roman" w:cs="Times New Roman"/>
          <w:sz w:val="24"/>
          <w:szCs w:val="24"/>
        </w:rPr>
        <w:t xml:space="preserve"> Months of exposure is calculated based on school start and end dates and the test administration dates (see </w:t>
      </w:r>
      <w:r w:rsidR="00E2198E" w:rsidRPr="00847C68">
        <w:rPr>
          <w:rFonts w:ascii="Times New Roman" w:eastAsia="Times New Roman" w:hAnsi="Times New Roman" w:cs="Times New Roman"/>
          <w:sz w:val="24"/>
          <w:szCs w:val="24"/>
        </w:rPr>
        <w:t xml:space="preserve">Appendix </w:t>
      </w:r>
      <w:r w:rsidR="00D8183F" w:rsidRPr="00847C68">
        <w:rPr>
          <w:rFonts w:ascii="Times New Roman" w:eastAsia="Times New Roman" w:hAnsi="Times New Roman" w:cs="Times New Roman"/>
          <w:sz w:val="24"/>
          <w:szCs w:val="24"/>
        </w:rPr>
        <w:t>A</w:t>
      </w:r>
      <w:r w:rsidR="00847C68" w:rsidRPr="00847C68">
        <w:rPr>
          <w:rFonts w:ascii="Times New Roman" w:eastAsia="Times New Roman" w:hAnsi="Times New Roman" w:cs="Times New Roman"/>
          <w:sz w:val="24"/>
          <w:szCs w:val="24"/>
        </w:rPr>
        <w:t>1</w:t>
      </w:r>
      <w:r w:rsidR="00E2198E" w:rsidRPr="00847C68">
        <w:rPr>
          <w:rFonts w:ascii="Times New Roman" w:eastAsia="Times New Roman" w:hAnsi="Times New Roman" w:cs="Times New Roman"/>
          <w:sz w:val="24"/>
          <w:szCs w:val="24"/>
        </w:rPr>
        <w:t xml:space="preserve"> </w:t>
      </w:r>
      <w:r w:rsidR="00847C68">
        <w:rPr>
          <w:rFonts w:ascii="Times New Roman" w:eastAsia="Times New Roman" w:hAnsi="Times New Roman" w:cs="Times New Roman"/>
          <w:sz w:val="24"/>
          <w:szCs w:val="24"/>
        </w:rPr>
        <w:t xml:space="preserve">in the supplemental materials </w:t>
      </w:r>
      <w:r w:rsidRPr="00847C68">
        <w:rPr>
          <w:rFonts w:ascii="Times New Roman" w:eastAsia="Times New Roman" w:hAnsi="Times New Roman" w:cs="Times New Roman"/>
          <w:sz w:val="24"/>
          <w:szCs w:val="24"/>
        </w:rPr>
        <w:t>f</w:t>
      </w:r>
      <w:r w:rsidRPr="00E2198E">
        <w:rPr>
          <w:rFonts w:ascii="Times New Roman" w:eastAsia="Times New Roman" w:hAnsi="Times New Roman" w:cs="Times New Roman"/>
          <w:sz w:val="24"/>
          <w:szCs w:val="24"/>
        </w:rPr>
        <w:t xml:space="preserve">or details). For example, a student testing at the end of August in </w:t>
      </w:r>
      <w:r w:rsidR="00E2198E" w:rsidRPr="00E2198E">
        <w:rPr>
          <w:rFonts w:ascii="Times New Roman" w:eastAsia="Times New Roman" w:hAnsi="Times New Roman" w:cs="Times New Roman"/>
          <w:sz w:val="24"/>
          <w:szCs w:val="24"/>
        </w:rPr>
        <w:t>3</w:t>
      </w:r>
      <w:r w:rsidR="00E2198E" w:rsidRPr="00E2198E">
        <w:rPr>
          <w:rFonts w:ascii="Times New Roman" w:eastAsia="Times New Roman" w:hAnsi="Times New Roman" w:cs="Times New Roman"/>
          <w:sz w:val="24"/>
          <w:szCs w:val="24"/>
          <w:vertAlign w:val="superscript"/>
        </w:rPr>
        <w:t>rd</w:t>
      </w:r>
      <w:r w:rsidRPr="00E2198E">
        <w:rPr>
          <w:rFonts w:ascii="Times New Roman" w:eastAsia="Times New Roman" w:hAnsi="Times New Roman" w:cs="Times New Roman"/>
          <w:sz w:val="24"/>
          <w:szCs w:val="24"/>
        </w:rPr>
        <w:t xml:space="preserve"> grade may have 9.</w:t>
      </w:r>
      <w:r w:rsidR="00D8183F">
        <w:rPr>
          <w:rFonts w:ascii="Times New Roman" w:eastAsia="Times New Roman" w:hAnsi="Times New Roman" w:cs="Times New Roman"/>
          <w:sz w:val="24"/>
          <w:szCs w:val="24"/>
        </w:rPr>
        <w:t>7</w:t>
      </w:r>
      <w:r w:rsidRPr="00E2198E">
        <w:rPr>
          <w:rFonts w:ascii="Times New Roman" w:eastAsia="Times New Roman" w:hAnsi="Times New Roman" w:cs="Times New Roman"/>
          <w:sz w:val="24"/>
          <w:szCs w:val="24"/>
        </w:rPr>
        <w:t xml:space="preserve"> months of exposure to </w:t>
      </w:r>
      <w:r w:rsidR="00E2198E" w:rsidRPr="00E2198E">
        <w:rPr>
          <w:rFonts w:ascii="Times New Roman" w:eastAsia="Times New Roman" w:hAnsi="Times New Roman" w:cs="Times New Roman"/>
          <w:sz w:val="24"/>
          <w:szCs w:val="24"/>
        </w:rPr>
        <w:t>2</w:t>
      </w:r>
      <w:r w:rsidR="00E2198E" w:rsidRPr="00E2198E">
        <w:rPr>
          <w:rFonts w:ascii="Times New Roman" w:eastAsia="Times New Roman" w:hAnsi="Times New Roman" w:cs="Times New Roman"/>
          <w:sz w:val="24"/>
          <w:szCs w:val="24"/>
          <w:vertAlign w:val="superscript"/>
        </w:rPr>
        <w:t>nd</w:t>
      </w:r>
      <w:r w:rsidR="00E2198E" w:rsidRPr="00E2198E">
        <w:rPr>
          <w:rFonts w:ascii="Times New Roman" w:eastAsia="Times New Roman" w:hAnsi="Times New Roman" w:cs="Times New Roman"/>
          <w:sz w:val="24"/>
          <w:szCs w:val="24"/>
        </w:rPr>
        <w:t xml:space="preserve"> grade</w:t>
      </w:r>
      <w:r w:rsidRPr="00E2198E">
        <w:rPr>
          <w:rFonts w:ascii="Times New Roman" w:eastAsia="Times New Roman" w:hAnsi="Times New Roman" w:cs="Times New Roman"/>
          <w:sz w:val="24"/>
          <w:szCs w:val="24"/>
        </w:rPr>
        <w:t>, 2.</w:t>
      </w:r>
      <w:r w:rsidR="00D8183F">
        <w:rPr>
          <w:rFonts w:ascii="Times New Roman" w:eastAsia="Times New Roman" w:hAnsi="Times New Roman" w:cs="Times New Roman"/>
          <w:sz w:val="24"/>
          <w:szCs w:val="24"/>
        </w:rPr>
        <w:t>3</w:t>
      </w:r>
      <w:r w:rsidRPr="00E2198E">
        <w:rPr>
          <w:rFonts w:ascii="Times New Roman" w:eastAsia="Times New Roman" w:hAnsi="Times New Roman" w:cs="Times New Roman"/>
          <w:sz w:val="24"/>
          <w:szCs w:val="24"/>
        </w:rPr>
        <w:t xml:space="preserve"> months </w:t>
      </w:r>
      <w:r w:rsidR="0014758B">
        <w:rPr>
          <w:rFonts w:ascii="Times New Roman" w:eastAsia="Times New Roman" w:hAnsi="Times New Roman" w:cs="Times New Roman"/>
          <w:sz w:val="24"/>
          <w:szCs w:val="24"/>
        </w:rPr>
        <w:t xml:space="preserve">of </w:t>
      </w:r>
      <w:r w:rsidRPr="00E2198E">
        <w:rPr>
          <w:rFonts w:ascii="Times New Roman" w:eastAsia="Times New Roman" w:hAnsi="Times New Roman" w:cs="Times New Roman"/>
          <w:sz w:val="24"/>
          <w:szCs w:val="24"/>
        </w:rPr>
        <w:t xml:space="preserve">exposure to </w:t>
      </w:r>
      <w:r w:rsidR="007E38D8">
        <w:rPr>
          <w:rFonts w:ascii="Times New Roman" w:eastAsia="Times New Roman" w:hAnsi="Times New Roman" w:cs="Times New Roman"/>
          <w:sz w:val="24"/>
          <w:szCs w:val="24"/>
        </w:rPr>
        <w:t xml:space="preserve">the </w:t>
      </w:r>
      <w:r w:rsidRPr="00E2198E">
        <w:rPr>
          <w:rFonts w:ascii="Times New Roman" w:eastAsia="Times New Roman" w:hAnsi="Times New Roman" w:cs="Times New Roman"/>
          <w:sz w:val="24"/>
          <w:szCs w:val="24"/>
        </w:rPr>
        <w:t xml:space="preserve">summer following </w:t>
      </w:r>
      <w:r w:rsidR="00E2198E" w:rsidRPr="00E2198E">
        <w:rPr>
          <w:rFonts w:ascii="Times New Roman" w:eastAsia="Times New Roman" w:hAnsi="Times New Roman" w:cs="Times New Roman"/>
          <w:sz w:val="24"/>
          <w:szCs w:val="24"/>
        </w:rPr>
        <w:t>2</w:t>
      </w:r>
      <w:r w:rsidR="00E2198E" w:rsidRPr="00E2198E">
        <w:rPr>
          <w:rFonts w:ascii="Times New Roman" w:eastAsia="Times New Roman" w:hAnsi="Times New Roman" w:cs="Times New Roman"/>
          <w:sz w:val="24"/>
          <w:szCs w:val="24"/>
          <w:vertAlign w:val="superscript"/>
        </w:rPr>
        <w:t>nd</w:t>
      </w:r>
      <w:r w:rsidR="00E2198E" w:rsidRPr="00E2198E">
        <w:rPr>
          <w:rFonts w:ascii="Times New Roman" w:eastAsia="Times New Roman" w:hAnsi="Times New Roman" w:cs="Times New Roman"/>
          <w:sz w:val="24"/>
          <w:szCs w:val="24"/>
        </w:rPr>
        <w:t xml:space="preserve"> grade</w:t>
      </w:r>
      <w:r w:rsidRPr="00E2198E">
        <w:rPr>
          <w:rFonts w:ascii="Times New Roman" w:eastAsia="Times New Roman" w:hAnsi="Times New Roman" w:cs="Times New Roman"/>
          <w:sz w:val="24"/>
          <w:szCs w:val="24"/>
        </w:rPr>
        <w:t xml:space="preserve">, and one week of exposure to </w:t>
      </w:r>
      <w:r w:rsidR="00E2198E" w:rsidRPr="00E2198E">
        <w:rPr>
          <w:rFonts w:ascii="Times New Roman" w:eastAsia="Times New Roman" w:hAnsi="Times New Roman" w:cs="Times New Roman"/>
          <w:sz w:val="24"/>
          <w:szCs w:val="24"/>
        </w:rPr>
        <w:t>3</w:t>
      </w:r>
      <w:r w:rsidR="00E2198E" w:rsidRPr="00E2198E">
        <w:rPr>
          <w:rFonts w:ascii="Times New Roman" w:eastAsia="Times New Roman" w:hAnsi="Times New Roman" w:cs="Times New Roman"/>
          <w:sz w:val="24"/>
          <w:szCs w:val="24"/>
          <w:vertAlign w:val="superscript"/>
        </w:rPr>
        <w:t>rd</w:t>
      </w:r>
      <w:r w:rsidRPr="00E2198E">
        <w:rPr>
          <w:rFonts w:ascii="Times New Roman" w:eastAsia="Times New Roman" w:hAnsi="Times New Roman" w:cs="Times New Roman"/>
          <w:sz w:val="24"/>
          <w:szCs w:val="24"/>
        </w:rPr>
        <w:t xml:space="preserve"> grade.</w:t>
      </w:r>
      <w:r w:rsidR="00F5244B" w:rsidRPr="00F5244B">
        <w:rPr>
          <w:rFonts w:ascii="Times New Roman" w:eastAsia="Times New Roman" w:hAnsi="Times New Roman" w:cs="Times New Roman"/>
          <w:color w:val="7030A0"/>
          <w:sz w:val="24"/>
          <w:szCs w:val="24"/>
        </w:rPr>
        <w:t xml:space="preserve"> </w:t>
      </w:r>
    </w:p>
    <w:p w14:paraId="6B806022" w14:textId="47DF365A" w:rsidR="00F5244B" w:rsidRPr="00647297" w:rsidRDefault="000D2933" w:rsidP="004B52F3">
      <w:pPr>
        <w:spacing w:line="480" w:lineRule="auto"/>
        <w:ind w:firstLine="720"/>
        <w:rPr>
          <w:iCs/>
        </w:rPr>
      </w:pPr>
      <w:r>
        <w:t xml:space="preserve">At level 1, I </w:t>
      </w:r>
      <w:r w:rsidR="002F3ABF">
        <w:t>model achievement conditional on exposure to school</w:t>
      </w:r>
      <w:r>
        <w:t xml:space="preserve"> during the academic year for each grade level (</w:t>
      </w:r>
      <w:r w:rsidR="002F3ABF">
        <w:t>e.g., G2</w:t>
      </w:r>
      <w:r w:rsidR="002F3ABF">
        <w:rPr>
          <w:vertAlign w:val="subscript"/>
        </w:rPr>
        <w:t>ij</w:t>
      </w:r>
      <w:r w:rsidR="002F3ABF">
        <w:t xml:space="preserve"> </w:t>
      </w:r>
      <w:r w:rsidR="002F3ABF">
        <w:rPr>
          <w:rFonts w:eastAsiaTheme="minorEastAsia"/>
          <w:iCs/>
        </w:rPr>
        <w:t xml:space="preserve">= Grade 2 academic year) and exposure to </w:t>
      </w:r>
      <w:r>
        <w:rPr>
          <w:rFonts w:eastAsiaTheme="minorEastAsia"/>
          <w:iCs/>
        </w:rPr>
        <w:t xml:space="preserve">summer after each grade level </w:t>
      </w:r>
      <w:r>
        <w:t>(</w:t>
      </w:r>
      <w:r w:rsidR="002F3ABF">
        <w:t>e.g., S2</w:t>
      </w:r>
      <w:r w:rsidR="002F3ABF">
        <w:rPr>
          <w:vertAlign w:val="subscript"/>
        </w:rPr>
        <w:t>ij</w:t>
      </w:r>
      <w:r w:rsidR="002F3ABF">
        <w:t xml:space="preserve"> </w:t>
      </w:r>
      <w:r w:rsidR="002F3ABF">
        <w:rPr>
          <w:rFonts w:eastAsiaTheme="minorEastAsia"/>
          <w:iCs/>
        </w:rPr>
        <w:t>= summer after Grade 2)</w:t>
      </w:r>
      <w:r>
        <w:rPr>
          <w:rFonts w:eastAsiaTheme="minorEastAsia"/>
          <w:iCs/>
        </w:rPr>
        <w:t xml:space="preserve">. </w:t>
      </w:r>
      <w:r w:rsidR="00085177" w:rsidRPr="00085177">
        <w:rPr>
          <w:rFonts w:eastAsiaTheme="minorEastAsia" w:cs="Times New Roman"/>
        </w:rPr>
        <w:t xml:space="preserve">Appendix </w:t>
      </w:r>
      <w:r w:rsidR="00D8183F">
        <w:rPr>
          <w:rFonts w:eastAsiaTheme="minorEastAsia" w:cs="Times New Roman"/>
        </w:rPr>
        <w:t>A</w:t>
      </w:r>
      <w:r w:rsidR="007E38D8">
        <w:rPr>
          <w:rFonts w:eastAsiaTheme="minorEastAsia" w:cs="Times New Roman"/>
        </w:rPr>
        <w:t>1 in the supplemental materials</w:t>
      </w:r>
      <w:r w:rsidR="00085177">
        <w:rPr>
          <w:rFonts w:cs="Times New Roman"/>
        </w:rPr>
        <w:t xml:space="preserve"> details the calculation of each of the level-1 predictors (</w:t>
      </w:r>
      <w:r w:rsidR="002F3ABF">
        <w:t>G2</w:t>
      </w:r>
      <w:r w:rsidR="002F3ABF">
        <w:rPr>
          <w:vertAlign w:val="subscript"/>
        </w:rPr>
        <w:t>ij</w:t>
      </w:r>
      <w:r w:rsidR="002F3ABF">
        <w:t xml:space="preserve"> </w:t>
      </w:r>
      <w:r w:rsidR="00085177">
        <w:rPr>
          <w:rFonts w:eastAsiaTheme="minorEastAsia" w:cs="Times New Roman"/>
        </w:rPr>
        <w:t>through</w:t>
      </w:r>
      <w:r w:rsidR="002F3ABF">
        <w:rPr>
          <w:rFonts w:eastAsiaTheme="minorEastAsia" w:cs="Times New Roman"/>
        </w:rPr>
        <w:t xml:space="preserve"> </w:t>
      </w:r>
      <w:r w:rsidR="002F3ABF">
        <w:t>G8</w:t>
      </w:r>
      <w:r w:rsidR="002F3ABF">
        <w:rPr>
          <w:vertAlign w:val="subscript"/>
        </w:rPr>
        <w:t>ij</w:t>
      </w:r>
      <w:r w:rsidR="002F3ABF">
        <w:rPr>
          <w:rFonts w:eastAsiaTheme="minorEastAsia" w:cs="Times New Roman"/>
        </w:rPr>
        <w:t>).</w:t>
      </w:r>
    </w:p>
    <w:p w14:paraId="326999F9" w14:textId="1EBACEDA" w:rsidR="00F5244B" w:rsidRPr="00647297" w:rsidRDefault="00F5244B" w:rsidP="004B52F3">
      <w:pPr>
        <w:spacing w:line="480" w:lineRule="auto"/>
      </w:pPr>
      <w:r>
        <w:t>Level 1 (time (</w:t>
      </w:r>
      <w:r>
        <w:rPr>
          <w:i/>
          <w:iCs/>
        </w:rPr>
        <w:t>t</w:t>
      </w:r>
      <w:r>
        <w:t>) within student (</w:t>
      </w:r>
      <w:proofErr w:type="spellStart"/>
      <w:r w:rsidRPr="004724D5">
        <w:rPr>
          <w:i/>
          <w:iCs/>
        </w:rPr>
        <w:t>i</w:t>
      </w:r>
      <w:proofErr w:type="spellEnd"/>
      <w:r>
        <w:t>) within school (</w:t>
      </w:r>
      <w:r w:rsidRPr="004724D5">
        <w:rPr>
          <w:i/>
          <w:iCs/>
        </w:rPr>
        <w:t>j</w:t>
      </w:r>
      <w:r>
        <w:t>)):</w:t>
      </w:r>
    </w:p>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3"/>
        <w:gridCol w:w="1578"/>
      </w:tblGrid>
      <w:tr w:rsidR="00085177" w:rsidRPr="00085177" w14:paraId="4A53F384" w14:textId="77777777" w:rsidTr="006A04A6">
        <w:trPr>
          <w:trHeight w:val="695"/>
        </w:trPr>
        <w:tc>
          <w:tcPr>
            <w:tcW w:w="4172" w:type="pct"/>
          </w:tcPr>
          <w:p w14:paraId="6B297E1D" w14:textId="061CA7A0" w:rsidR="00085177" w:rsidRPr="00085177" w:rsidRDefault="00000000" w:rsidP="004B52F3">
            <w:pPr>
              <w:pStyle w:val="NoSpacing"/>
              <w:spacing w:line="480" w:lineRule="auto"/>
              <w:jc w:val="center"/>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y</m:t>
                    </m:r>
                  </m:e>
                  <m:sub>
                    <m:r>
                      <w:rPr>
                        <w:rFonts w:ascii="Cambria Math" w:hAnsi="Cambria Math" w:cs="Times New Roman"/>
                      </w:rPr>
                      <m:t>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0ij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1ij</m:t>
                    </m:r>
                  </m:sub>
                </m:sSub>
                <m:sSub>
                  <m:sSubPr>
                    <m:ctrlPr>
                      <w:rPr>
                        <w:rFonts w:ascii="Cambria Math" w:hAnsi="Cambria Math" w:cs="Times New Roman"/>
                        <w:i/>
                      </w:rPr>
                    </m:ctrlPr>
                  </m:sSubPr>
                  <m:e>
                    <m:r>
                      <w:rPr>
                        <w:rFonts w:ascii="Cambria Math" w:hAnsi="Cambria Math" w:cs="Times New Roman"/>
                      </w:rPr>
                      <m:t>G2</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2ij</m:t>
                    </m:r>
                  </m:sub>
                </m:sSub>
                <m:sSub>
                  <m:sSubPr>
                    <m:ctrlPr>
                      <w:rPr>
                        <w:rFonts w:ascii="Cambria Math" w:hAnsi="Cambria Math" w:cs="Times New Roman"/>
                        <w:i/>
                      </w:rPr>
                    </m:ctrlPr>
                  </m:sSubPr>
                  <m:e>
                    <m:r>
                      <w:rPr>
                        <w:rFonts w:ascii="Cambria Math" w:hAnsi="Cambria Math" w:cs="Times New Roman"/>
                      </w:rPr>
                      <m:t>S2</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3ij</m:t>
                    </m:r>
                  </m:sub>
                </m:sSub>
                <m:sSub>
                  <m:sSubPr>
                    <m:ctrlPr>
                      <w:rPr>
                        <w:rFonts w:ascii="Cambria Math" w:hAnsi="Cambria Math" w:cs="Times New Roman"/>
                        <w:i/>
                      </w:rPr>
                    </m:ctrlPr>
                  </m:sSubPr>
                  <m:e>
                    <m:r>
                      <w:rPr>
                        <w:rFonts w:ascii="Cambria Math" w:hAnsi="Cambria Math" w:cs="Times New Roman"/>
                      </w:rPr>
                      <m:t>G3</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4ij</m:t>
                    </m:r>
                  </m:sub>
                </m:sSub>
                <m:sSub>
                  <m:sSubPr>
                    <m:ctrlPr>
                      <w:rPr>
                        <w:rFonts w:ascii="Cambria Math" w:hAnsi="Cambria Math" w:cs="Times New Roman"/>
                        <w:i/>
                      </w:rPr>
                    </m:ctrlPr>
                  </m:sSubPr>
                  <m:e>
                    <m:r>
                      <w:rPr>
                        <w:rFonts w:ascii="Cambria Math" w:hAnsi="Cambria Math" w:cs="Times New Roman"/>
                      </w:rPr>
                      <m:t>S3</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5ij</m:t>
                    </m:r>
                  </m:sub>
                </m:sSub>
                <m:sSub>
                  <m:sSubPr>
                    <m:ctrlPr>
                      <w:rPr>
                        <w:rFonts w:ascii="Cambria Math" w:hAnsi="Cambria Math" w:cs="Times New Roman"/>
                        <w:i/>
                      </w:rPr>
                    </m:ctrlPr>
                  </m:sSubPr>
                  <m:e>
                    <m:r>
                      <w:rPr>
                        <w:rFonts w:ascii="Cambria Math" w:hAnsi="Cambria Math" w:cs="Times New Roman"/>
                      </w:rPr>
                      <m:t>G4</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6ij</m:t>
                    </m:r>
                  </m:sub>
                </m:sSub>
                <m:sSub>
                  <m:sSubPr>
                    <m:ctrlPr>
                      <w:rPr>
                        <w:rFonts w:ascii="Cambria Math" w:hAnsi="Cambria Math" w:cs="Times New Roman"/>
                        <w:i/>
                      </w:rPr>
                    </m:ctrlPr>
                  </m:sSubPr>
                  <m:e>
                    <m:r>
                      <w:rPr>
                        <w:rFonts w:ascii="Cambria Math" w:hAnsi="Cambria Math" w:cs="Times New Roman"/>
                      </w:rPr>
                      <m:t>S4</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7ij</m:t>
                    </m:r>
                  </m:sub>
                </m:sSub>
                <m:sSub>
                  <m:sSubPr>
                    <m:ctrlPr>
                      <w:rPr>
                        <w:rFonts w:ascii="Cambria Math" w:hAnsi="Cambria Math" w:cs="Times New Roman"/>
                        <w:i/>
                      </w:rPr>
                    </m:ctrlPr>
                  </m:sSubPr>
                  <m:e>
                    <m:r>
                      <w:rPr>
                        <w:rFonts w:ascii="Cambria Math" w:hAnsi="Cambria Math" w:cs="Times New Roman"/>
                      </w:rPr>
                      <m:t>G5</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8ij</m:t>
                    </m:r>
                  </m:sub>
                </m:sSub>
                <m:sSub>
                  <m:sSubPr>
                    <m:ctrlPr>
                      <w:rPr>
                        <w:rFonts w:ascii="Cambria Math" w:hAnsi="Cambria Math" w:cs="Times New Roman"/>
                        <w:i/>
                      </w:rPr>
                    </m:ctrlPr>
                  </m:sSubPr>
                  <m:e>
                    <m:r>
                      <w:rPr>
                        <w:rFonts w:ascii="Cambria Math" w:hAnsi="Cambria Math" w:cs="Times New Roman"/>
                      </w:rPr>
                      <m:t>S5</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9ij</m:t>
                    </m:r>
                  </m:sub>
                </m:sSub>
                <m:sSub>
                  <m:sSubPr>
                    <m:ctrlPr>
                      <w:rPr>
                        <w:rFonts w:ascii="Cambria Math" w:hAnsi="Cambria Math" w:cs="Times New Roman"/>
                        <w:i/>
                      </w:rPr>
                    </m:ctrlPr>
                  </m:sSubPr>
                  <m:e>
                    <m:r>
                      <w:rPr>
                        <w:rFonts w:ascii="Cambria Math" w:hAnsi="Cambria Math" w:cs="Times New Roman"/>
                      </w:rPr>
                      <m:t>G6</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10ij</m:t>
                    </m:r>
                  </m:sub>
                </m:sSub>
                <m:sSub>
                  <m:sSubPr>
                    <m:ctrlPr>
                      <w:rPr>
                        <w:rFonts w:ascii="Cambria Math" w:hAnsi="Cambria Math" w:cs="Times New Roman"/>
                        <w:i/>
                      </w:rPr>
                    </m:ctrlPr>
                  </m:sSubPr>
                  <m:e>
                    <m:r>
                      <w:rPr>
                        <w:rFonts w:ascii="Cambria Math" w:hAnsi="Cambria Math" w:cs="Times New Roman"/>
                      </w:rPr>
                      <m:t>S6</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11ij</m:t>
                    </m:r>
                  </m:sub>
                </m:sSub>
                <m:sSub>
                  <m:sSubPr>
                    <m:ctrlPr>
                      <w:rPr>
                        <w:rFonts w:ascii="Cambria Math" w:hAnsi="Cambria Math" w:cs="Times New Roman"/>
                        <w:i/>
                      </w:rPr>
                    </m:ctrlPr>
                  </m:sSubPr>
                  <m:e>
                    <m:r>
                      <w:rPr>
                        <w:rFonts w:ascii="Cambria Math" w:hAnsi="Cambria Math" w:cs="Times New Roman"/>
                      </w:rPr>
                      <m:t>G7</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12ij</m:t>
                    </m:r>
                  </m:sub>
                </m:sSub>
                <m:sSub>
                  <m:sSubPr>
                    <m:ctrlPr>
                      <w:rPr>
                        <w:rFonts w:ascii="Cambria Math" w:hAnsi="Cambria Math" w:cs="Times New Roman"/>
                        <w:i/>
                      </w:rPr>
                    </m:ctrlPr>
                  </m:sSubPr>
                  <m:e>
                    <m:r>
                      <w:rPr>
                        <w:rFonts w:ascii="Cambria Math" w:hAnsi="Cambria Math" w:cs="Times New Roman"/>
                      </w:rPr>
                      <m:t>S7</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13ij</m:t>
                    </m:r>
                  </m:sub>
                </m:sSub>
                <m:sSub>
                  <m:sSubPr>
                    <m:ctrlPr>
                      <w:rPr>
                        <w:rFonts w:ascii="Cambria Math" w:hAnsi="Cambria Math" w:cs="Times New Roman"/>
                        <w:i/>
                      </w:rPr>
                    </m:ctrlPr>
                  </m:sSubPr>
                  <m:e>
                    <m:r>
                      <w:rPr>
                        <w:rFonts w:ascii="Cambria Math" w:hAnsi="Cambria Math" w:cs="Times New Roman"/>
                      </w:rPr>
                      <m:t>G8</m:t>
                    </m: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tij</m:t>
                    </m:r>
                  </m:sub>
                </m:sSub>
              </m:oMath>
            </m:oMathPara>
          </w:p>
        </w:tc>
        <w:tc>
          <w:tcPr>
            <w:tcW w:w="828" w:type="pct"/>
          </w:tcPr>
          <w:p w14:paraId="31D8196B" w14:textId="77777777" w:rsidR="00085177" w:rsidRPr="00085177" w:rsidRDefault="00085177" w:rsidP="004B52F3">
            <w:pPr>
              <w:pStyle w:val="ListParagraph"/>
              <w:numPr>
                <w:ilvl w:val="0"/>
                <w:numId w:val="2"/>
              </w:numPr>
              <w:tabs>
                <w:tab w:val="left" w:pos="1031"/>
              </w:tabs>
              <w:spacing w:line="480" w:lineRule="auto"/>
              <w:contextualSpacing w:val="0"/>
              <w:jc w:val="right"/>
            </w:pPr>
          </w:p>
        </w:tc>
      </w:tr>
    </w:tbl>
    <w:p w14:paraId="2F7B7BC1" w14:textId="64BCB01C" w:rsidR="00F5244B" w:rsidRPr="0069129F" w:rsidRDefault="00F5244B" w:rsidP="004B52F3">
      <w:pPr>
        <w:pStyle w:val="NoSpacing"/>
        <w:spacing w:line="480" w:lineRule="auto"/>
        <w:ind w:firstLine="720"/>
        <w:rPr>
          <w:rFonts w:ascii="Times New Roman" w:eastAsia="Times New Roman" w:hAnsi="Times New Roman" w:cs="Times New Roman"/>
          <w:sz w:val="24"/>
          <w:szCs w:val="24"/>
          <w:vertAlign w:val="superscript"/>
        </w:rPr>
      </w:pPr>
      <w:r w:rsidRPr="00F5244B">
        <w:rPr>
          <w:rFonts w:ascii="Times New Roman" w:eastAsia="Times New Roman" w:hAnsi="Times New Roman" w:cs="Times New Roman"/>
          <w:sz w:val="24"/>
          <w:szCs w:val="24"/>
        </w:rPr>
        <w:t>As von Hippel and colleagues (2018) state</w:t>
      </w:r>
      <w:r w:rsidR="007D3959">
        <w:rPr>
          <w:rFonts w:ascii="Times New Roman" w:eastAsia="Times New Roman" w:hAnsi="Times New Roman" w:cs="Times New Roman"/>
          <w:sz w:val="24"/>
          <w:szCs w:val="24"/>
        </w:rPr>
        <w:t>d</w:t>
      </w:r>
      <w:r w:rsidRPr="00F5244B">
        <w:rPr>
          <w:rFonts w:ascii="Times New Roman" w:eastAsia="Times New Roman" w:hAnsi="Times New Roman" w:cs="Times New Roman"/>
          <w:sz w:val="24"/>
          <w:szCs w:val="24"/>
        </w:rPr>
        <w:t xml:space="preserve">, this model “implicitly extrapolates beyond the test dates to the scores that would have been achieved on the first and last day of the school year” (p. 335). </w:t>
      </w:r>
      <w:r w:rsidRPr="00085177">
        <w:rPr>
          <w:rFonts w:ascii="Times New Roman" w:eastAsia="Times New Roman" w:hAnsi="Times New Roman" w:cs="Times New Roman"/>
          <w:sz w:val="24"/>
          <w:szCs w:val="24"/>
        </w:rPr>
        <w:t xml:space="preserve">The intercept </w:t>
      </w:r>
      <m:oMath>
        <m:r>
          <w:rPr>
            <w:rFonts w:ascii="Cambria Math" w:eastAsia="Times New Roman"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0ij</m:t>
            </m:r>
          </m:sub>
        </m:sSub>
        <m:r>
          <w:rPr>
            <w:rFonts w:ascii="Cambria Math" w:hAnsi="Cambria Math" w:cs="Times New Roman"/>
            <w:sz w:val="24"/>
            <w:szCs w:val="24"/>
          </w:rPr>
          <m:t>)</m:t>
        </m:r>
      </m:oMath>
      <w:r w:rsidRPr="00085177">
        <w:rPr>
          <w:rFonts w:ascii="Times New Roman" w:eastAsia="Times New Roman" w:hAnsi="Times New Roman" w:cs="Times New Roman"/>
          <w:sz w:val="24"/>
          <w:szCs w:val="24"/>
        </w:rPr>
        <w:t xml:space="preserve"> therefore is the predicted score for student </w:t>
      </w:r>
      <w:proofErr w:type="spellStart"/>
      <w:r w:rsidRPr="00085177">
        <w:rPr>
          <w:rFonts w:ascii="Times New Roman" w:eastAsia="Times New Roman" w:hAnsi="Times New Roman" w:cs="Times New Roman"/>
          <w:i/>
          <w:sz w:val="24"/>
          <w:szCs w:val="24"/>
        </w:rPr>
        <w:t>i</w:t>
      </w:r>
      <w:proofErr w:type="spellEnd"/>
      <w:r w:rsidRPr="00085177">
        <w:rPr>
          <w:rFonts w:ascii="Times New Roman" w:eastAsia="Times New Roman" w:hAnsi="Times New Roman" w:cs="Times New Roman"/>
          <w:sz w:val="24"/>
          <w:szCs w:val="24"/>
        </w:rPr>
        <w:t xml:space="preserve"> in school </w:t>
      </w:r>
      <w:r w:rsidRPr="00085177">
        <w:rPr>
          <w:rFonts w:ascii="Times New Roman" w:eastAsia="Times New Roman" w:hAnsi="Times New Roman" w:cs="Times New Roman"/>
          <w:i/>
          <w:sz w:val="24"/>
          <w:szCs w:val="24"/>
        </w:rPr>
        <w:t xml:space="preserve">j </w:t>
      </w:r>
      <w:r w:rsidRPr="00085177">
        <w:rPr>
          <w:rFonts w:ascii="Times New Roman" w:eastAsia="Times New Roman" w:hAnsi="Times New Roman" w:cs="Times New Roman"/>
          <w:sz w:val="24"/>
          <w:szCs w:val="24"/>
        </w:rPr>
        <w:t>testing on the first day of 2</w:t>
      </w:r>
      <w:r w:rsidRPr="00085177">
        <w:rPr>
          <w:rFonts w:ascii="Times New Roman" w:eastAsia="Times New Roman" w:hAnsi="Times New Roman" w:cs="Times New Roman"/>
          <w:sz w:val="24"/>
          <w:szCs w:val="24"/>
          <w:vertAlign w:val="superscript"/>
        </w:rPr>
        <w:t>nd</w:t>
      </w:r>
      <w:r w:rsidRPr="00085177">
        <w:rPr>
          <w:rFonts w:ascii="Times New Roman" w:eastAsia="Times New Roman" w:hAnsi="Times New Roman" w:cs="Times New Roman"/>
          <w:sz w:val="24"/>
          <w:szCs w:val="24"/>
        </w:rPr>
        <w:t xml:space="preserve"> grade, even if the student tested in the third week of the school year. The slopes </w:t>
      </w:r>
      <m:oMath>
        <m:r>
          <w:rPr>
            <w:rFonts w:ascii="Cambria Math" w:eastAsia="Times New Roman"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13ij</m:t>
            </m:r>
          </m:sub>
        </m:sSub>
        <m:r>
          <w:rPr>
            <w:rFonts w:ascii="Cambria Math" w:hAnsi="Cambria Math" w:cs="Times New Roman"/>
            <w:sz w:val="24"/>
            <w:szCs w:val="24"/>
          </w:rPr>
          <m:t>)</m:t>
        </m:r>
      </m:oMath>
      <w:r w:rsidRPr="00085177">
        <w:rPr>
          <w:rFonts w:ascii="Times New Roman" w:eastAsia="Times New Roman" w:hAnsi="Times New Roman" w:cs="Times New Roman"/>
          <w:sz w:val="24"/>
          <w:szCs w:val="24"/>
        </w:rPr>
        <w:t xml:space="preserve"> are the monthly learning rates of student </w:t>
      </w:r>
      <w:proofErr w:type="spellStart"/>
      <w:r w:rsidRPr="00085177">
        <w:rPr>
          <w:rFonts w:ascii="Times New Roman" w:eastAsia="Times New Roman" w:hAnsi="Times New Roman" w:cs="Times New Roman"/>
          <w:i/>
          <w:sz w:val="24"/>
          <w:szCs w:val="24"/>
        </w:rPr>
        <w:t>i</w:t>
      </w:r>
      <w:proofErr w:type="spellEnd"/>
      <w:r w:rsidRPr="00085177">
        <w:rPr>
          <w:rFonts w:ascii="Times New Roman" w:eastAsia="Times New Roman" w:hAnsi="Times New Roman" w:cs="Times New Roman"/>
          <w:sz w:val="24"/>
          <w:szCs w:val="24"/>
        </w:rPr>
        <w:t xml:space="preserve"> during each school year and summer. </w:t>
      </w:r>
      <w:r w:rsidR="002C0E51">
        <w:rPr>
          <w:rFonts w:ascii="Times New Roman" w:eastAsia="Times New Roman" w:hAnsi="Times New Roman" w:cs="Times New Roman"/>
          <w:sz w:val="24"/>
          <w:szCs w:val="24"/>
        </w:rPr>
        <w:t>E</w:t>
      </w:r>
      <w:r w:rsidRPr="00085177">
        <w:rPr>
          <w:rFonts w:ascii="Times New Roman" w:eastAsia="Times New Roman" w:hAnsi="Times New Roman" w:cs="Times New Roman"/>
          <w:sz w:val="24"/>
          <w:szCs w:val="24"/>
        </w:rPr>
        <w:t xml:space="preserve">ach test score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tij</m:t>
            </m:r>
          </m:sub>
        </m:sSub>
        <m:r>
          <w:rPr>
            <w:rFonts w:ascii="Cambria Math" w:hAnsi="Cambria Math" w:cs="Times New Roman"/>
            <w:sz w:val="24"/>
            <w:szCs w:val="24"/>
          </w:rPr>
          <m:t xml:space="preserve"> </m:t>
        </m:r>
      </m:oMath>
      <w:r w:rsidR="002C0E51">
        <w:rPr>
          <w:rFonts w:ascii="Times New Roman" w:eastAsia="Times New Roman" w:hAnsi="Times New Roman" w:cs="Times New Roman"/>
          <w:sz w:val="24"/>
          <w:szCs w:val="24"/>
        </w:rPr>
        <w:t xml:space="preserve">is viewed </w:t>
      </w:r>
      <w:r w:rsidRPr="00085177">
        <w:rPr>
          <w:rFonts w:ascii="Times New Roman" w:eastAsia="Times New Roman" w:hAnsi="Times New Roman" w:cs="Times New Roman"/>
          <w:sz w:val="24"/>
          <w:szCs w:val="24"/>
        </w:rPr>
        <w:t xml:space="preserve">as a linear function of the months that student </w:t>
      </w:r>
      <w:proofErr w:type="spellStart"/>
      <w:r w:rsidRPr="00085177">
        <w:rPr>
          <w:rFonts w:ascii="Times New Roman" w:eastAsia="Times New Roman" w:hAnsi="Times New Roman" w:cs="Times New Roman"/>
          <w:i/>
          <w:sz w:val="24"/>
          <w:szCs w:val="24"/>
        </w:rPr>
        <w:t>i</w:t>
      </w:r>
      <w:proofErr w:type="spellEnd"/>
      <w:r w:rsidRPr="00085177">
        <w:rPr>
          <w:rFonts w:ascii="Times New Roman" w:eastAsia="Times New Roman" w:hAnsi="Times New Roman" w:cs="Times New Roman"/>
          <w:sz w:val="24"/>
          <w:szCs w:val="24"/>
        </w:rPr>
        <w:t xml:space="preserve"> in school</w:t>
      </w:r>
      <w:r w:rsidRPr="00085177">
        <w:rPr>
          <w:rFonts w:ascii="Times New Roman" w:eastAsia="Times New Roman" w:hAnsi="Times New Roman" w:cs="Times New Roman"/>
          <w:i/>
          <w:sz w:val="24"/>
          <w:szCs w:val="24"/>
        </w:rPr>
        <w:t xml:space="preserve"> j</w:t>
      </w:r>
      <w:r w:rsidRPr="00085177">
        <w:rPr>
          <w:rFonts w:ascii="Times New Roman" w:eastAsia="Times New Roman" w:hAnsi="Times New Roman" w:cs="Times New Roman"/>
          <w:sz w:val="24"/>
          <w:szCs w:val="24"/>
        </w:rPr>
        <w:t xml:space="preserve"> has been exposed to 2</w:t>
      </w:r>
      <w:r w:rsidRPr="00085177">
        <w:rPr>
          <w:rFonts w:ascii="Times New Roman" w:eastAsia="Times New Roman" w:hAnsi="Times New Roman" w:cs="Times New Roman"/>
          <w:sz w:val="24"/>
          <w:szCs w:val="24"/>
          <w:vertAlign w:val="superscript"/>
        </w:rPr>
        <w:t>nd</w:t>
      </w:r>
      <w:r w:rsidRPr="00085177">
        <w:rPr>
          <w:rFonts w:ascii="Times New Roman" w:eastAsia="Times New Roman" w:hAnsi="Times New Roman" w:cs="Times New Roman"/>
          <w:sz w:val="24"/>
          <w:szCs w:val="24"/>
        </w:rPr>
        <w:t xml:space="preserve"> grade (</w:t>
      </w:r>
      <m:oMath>
        <m:sSub>
          <m:sSubPr>
            <m:ctrlPr>
              <w:rPr>
                <w:rFonts w:ascii="Cambria Math" w:hAnsi="Cambria Math" w:cs="Times New Roman"/>
                <w:i/>
                <w:sz w:val="24"/>
                <w:szCs w:val="24"/>
              </w:rPr>
            </m:ctrlPr>
          </m:sSubPr>
          <m:e>
            <m:r>
              <w:rPr>
                <w:rFonts w:ascii="Cambria Math" w:hAnsi="Cambria Math" w:cs="Times New Roman"/>
                <w:sz w:val="24"/>
                <w:szCs w:val="24"/>
              </w:rPr>
              <m:t>G2</m:t>
            </m:r>
          </m:e>
          <m:sub>
            <m:r>
              <w:rPr>
                <w:rFonts w:ascii="Cambria Math" w:hAnsi="Cambria Math" w:cs="Times New Roman"/>
                <w:sz w:val="24"/>
                <w:szCs w:val="24"/>
              </w:rPr>
              <m:t>ij</m:t>
            </m:r>
          </m:sub>
        </m:sSub>
        <m:r>
          <w:rPr>
            <w:rFonts w:ascii="Cambria Math" w:hAnsi="Cambria Math" w:cs="Times New Roman"/>
            <w:sz w:val="24"/>
            <w:szCs w:val="24"/>
          </w:rPr>
          <m:t>)</m:t>
        </m:r>
      </m:oMath>
      <w:r w:rsidRPr="00085177">
        <w:rPr>
          <w:rFonts w:ascii="Times New Roman" w:eastAsia="Times New Roman" w:hAnsi="Times New Roman" w:cs="Times New Roman"/>
          <w:sz w:val="24"/>
          <w:szCs w:val="24"/>
        </w:rPr>
        <w:t>, 3</w:t>
      </w:r>
      <w:r w:rsidRPr="00085177">
        <w:rPr>
          <w:rFonts w:ascii="Times New Roman" w:eastAsia="Times New Roman" w:hAnsi="Times New Roman" w:cs="Times New Roman"/>
          <w:sz w:val="24"/>
          <w:szCs w:val="24"/>
          <w:vertAlign w:val="superscript"/>
        </w:rPr>
        <w:t>rd</w:t>
      </w:r>
      <w:r w:rsidRPr="00085177">
        <w:rPr>
          <w:rFonts w:ascii="Times New Roman" w:eastAsia="Times New Roman" w:hAnsi="Times New Roman" w:cs="Times New Roman"/>
          <w:sz w:val="24"/>
          <w:szCs w:val="24"/>
        </w:rPr>
        <w:t xml:space="preserve"> grade (</w:t>
      </w:r>
      <m:oMath>
        <m:sSub>
          <m:sSubPr>
            <m:ctrlPr>
              <w:rPr>
                <w:rFonts w:ascii="Cambria Math" w:hAnsi="Cambria Math" w:cs="Times New Roman"/>
                <w:i/>
                <w:sz w:val="24"/>
                <w:szCs w:val="24"/>
              </w:rPr>
            </m:ctrlPr>
          </m:sSubPr>
          <m:e>
            <m:r>
              <w:rPr>
                <w:rFonts w:ascii="Cambria Math" w:hAnsi="Cambria Math" w:cs="Times New Roman"/>
                <w:sz w:val="24"/>
                <w:szCs w:val="24"/>
              </w:rPr>
              <m:t>G3</m:t>
            </m:r>
          </m:e>
          <m:sub>
            <m:r>
              <w:rPr>
                <w:rFonts w:ascii="Cambria Math" w:hAnsi="Cambria Math" w:cs="Times New Roman"/>
                <w:sz w:val="24"/>
                <w:szCs w:val="24"/>
              </w:rPr>
              <m:t>ij</m:t>
            </m:r>
          </m:sub>
        </m:sSub>
        <m:r>
          <w:rPr>
            <w:rFonts w:ascii="Cambria Math" w:hAnsi="Cambria Math" w:cs="Times New Roman"/>
            <w:sz w:val="24"/>
            <w:szCs w:val="24"/>
          </w:rPr>
          <m:t>)</m:t>
        </m:r>
      </m:oMath>
      <w:r w:rsidR="001B1259" w:rsidRPr="00085177">
        <w:rPr>
          <w:rFonts w:ascii="Times New Roman" w:eastAsia="Times New Roman" w:hAnsi="Times New Roman" w:cs="Times New Roman"/>
          <w:sz w:val="24"/>
          <w:szCs w:val="24"/>
        </w:rPr>
        <w:t>, etc., through</w:t>
      </w:r>
      <w:r w:rsidRPr="00085177">
        <w:rPr>
          <w:rFonts w:ascii="Times New Roman" w:eastAsia="Times New Roman" w:hAnsi="Times New Roman" w:cs="Times New Roman"/>
          <w:sz w:val="24"/>
          <w:szCs w:val="24"/>
        </w:rPr>
        <w:t xml:space="preserve"> </w:t>
      </w:r>
      <w:r w:rsidR="001B1259" w:rsidRPr="00085177">
        <w:rPr>
          <w:rFonts w:ascii="Times New Roman" w:eastAsia="Times New Roman" w:hAnsi="Times New Roman" w:cs="Times New Roman"/>
          <w:sz w:val="24"/>
          <w:szCs w:val="24"/>
        </w:rPr>
        <w:t>8</w:t>
      </w:r>
      <w:r w:rsidR="001B1259" w:rsidRPr="00085177">
        <w:rPr>
          <w:rFonts w:ascii="Times New Roman" w:eastAsia="Times New Roman" w:hAnsi="Times New Roman" w:cs="Times New Roman"/>
          <w:sz w:val="24"/>
          <w:szCs w:val="24"/>
          <w:vertAlign w:val="superscript"/>
        </w:rPr>
        <w:t>th</w:t>
      </w:r>
      <w:r w:rsidRPr="00085177">
        <w:rPr>
          <w:rFonts w:ascii="Times New Roman" w:eastAsia="Times New Roman" w:hAnsi="Times New Roman" w:cs="Times New Roman"/>
          <w:sz w:val="24"/>
          <w:szCs w:val="24"/>
        </w:rPr>
        <w:t xml:space="preserve"> grade (</w:t>
      </w:r>
      <m:oMath>
        <m:sSub>
          <m:sSubPr>
            <m:ctrlPr>
              <w:rPr>
                <w:rFonts w:ascii="Cambria Math" w:hAnsi="Cambria Math" w:cs="Times New Roman"/>
                <w:i/>
                <w:sz w:val="24"/>
                <w:szCs w:val="24"/>
              </w:rPr>
            </m:ctrlPr>
          </m:sSubPr>
          <m:e>
            <m:r>
              <w:rPr>
                <w:rFonts w:ascii="Cambria Math" w:hAnsi="Cambria Math" w:cs="Times New Roman"/>
                <w:sz w:val="24"/>
                <w:szCs w:val="24"/>
              </w:rPr>
              <m:t>G8</m:t>
            </m:r>
          </m:e>
          <m:sub>
            <m:r>
              <w:rPr>
                <w:rFonts w:ascii="Cambria Math" w:hAnsi="Cambria Math" w:cs="Times New Roman"/>
                <w:sz w:val="24"/>
                <w:szCs w:val="24"/>
              </w:rPr>
              <m:t>ij</m:t>
            </m:r>
          </m:sub>
        </m:sSub>
        <m:r>
          <w:rPr>
            <w:rFonts w:ascii="Cambria Math" w:hAnsi="Cambria Math" w:cs="Times New Roman"/>
            <w:sz w:val="24"/>
            <w:szCs w:val="24"/>
          </w:rPr>
          <m:t>)</m:t>
        </m:r>
      </m:oMath>
      <w:r w:rsidRPr="00085177">
        <w:rPr>
          <w:rFonts w:ascii="Times New Roman" w:eastAsia="Times New Roman" w:hAnsi="Times New Roman" w:cs="Times New Roman"/>
          <w:sz w:val="24"/>
          <w:szCs w:val="24"/>
        </w:rPr>
        <w:t>; and the number of months that the student has been exposed to the summer</w:t>
      </w:r>
      <w:r w:rsidR="001B1259" w:rsidRPr="00085177">
        <w:rPr>
          <w:rFonts w:ascii="Times New Roman" w:eastAsia="Times New Roman" w:hAnsi="Times New Roman" w:cs="Times New Roman"/>
          <w:sz w:val="24"/>
          <w:szCs w:val="24"/>
        </w:rPr>
        <w:t>s</w:t>
      </w:r>
      <w:r w:rsidRPr="00085177">
        <w:rPr>
          <w:rFonts w:ascii="Times New Roman" w:eastAsia="Times New Roman" w:hAnsi="Times New Roman" w:cs="Times New Roman"/>
          <w:sz w:val="24"/>
          <w:szCs w:val="24"/>
        </w:rPr>
        <w:t xml:space="preserve"> after </w:t>
      </w:r>
      <w:r w:rsidR="001B1259" w:rsidRPr="00085177">
        <w:rPr>
          <w:rFonts w:ascii="Times New Roman" w:eastAsia="Times New Roman" w:hAnsi="Times New Roman" w:cs="Times New Roman"/>
          <w:sz w:val="24"/>
          <w:szCs w:val="24"/>
        </w:rPr>
        <w:t>2</w:t>
      </w:r>
      <w:r w:rsidR="001B1259" w:rsidRPr="00085177">
        <w:rPr>
          <w:rFonts w:ascii="Times New Roman" w:eastAsia="Times New Roman" w:hAnsi="Times New Roman" w:cs="Times New Roman"/>
          <w:sz w:val="24"/>
          <w:szCs w:val="24"/>
          <w:vertAlign w:val="superscript"/>
        </w:rPr>
        <w:t>nd</w:t>
      </w:r>
      <w:r w:rsidRPr="00085177">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S2</m:t>
            </m:r>
          </m:e>
          <m:sub>
            <m:r>
              <w:rPr>
                <w:rFonts w:ascii="Cambria Math" w:hAnsi="Cambria Math" w:cs="Times New Roman"/>
                <w:sz w:val="24"/>
                <w:szCs w:val="24"/>
              </w:rPr>
              <m:t>ij</m:t>
            </m:r>
          </m:sub>
        </m:sSub>
      </m:oMath>
      <w:r w:rsidRPr="00085177">
        <w:rPr>
          <w:rFonts w:ascii="Times New Roman" w:eastAsia="Times New Roman" w:hAnsi="Times New Roman" w:cs="Times New Roman"/>
          <w:sz w:val="24"/>
          <w:szCs w:val="24"/>
        </w:rPr>
        <w:t xml:space="preserve">) </w:t>
      </w:r>
      <w:r w:rsidR="001B1259" w:rsidRPr="00085177">
        <w:rPr>
          <w:rFonts w:ascii="Times New Roman" w:eastAsia="Times New Roman" w:hAnsi="Times New Roman" w:cs="Times New Roman"/>
          <w:sz w:val="24"/>
          <w:szCs w:val="24"/>
        </w:rPr>
        <w:t>through 7</w:t>
      </w:r>
      <w:r w:rsidR="001B1259" w:rsidRPr="00085177">
        <w:rPr>
          <w:rFonts w:ascii="Times New Roman" w:eastAsia="Times New Roman" w:hAnsi="Times New Roman" w:cs="Times New Roman"/>
          <w:sz w:val="24"/>
          <w:szCs w:val="24"/>
          <w:vertAlign w:val="superscript"/>
        </w:rPr>
        <w:t>th</w:t>
      </w:r>
      <w:r w:rsidRPr="00085177">
        <w:rPr>
          <w:rFonts w:ascii="Times New Roman" w:eastAsia="Times New Roman" w:hAnsi="Times New Roman" w:cs="Times New Roman"/>
          <w:sz w:val="24"/>
          <w:szCs w:val="24"/>
        </w:rPr>
        <w:t xml:space="preserve"> grade (</w:t>
      </w:r>
      <m:oMath>
        <m:sSub>
          <m:sSubPr>
            <m:ctrlPr>
              <w:rPr>
                <w:rFonts w:ascii="Cambria Math" w:hAnsi="Cambria Math" w:cs="Times New Roman"/>
                <w:i/>
                <w:sz w:val="24"/>
                <w:szCs w:val="24"/>
              </w:rPr>
            </m:ctrlPr>
          </m:sSubPr>
          <m:e>
            <m:r>
              <w:rPr>
                <w:rFonts w:ascii="Cambria Math" w:hAnsi="Cambria Math" w:cs="Times New Roman"/>
                <w:sz w:val="24"/>
                <w:szCs w:val="24"/>
              </w:rPr>
              <m:t>S7</m:t>
            </m:r>
          </m:e>
          <m:sub>
            <m:r>
              <w:rPr>
                <w:rFonts w:ascii="Cambria Math" w:hAnsi="Cambria Math" w:cs="Times New Roman"/>
                <w:sz w:val="24"/>
                <w:szCs w:val="24"/>
              </w:rPr>
              <m:t>ij</m:t>
            </m:r>
          </m:sub>
        </m:sSub>
        <m:r>
          <w:rPr>
            <w:rFonts w:ascii="Cambria Math" w:hAnsi="Cambria Math" w:cs="Times New Roman"/>
            <w:sz w:val="24"/>
            <w:szCs w:val="24"/>
          </w:rPr>
          <m:t>).</m:t>
        </m:r>
      </m:oMath>
      <w:r w:rsidRPr="00085177">
        <w:rPr>
          <w:rFonts w:ascii="Times New Roman" w:eastAsia="Times New Roman" w:hAnsi="Times New Roman" w:cs="Times New Roman"/>
          <w:sz w:val="24"/>
          <w:szCs w:val="24"/>
        </w:rPr>
        <w:t xml:space="preserve"> </w:t>
      </w:r>
    </w:p>
    <w:p w14:paraId="5D5DD904" w14:textId="3A1A20E8" w:rsidR="00040E91" w:rsidRDefault="000D2933" w:rsidP="004B52F3">
      <w:pPr>
        <w:spacing w:line="480" w:lineRule="auto"/>
        <w:ind w:firstLine="720"/>
        <w:rPr>
          <w:rFonts w:eastAsiaTheme="minorEastAsia"/>
          <w:iCs/>
        </w:rPr>
      </w:pPr>
      <w:r>
        <w:rPr>
          <w:rFonts w:eastAsiaTheme="minorEastAsia"/>
          <w:iCs/>
        </w:rPr>
        <w:t xml:space="preserve">At level 2, </w:t>
      </w:r>
      <w:r w:rsidR="00040E91">
        <w:rPr>
          <w:rFonts w:eastAsiaTheme="minorEastAsia"/>
          <w:iCs/>
        </w:rPr>
        <w:t>I include a</w:t>
      </w:r>
      <w:r w:rsidR="000C1678">
        <w:rPr>
          <w:rFonts w:eastAsiaTheme="minorEastAsia"/>
          <w:iCs/>
        </w:rPr>
        <w:t xml:space="preserve"> random intercept </w:t>
      </w:r>
      <w:r w:rsidR="00040E91">
        <w:rPr>
          <w:rFonts w:eastAsiaTheme="minorEastAsia"/>
          <w:iCs/>
        </w:rPr>
        <w:t>to allow students’ starting achievement in fall of 2</w:t>
      </w:r>
      <w:r w:rsidR="00040E91" w:rsidRPr="00040E91">
        <w:rPr>
          <w:rFonts w:eastAsiaTheme="minorEastAsia"/>
          <w:iCs/>
          <w:vertAlign w:val="superscript"/>
        </w:rPr>
        <w:t>nd</w:t>
      </w:r>
      <w:r w:rsidR="00040E91">
        <w:rPr>
          <w:rFonts w:eastAsiaTheme="minorEastAsia"/>
          <w:iCs/>
        </w:rPr>
        <w:t xml:space="preserve"> grade to vary by student</w:t>
      </w:r>
      <w:r w:rsidR="00C9440B">
        <w:rPr>
          <w:rFonts w:eastAsiaTheme="minorEastAsia"/>
          <w:iCs/>
        </w:rPr>
        <w:t>; slopes are treated as fixed.</w:t>
      </w:r>
      <w:r w:rsidR="00D60706">
        <w:rPr>
          <w:rFonts w:eastAsiaTheme="minorEastAsia"/>
          <w:iCs/>
          <w:vertAlign w:val="superscript"/>
        </w:rPr>
        <w:t>8</w:t>
      </w:r>
      <w:r w:rsidR="00C9440B">
        <w:rPr>
          <w:rFonts w:eastAsiaTheme="minorEastAsia"/>
          <w:iCs/>
        </w:rPr>
        <w:t xml:space="preserve"> </w:t>
      </w:r>
      <w:r w:rsidR="000C1678">
        <w:rPr>
          <w:rFonts w:eastAsiaTheme="minorEastAsia"/>
          <w:iCs/>
        </w:rPr>
        <w:t xml:space="preserve">I </w:t>
      </w:r>
      <w:r w:rsidR="00040E91">
        <w:rPr>
          <w:rFonts w:eastAsiaTheme="minorEastAsia"/>
          <w:iCs/>
        </w:rPr>
        <w:t>start with a</w:t>
      </w:r>
      <w:r w:rsidR="004F2CC3">
        <w:rPr>
          <w:rFonts w:eastAsiaTheme="minorEastAsia"/>
          <w:iCs/>
        </w:rPr>
        <w:t xml:space="preserve"> baseline</w:t>
      </w:r>
      <w:r w:rsidR="00421DA7">
        <w:rPr>
          <w:rFonts w:eastAsiaTheme="minorEastAsia"/>
          <w:iCs/>
        </w:rPr>
        <w:t xml:space="preserve"> </w:t>
      </w:r>
      <w:r w:rsidR="00040E91">
        <w:rPr>
          <w:rFonts w:eastAsiaTheme="minorEastAsia"/>
          <w:iCs/>
        </w:rPr>
        <w:t>model that only includes</w:t>
      </w:r>
      <w:r w:rsidR="004F2CC3">
        <w:rPr>
          <w:rFonts w:eastAsiaTheme="minorEastAsia"/>
          <w:iCs/>
        </w:rPr>
        <w:t xml:space="preserve"> the time predictors,</w:t>
      </w:r>
      <w:r w:rsidR="00040E91">
        <w:rPr>
          <w:rFonts w:eastAsiaTheme="minorEastAsia"/>
          <w:iCs/>
        </w:rPr>
        <w:t xml:space="preserve"> </w:t>
      </w:r>
      <w:r w:rsidR="004F2CC3">
        <w:rPr>
          <w:rFonts w:eastAsiaTheme="minorEastAsia"/>
          <w:iCs/>
        </w:rPr>
        <w:t xml:space="preserve">the indictor </w:t>
      </w:r>
      <w:proofErr w:type="spellStart"/>
      <w:r w:rsidR="004F2CC3">
        <w:rPr>
          <w:rFonts w:eastAsiaTheme="minorEastAsia"/>
          <w:iCs/>
        </w:rPr>
        <w:t>for ever</w:t>
      </w:r>
      <w:proofErr w:type="spellEnd"/>
      <w:r w:rsidR="004F2CC3">
        <w:rPr>
          <w:rFonts w:eastAsiaTheme="minorEastAsia"/>
          <w:iCs/>
        </w:rPr>
        <w:t xml:space="preserve"> </w:t>
      </w:r>
      <w:r w:rsidR="00421DA7">
        <w:rPr>
          <w:rFonts w:eastAsiaTheme="minorEastAsia"/>
          <w:iCs/>
        </w:rPr>
        <w:t>participati</w:t>
      </w:r>
      <w:r w:rsidR="004F2CC3">
        <w:rPr>
          <w:rFonts w:eastAsiaTheme="minorEastAsia"/>
          <w:iCs/>
        </w:rPr>
        <w:t>ng</w:t>
      </w:r>
      <w:r w:rsidR="00473D3F">
        <w:rPr>
          <w:rFonts w:eastAsiaTheme="minorEastAsia"/>
          <w:iCs/>
        </w:rPr>
        <w:t xml:space="preserve"> </w:t>
      </w:r>
      <w:r w:rsidR="00F05767">
        <w:rPr>
          <w:rFonts w:eastAsiaTheme="minorEastAsia"/>
          <w:iCs/>
        </w:rPr>
        <w:t>in the program</w:t>
      </w:r>
      <w:r w:rsidR="00421DA7">
        <w:rPr>
          <w:rFonts w:eastAsiaTheme="minorEastAsia"/>
          <w:iCs/>
        </w:rPr>
        <w:t xml:space="preserve">, </w:t>
      </w:r>
      <w:r w:rsidR="00C9440B" w:rsidRPr="00C9440B">
        <w:rPr>
          <w:rFonts w:eastAsiaTheme="minorEastAsia"/>
          <w:i/>
        </w:rPr>
        <w:t>DL</w:t>
      </w:r>
      <w:r w:rsidR="00421DA7">
        <w:rPr>
          <w:rFonts w:eastAsiaTheme="minorEastAsia"/>
          <w:iCs/>
        </w:rPr>
        <w:t xml:space="preserve">, and an interaction term between </w:t>
      </w:r>
      <w:r w:rsidR="00C9440B" w:rsidRPr="00C9440B">
        <w:rPr>
          <w:rFonts w:eastAsiaTheme="minorEastAsia"/>
          <w:i/>
        </w:rPr>
        <w:t xml:space="preserve">DL </w:t>
      </w:r>
      <w:r w:rsidR="00421DA7">
        <w:rPr>
          <w:rFonts w:eastAsiaTheme="minorEastAsia"/>
          <w:iCs/>
        </w:rPr>
        <w:t xml:space="preserve">and each time </w:t>
      </w:r>
      <w:r w:rsidR="004F2CC3">
        <w:rPr>
          <w:rFonts w:eastAsiaTheme="minorEastAsia"/>
          <w:iCs/>
        </w:rPr>
        <w:t>predictor</w:t>
      </w:r>
      <w:r w:rsidR="00421DA7">
        <w:rPr>
          <w:rFonts w:eastAsiaTheme="minorEastAsia"/>
          <w:iCs/>
        </w:rPr>
        <w:t>, which will yield estimates for additional growth DL students experienced above and beyond the growth rate of non-DL students</w:t>
      </w:r>
      <w:r w:rsidR="00CC5126">
        <w:rPr>
          <w:rFonts w:eastAsiaTheme="minorEastAsia"/>
          <w:iCs/>
        </w:rPr>
        <w:t xml:space="preserve"> (Model 1)</w:t>
      </w:r>
      <w:r w:rsidR="00421DA7">
        <w:rPr>
          <w:rFonts w:eastAsiaTheme="minorEastAsia"/>
          <w:iCs/>
        </w:rPr>
        <w:t xml:space="preserve">. After that, I run another model that additionally includes </w:t>
      </w:r>
      <w:r w:rsidR="00040E91">
        <w:rPr>
          <w:rFonts w:eastAsiaTheme="minorEastAsia"/>
          <w:iCs/>
        </w:rPr>
        <w:t>student-level</w:t>
      </w:r>
      <w:r w:rsidR="000C1678">
        <w:rPr>
          <w:rFonts w:eastAsiaTheme="minorEastAsia"/>
          <w:iCs/>
        </w:rPr>
        <w:t xml:space="preserve"> covariates</w:t>
      </w:r>
      <w:r w:rsidR="00CC5126">
        <w:rPr>
          <w:rFonts w:eastAsiaTheme="minorEastAsia"/>
          <w:iCs/>
        </w:rPr>
        <w:t xml:space="preserve"> (Model 2)</w:t>
      </w:r>
      <w:r w:rsidR="00040E91">
        <w:rPr>
          <w:rFonts w:eastAsiaTheme="minorEastAsia"/>
          <w:iCs/>
        </w:rPr>
        <w:t xml:space="preserve">. </w:t>
      </w:r>
      <w:r w:rsidR="002454F4">
        <w:rPr>
          <w:rFonts w:eastAsiaTheme="minorEastAsia"/>
          <w:iCs/>
        </w:rPr>
        <w:t xml:space="preserve">Equation (2) below shows my preferred specification. </w:t>
      </w:r>
      <w:r w:rsidR="00040E91" w:rsidRPr="00C42CE6">
        <w:rPr>
          <w:rFonts w:eastAsiaTheme="minorEastAsia"/>
          <w:i/>
        </w:rPr>
        <w:t>EL</w:t>
      </w:r>
      <w:r w:rsidR="00040E91">
        <w:rPr>
          <w:rFonts w:eastAsiaTheme="minorEastAsia"/>
          <w:iCs/>
        </w:rPr>
        <w:t xml:space="preserve">, </w:t>
      </w:r>
      <w:r w:rsidR="00040E91" w:rsidRPr="00C42CE6">
        <w:rPr>
          <w:rFonts w:eastAsiaTheme="minorEastAsia"/>
          <w:i/>
        </w:rPr>
        <w:t>FRPL</w:t>
      </w:r>
      <w:r w:rsidR="00040E91">
        <w:rPr>
          <w:rFonts w:eastAsiaTheme="minorEastAsia"/>
          <w:iCs/>
        </w:rPr>
        <w:t xml:space="preserve">, and </w:t>
      </w:r>
      <w:r w:rsidR="00040E91" w:rsidRPr="00C42CE6">
        <w:rPr>
          <w:rFonts w:eastAsiaTheme="minorEastAsia"/>
          <w:i/>
        </w:rPr>
        <w:t>SPED</w:t>
      </w:r>
      <w:r w:rsidR="00040E91">
        <w:rPr>
          <w:rFonts w:eastAsiaTheme="minorEastAsia"/>
          <w:iCs/>
        </w:rPr>
        <w:t xml:space="preserve"> are student-level covariates representing ever being eligible for each service during the students’ entire time in the district; </w:t>
      </w:r>
      <w:r w:rsidR="00040E91" w:rsidRPr="00C42CE6">
        <w:rPr>
          <w:rFonts w:eastAsiaTheme="minorEastAsia"/>
          <w:i/>
        </w:rPr>
        <w:t>female</w:t>
      </w:r>
      <w:r w:rsidR="00040E91">
        <w:rPr>
          <w:rFonts w:eastAsiaTheme="minorEastAsia"/>
          <w:iCs/>
        </w:rPr>
        <w:t xml:space="preserve"> is an indicator for the student’s biological sex reported as female; </w:t>
      </w:r>
      <w:r w:rsidR="00040E91" w:rsidRPr="006C3759">
        <w:rPr>
          <w:rFonts w:eastAsiaTheme="minorEastAsia"/>
          <w:i/>
        </w:rPr>
        <w:t>refuse</w:t>
      </w:r>
      <w:r w:rsidR="00040E91">
        <w:rPr>
          <w:rFonts w:eastAsiaTheme="minorEastAsia"/>
          <w:iCs/>
        </w:rPr>
        <w:t xml:space="preserve"> is an indicator for ever refusing EL service before the fall of 2</w:t>
      </w:r>
      <w:r w:rsidR="00040E91" w:rsidRPr="00C42CE6">
        <w:rPr>
          <w:rFonts w:eastAsiaTheme="minorEastAsia"/>
          <w:iCs/>
          <w:vertAlign w:val="superscript"/>
        </w:rPr>
        <w:t>nd</w:t>
      </w:r>
      <w:r w:rsidR="00040E91">
        <w:rPr>
          <w:rFonts w:eastAsiaTheme="minorEastAsia"/>
          <w:iCs/>
        </w:rPr>
        <w:t xml:space="preserve"> grade. </w:t>
      </w:r>
    </w:p>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3"/>
        <w:gridCol w:w="1578"/>
      </w:tblGrid>
      <w:tr w:rsidR="00040E91" w:rsidRPr="00150BB6" w14:paraId="6DFB6F18" w14:textId="77777777" w:rsidTr="00204FC0">
        <w:trPr>
          <w:trHeight w:val="695"/>
        </w:trPr>
        <w:tc>
          <w:tcPr>
            <w:tcW w:w="4172" w:type="pct"/>
          </w:tcPr>
          <w:p w14:paraId="6E299AED" w14:textId="7F9E4EE4" w:rsidR="00040E91" w:rsidRPr="00150BB6" w:rsidRDefault="00040E91" w:rsidP="004B52F3">
            <w:pPr>
              <w:spacing w:line="480" w:lineRule="auto"/>
              <w:rPr>
                <w:rFonts w:ascii="Times New Roman" w:hAnsi="Times New Roman" w:cs="Times New Roman"/>
                <w:bCs/>
              </w:rPr>
            </w:pPr>
            <w:r w:rsidRPr="00150BB6">
              <w:rPr>
                <w:rFonts w:ascii="Times New Roman" w:hAnsi="Times New Roman" w:cs="Times New Roman"/>
                <w:bCs/>
              </w:rPr>
              <w:lastRenderedPageBreak/>
              <w:t>Level 2</w:t>
            </w:r>
            <w:r w:rsidRPr="00150BB6">
              <w:rPr>
                <w:rFonts w:ascii="Times New Roman" w:hAnsi="Times New Roman" w:cs="Times New Roman"/>
              </w:rPr>
              <w:t xml:space="preserve"> (student (</w:t>
            </w:r>
            <w:proofErr w:type="spellStart"/>
            <w:r w:rsidRPr="00150BB6">
              <w:rPr>
                <w:rFonts w:ascii="Times New Roman" w:hAnsi="Times New Roman" w:cs="Times New Roman"/>
                <w:i/>
                <w:iCs/>
              </w:rPr>
              <w:t>i</w:t>
            </w:r>
            <w:proofErr w:type="spellEnd"/>
            <w:r w:rsidRPr="00150BB6">
              <w:rPr>
                <w:rFonts w:ascii="Times New Roman" w:hAnsi="Times New Roman" w:cs="Times New Roman"/>
              </w:rPr>
              <w:t>) within school (</w:t>
            </w:r>
            <w:r w:rsidRPr="00150BB6">
              <w:rPr>
                <w:rFonts w:ascii="Times New Roman" w:hAnsi="Times New Roman" w:cs="Times New Roman"/>
                <w:i/>
                <w:iCs/>
              </w:rPr>
              <w:t>j</w:t>
            </w:r>
            <w:r w:rsidRPr="00150BB6">
              <w:rPr>
                <w:rFonts w:ascii="Times New Roman" w:hAnsi="Times New Roman" w:cs="Times New Roman"/>
              </w:rPr>
              <w:t>))</w:t>
            </w:r>
            <w:r w:rsidRPr="00150BB6">
              <w:rPr>
                <w:rFonts w:ascii="Times New Roman" w:hAnsi="Times New Roman" w:cs="Times New Roman"/>
                <w:bCs/>
              </w:rPr>
              <w:t>:</w:t>
            </w:r>
          </w:p>
          <w:p w14:paraId="7757ECB1" w14:textId="1DD880A4" w:rsidR="00CC5126" w:rsidRPr="00CC5126" w:rsidRDefault="00000000" w:rsidP="004B52F3">
            <w:pPr>
              <w:pStyle w:val="NoSpacing"/>
              <w:spacing w:line="480" w:lineRule="auto"/>
              <w:jc w:val="center"/>
              <w:rPr>
                <w:rFonts w:ascii="Times New Roman" w:hAnsi="Times New Roman" w:cs="Times New Roman"/>
                <w:i/>
                <w:sz w:val="24"/>
              </w:rPr>
            </w:pPr>
            <m:oMathPara>
              <m:oMath>
                <m:sSub>
                  <m:sSubPr>
                    <m:ctrlPr>
                      <w:rPr>
                        <w:rFonts w:ascii="Cambria Math" w:hAnsi="Cambria Math" w:cs="Times New Roman"/>
                        <w:i/>
                        <w:sz w:val="24"/>
                      </w:rPr>
                    </m:ctrlPr>
                  </m:sSubPr>
                  <m:e>
                    <m:r>
                      <w:rPr>
                        <w:rFonts w:ascii="Cambria Math" w:hAnsi="Cambria Math" w:cs="Times New Roman"/>
                        <w:sz w:val="24"/>
                      </w:rPr>
                      <m:t>π</m:t>
                    </m:r>
                  </m:e>
                  <m:sub>
                    <m:r>
                      <w:rPr>
                        <w:rFonts w:ascii="Cambria Math" w:hAnsi="Cambria Math" w:cs="Times New Roman"/>
                        <w:sz w:val="24"/>
                      </w:rPr>
                      <m:t>0ij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00j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01j</m:t>
                    </m:r>
                  </m:sub>
                </m:sSub>
                <m:sSub>
                  <m:sSubPr>
                    <m:ctrlPr>
                      <w:rPr>
                        <w:rFonts w:ascii="Cambria Math" w:hAnsi="Cambria Math" w:cs="Times New Roman"/>
                        <w:i/>
                        <w:sz w:val="24"/>
                      </w:rPr>
                    </m:ctrlPr>
                  </m:sSubPr>
                  <m:e>
                    <m:r>
                      <w:rPr>
                        <w:rFonts w:ascii="Cambria Math" w:hAnsi="Cambria Math" w:cs="Times New Roman"/>
                        <w:sz w:val="24"/>
                      </w:rPr>
                      <m:t>DL</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02j</m:t>
                    </m:r>
                  </m:sub>
                </m:sSub>
                <m:sSub>
                  <m:sSubPr>
                    <m:ctrlPr>
                      <w:rPr>
                        <w:rFonts w:ascii="Cambria Math" w:hAnsi="Cambria Math" w:cs="Times New Roman"/>
                        <w:i/>
                        <w:sz w:val="24"/>
                      </w:rPr>
                    </m:ctrlPr>
                  </m:sSubPr>
                  <m:e>
                    <m:r>
                      <w:rPr>
                        <w:rFonts w:ascii="Cambria Math" w:hAnsi="Cambria Math" w:cs="Times New Roman"/>
                        <w:sz w:val="24"/>
                      </w:rPr>
                      <m:t>EL</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03j</m:t>
                    </m:r>
                  </m:sub>
                </m:sSub>
                <m:sSub>
                  <m:sSubPr>
                    <m:ctrlPr>
                      <w:rPr>
                        <w:rFonts w:ascii="Cambria Math" w:hAnsi="Cambria Math" w:cs="Times New Roman"/>
                        <w:i/>
                        <w:sz w:val="24"/>
                      </w:rPr>
                    </m:ctrlPr>
                  </m:sSubPr>
                  <m:e>
                    <m:r>
                      <w:rPr>
                        <w:rFonts w:ascii="Cambria Math" w:hAnsi="Cambria Math" w:cs="Times New Roman"/>
                        <w:sz w:val="24"/>
                      </w:rPr>
                      <m:t>FRPL</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04j</m:t>
                    </m:r>
                  </m:sub>
                </m:sSub>
                <m:sSub>
                  <m:sSubPr>
                    <m:ctrlPr>
                      <w:rPr>
                        <w:rFonts w:ascii="Cambria Math" w:hAnsi="Cambria Math" w:cs="Times New Roman"/>
                        <w:i/>
                        <w:sz w:val="24"/>
                      </w:rPr>
                    </m:ctrlPr>
                  </m:sSubPr>
                  <m:e>
                    <m:r>
                      <w:rPr>
                        <w:rFonts w:ascii="Cambria Math" w:hAnsi="Cambria Math" w:cs="Times New Roman"/>
                        <w:sz w:val="24"/>
                      </w:rPr>
                      <m:t>SPED</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05j</m:t>
                    </m:r>
                  </m:sub>
                </m:sSub>
                <m:sSub>
                  <m:sSubPr>
                    <m:ctrlPr>
                      <w:rPr>
                        <w:rFonts w:ascii="Cambria Math" w:hAnsi="Cambria Math" w:cs="Times New Roman"/>
                        <w:i/>
                        <w:sz w:val="24"/>
                      </w:rPr>
                    </m:ctrlPr>
                  </m:sSubPr>
                  <m:e>
                    <m:r>
                      <w:rPr>
                        <w:rFonts w:ascii="Cambria Math" w:hAnsi="Cambria Math" w:cs="Times New Roman"/>
                        <w:sz w:val="24"/>
                      </w:rPr>
                      <m:t>female</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06j</m:t>
                    </m:r>
                  </m:sub>
                </m:sSub>
                <m:sSub>
                  <m:sSubPr>
                    <m:ctrlPr>
                      <w:rPr>
                        <w:rFonts w:ascii="Cambria Math" w:hAnsi="Cambria Math" w:cs="Times New Roman"/>
                        <w:i/>
                        <w:sz w:val="24"/>
                      </w:rPr>
                    </m:ctrlPr>
                  </m:sSubPr>
                  <m:e>
                    <m:r>
                      <w:rPr>
                        <w:rFonts w:ascii="Cambria Math" w:hAnsi="Cambria Math" w:cs="Times New Roman"/>
                        <w:sz w:val="24"/>
                      </w:rPr>
                      <m:t>refuse</m:t>
                    </m:r>
                  </m:e>
                  <m:sub>
                    <m:r>
                      <w:rPr>
                        <w:rFonts w:ascii="Cambria Math" w:hAnsi="Cambria Math" w:cs="Times New Roman"/>
                        <w:sz w:val="24"/>
                      </w:rPr>
                      <m:t>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0ij</m:t>
                    </m:r>
                  </m:sub>
                </m:sSub>
              </m:oMath>
            </m:oMathPara>
          </w:p>
          <w:p w14:paraId="123102E9" w14:textId="45AE951C" w:rsidR="00CC5126" w:rsidRPr="00CC5126" w:rsidRDefault="00000000" w:rsidP="004B52F3">
            <w:pPr>
              <w:pStyle w:val="NoSpacing"/>
              <w:spacing w:line="480" w:lineRule="auto"/>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π</m:t>
                    </m:r>
                  </m:e>
                  <m:sub>
                    <m:r>
                      <w:rPr>
                        <w:rFonts w:ascii="Cambria Math" w:hAnsi="Cambria Math" w:cs="Times New Roman"/>
                        <w:sz w:val="24"/>
                      </w:rPr>
                      <m:t>1ij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10j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11j</m:t>
                    </m:r>
                  </m:sub>
                </m:sSub>
                <m:sSub>
                  <m:sSubPr>
                    <m:ctrlPr>
                      <w:rPr>
                        <w:rFonts w:ascii="Cambria Math" w:hAnsi="Cambria Math" w:cs="Times New Roman"/>
                        <w:i/>
                        <w:sz w:val="24"/>
                      </w:rPr>
                    </m:ctrlPr>
                  </m:sSubPr>
                  <m:e>
                    <m:r>
                      <w:rPr>
                        <w:rFonts w:ascii="Cambria Math" w:hAnsi="Cambria Math" w:cs="Times New Roman"/>
                        <w:sz w:val="24"/>
                      </w:rPr>
                      <m:t>DL</m:t>
                    </m:r>
                  </m:e>
                  <m:sub>
                    <m:r>
                      <w:rPr>
                        <w:rFonts w:ascii="Cambria Math" w:hAnsi="Cambria Math" w:cs="Times New Roman"/>
                        <w:sz w:val="24"/>
                      </w:rPr>
                      <m:t>ij</m:t>
                    </m:r>
                  </m:sub>
                </m:sSub>
              </m:oMath>
            </m:oMathPara>
          </w:p>
          <w:p w14:paraId="4ABD78F1" w14:textId="77777777" w:rsidR="00040E91" w:rsidRPr="00150BB6" w:rsidRDefault="00040E91" w:rsidP="004B52F3">
            <w:pPr>
              <w:pStyle w:val="NoSpacing"/>
              <w:spacing w:line="480" w:lineRule="auto"/>
              <w:jc w:val="center"/>
              <w:rPr>
                <w:rFonts w:ascii="Times New Roman" w:hAnsi="Times New Roman" w:cs="Times New Roman"/>
                <w:i/>
                <w:sz w:val="24"/>
              </w:rPr>
            </w:pPr>
            <m:oMathPara>
              <m:oMath>
                <m:r>
                  <w:rPr>
                    <w:rFonts w:ascii="Cambria Math" w:hAnsi="Cambria Math" w:cs="Times New Roman"/>
                    <w:sz w:val="24"/>
                  </w:rPr>
                  <m:t>⋮</m:t>
                </m:r>
              </m:oMath>
            </m:oMathPara>
          </w:p>
          <w:p w14:paraId="5BEFFE36" w14:textId="56C0A8AB" w:rsidR="00040E91" w:rsidRPr="00647297" w:rsidRDefault="00000000" w:rsidP="004B52F3">
            <w:pPr>
              <w:pStyle w:val="NoSpacing"/>
              <w:spacing w:line="480" w:lineRule="auto"/>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π</m:t>
                    </m:r>
                  </m:e>
                  <m:sub>
                    <m:r>
                      <w:rPr>
                        <w:rFonts w:ascii="Cambria Math" w:hAnsi="Cambria Math" w:cs="Times New Roman"/>
                        <w:sz w:val="24"/>
                      </w:rPr>
                      <m:t>13ij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130j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131j</m:t>
                    </m:r>
                  </m:sub>
                </m:sSub>
                <m:sSub>
                  <m:sSubPr>
                    <m:ctrlPr>
                      <w:rPr>
                        <w:rFonts w:ascii="Cambria Math" w:hAnsi="Cambria Math" w:cs="Times New Roman"/>
                        <w:i/>
                        <w:sz w:val="24"/>
                      </w:rPr>
                    </m:ctrlPr>
                  </m:sSubPr>
                  <m:e>
                    <m:r>
                      <w:rPr>
                        <w:rFonts w:ascii="Cambria Math" w:hAnsi="Cambria Math" w:cs="Times New Roman"/>
                        <w:sz w:val="24"/>
                      </w:rPr>
                      <m:t>DL</m:t>
                    </m:r>
                  </m:e>
                  <m:sub>
                    <m:r>
                      <w:rPr>
                        <w:rFonts w:ascii="Cambria Math" w:hAnsi="Cambria Math" w:cs="Times New Roman"/>
                        <w:sz w:val="24"/>
                      </w:rPr>
                      <m:t>ij</m:t>
                    </m:r>
                  </m:sub>
                </m:sSub>
              </m:oMath>
            </m:oMathPara>
          </w:p>
        </w:tc>
        <w:tc>
          <w:tcPr>
            <w:tcW w:w="828" w:type="pct"/>
          </w:tcPr>
          <w:p w14:paraId="20F83AFB" w14:textId="77777777" w:rsidR="00040E91" w:rsidRPr="00150BB6" w:rsidRDefault="00040E91" w:rsidP="004B52F3">
            <w:pPr>
              <w:pStyle w:val="ListParagraph"/>
              <w:numPr>
                <w:ilvl w:val="0"/>
                <w:numId w:val="2"/>
              </w:numPr>
              <w:tabs>
                <w:tab w:val="left" w:pos="1031"/>
              </w:tabs>
              <w:spacing w:line="480" w:lineRule="auto"/>
              <w:contextualSpacing w:val="0"/>
              <w:jc w:val="right"/>
            </w:pPr>
          </w:p>
        </w:tc>
      </w:tr>
    </w:tbl>
    <w:p w14:paraId="4780F8D5" w14:textId="57736F4E" w:rsidR="00E3531C" w:rsidRPr="00647297" w:rsidRDefault="000D2933" w:rsidP="004B52F3">
      <w:pPr>
        <w:spacing w:line="480" w:lineRule="auto"/>
        <w:ind w:firstLine="720"/>
        <w:rPr>
          <w:rFonts w:eastAsiaTheme="minorEastAsia"/>
          <w:iCs/>
        </w:rPr>
      </w:pPr>
      <w:r>
        <w:rPr>
          <w:rFonts w:eastAsiaTheme="minorEastAsia"/>
          <w:iCs/>
        </w:rPr>
        <w:t>At level 3,</w:t>
      </w:r>
      <w:r w:rsidR="00040E91">
        <w:rPr>
          <w:rFonts w:eastAsiaTheme="minorEastAsia"/>
          <w:iCs/>
        </w:rPr>
        <w:t xml:space="preserve"> a random intercept allows starting achievement in</w:t>
      </w:r>
      <w:r w:rsidR="007D5E7F">
        <w:rPr>
          <w:rFonts w:eastAsiaTheme="minorEastAsia"/>
          <w:iCs/>
        </w:rPr>
        <w:t xml:space="preserve"> the</w:t>
      </w:r>
      <w:r w:rsidR="00040E91">
        <w:rPr>
          <w:rFonts w:eastAsiaTheme="minorEastAsia"/>
          <w:iCs/>
        </w:rPr>
        <w:t xml:space="preserve"> fall of 2</w:t>
      </w:r>
      <w:r w:rsidR="00040E91" w:rsidRPr="00040E91">
        <w:rPr>
          <w:rFonts w:eastAsiaTheme="minorEastAsia"/>
          <w:iCs/>
          <w:vertAlign w:val="superscript"/>
        </w:rPr>
        <w:t>nd</w:t>
      </w:r>
      <w:r w:rsidR="00040E91">
        <w:rPr>
          <w:rFonts w:eastAsiaTheme="minorEastAsia"/>
          <w:iCs/>
        </w:rPr>
        <w:t xml:space="preserve"> grade to vary by school</w:t>
      </w:r>
      <w:r w:rsidR="00C9440B">
        <w:rPr>
          <w:rFonts w:eastAsiaTheme="minorEastAsia"/>
          <w:iCs/>
        </w:rPr>
        <w:t>; slopes are treated as fixed</w:t>
      </w:r>
      <w:r w:rsidR="00040E91">
        <w:rPr>
          <w:rFonts w:eastAsiaTheme="minorEastAsia"/>
          <w:iCs/>
        </w:rPr>
        <w:t xml:space="preserve">. I </w:t>
      </w:r>
      <w:r w:rsidR="00473D3F">
        <w:rPr>
          <w:rFonts w:eastAsiaTheme="minorEastAsia"/>
          <w:iCs/>
        </w:rPr>
        <w:t xml:space="preserve">run the model without and with </w:t>
      </w:r>
      <w:r w:rsidRPr="00C42CE6">
        <w:rPr>
          <w:rFonts w:eastAsiaTheme="minorEastAsia"/>
          <w:i/>
        </w:rPr>
        <w:t>%EL</w:t>
      </w:r>
      <w:r>
        <w:rPr>
          <w:rFonts w:eastAsiaTheme="minorEastAsia"/>
          <w:iCs/>
        </w:rPr>
        <w:t xml:space="preserve">, and </w:t>
      </w:r>
      <w:r w:rsidRPr="00C42CE6">
        <w:rPr>
          <w:rFonts w:eastAsiaTheme="minorEastAsia"/>
          <w:i/>
        </w:rPr>
        <w:t>%FRPL</w:t>
      </w:r>
      <w:r w:rsidR="00040E91">
        <w:rPr>
          <w:rFonts w:eastAsiaTheme="minorEastAsia"/>
          <w:iCs/>
        </w:rPr>
        <w:t xml:space="preserve">, which are </w:t>
      </w:r>
      <w:r w:rsidR="005C1B34">
        <w:rPr>
          <w:rFonts w:eastAsiaTheme="minorEastAsia"/>
          <w:iCs/>
        </w:rPr>
        <w:t xml:space="preserve">grand-mean centered </w:t>
      </w:r>
      <w:r>
        <w:rPr>
          <w:rFonts w:eastAsiaTheme="minorEastAsia"/>
          <w:iCs/>
        </w:rPr>
        <w:t>school-level covariates</w:t>
      </w:r>
      <w:r w:rsidR="00150BB6">
        <w:rPr>
          <w:rFonts w:eastAsiaTheme="minorEastAsia"/>
          <w:iCs/>
        </w:rPr>
        <w:t xml:space="preserve"> for the first school in which the student enrolled </w:t>
      </w:r>
      <w:r w:rsidR="00CC5126">
        <w:rPr>
          <w:rFonts w:eastAsiaTheme="minorEastAsia"/>
          <w:iCs/>
        </w:rPr>
        <w:t>(Model 3)</w:t>
      </w:r>
      <w:r>
        <w:rPr>
          <w:rFonts w:eastAsiaTheme="minorEastAsia"/>
          <w:iCs/>
        </w:rPr>
        <w:t xml:space="preserve">. </w:t>
      </w:r>
      <w:r w:rsidR="00040E91">
        <w:rPr>
          <w:rFonts w:eastAsiaTheme="minorEastAsia"/>
          <w:iCs/>
        </w:rPr>
        <w:t>Equation (3) below shows the preferred specification that includes these covariates.</w:t>
      </w:r>
    </w:p>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3"/>
        <w:gridCol w:w="1578"/>
      </w:tblGrid>
      <w:tr w:rsidR="00150BB6" w:rsidRPr="00150BB6" w14:paraId="7D05D4CE" w14:textId="77777777" w:rsidTr="006A04A6">
        <w:trPr>
          <w:trHeight w:val="695"/>
        </w:trPr>
        <w:tc>
          <w:tcPr>
            <w:tcW w:w="4172" w:type="pct"/>
          </w:tcPr>
          <w:p w14:paraId="3B1B47D6" w14:textId="1317D624" w:rsidR="00150BB6" w:rsidRPr="00647297" w:rsidRDefault="00150BB6" w:rsidP="004B52F3">
            <w:pPr>
              <w:pStyle w:val="NoSpacing"/>
              <w:spacing w:line="480" w:lineRule="auto"/>
              <w:rPr>
                <w:rFonts w:ascii="Times New Roman" w:hAnsi="Times New Roman" w:cs="Times New Roman"/>
                <w:iCs/>
                <w:sz w:val="24"/>
              </w:rPr>
            </w:pPr>
            <w:r w:rsidRPr="00150BB6">
              <w:rPr>
                <w:rFonts w:ascii="Times New Roman" w:hAnsi="Times New Roman" w:cs="Times New Roman"/>
                <w:iCs/>
                <w:sz w:val="24"/>
              </w:rPr>
              <w:t>Level 3 (school (</w:t>
            </w:r>
            <w:r w:rsidRPr="00150BB6">
              <w:rPr>
                <w:rFonts w:ascii="Times New Roman" w:hAnsi="Times New Roman" w:cs="Times New Roman"/>
                <w:i/>
                <w:sz w:val="24"/>
              </w:rPr>
              <w:t>j</w:t>
            </w:r>
            <w:r w:rsidRPr="00150BB6">
              <w:rPr>
                <w:rFonts w:ascii="Times New Roman" w:hAnsi="Times New Roman" w:cs="Times New Roman"/>
                <w:iCs/>
                <w:sz w:val="24"/>
              </w:rPr>
              <w:t xml:space="preserve">)): </w:t>
            </w:r>
            <w:r w:rsidRPr="00150BB6">
              <w:rPr>
                <w:rFonts w:ascii="Times New Roman" w:hAnsi="Times New Roman" w:cs="Times New Roman"/>
                <w:iCs/>
                <w:sz w:val="24"/>
              </w:rPr>
              <w:tab/>
            </w:r>
            <w:r w:rsidRPr="00150BB6">
              <w:rPr>
                <w:rFonts w:ascii="Times New Roman" w:hAnsi="Times New Roman" w:cs="Times New Roman"/>
                <w:iCs/>
                <w:sz w:val="24"/>
              </w:rPr>
              <w:tab/>
              <w:t xml:space="preserve"> </w:t>
            </w:r>
            <w:r w:rsidRPr="00150BB6">
              <w:rPr>
                <w:rFonts w:ascii="Times New Roman" w:hAnsi="Times New Roman" w:cs="Times New Roman"/>
                <w:iCs/>
                <w:sz w:val="24"/>
              </w:rPr>
              <w:tab/>
            </w:r>
            <w:r w:rsidRPr="00150BB6">
              <w:rPr>
                <w:rFonts w:ascii="Times New Roman" w:hAnsi="Times New Roman" w:cs="Times New Roman"/>
                <w:iCs/>
                <w:sz w:val="24"/>
              </w:rPr>
              <w:tab/>
              <w:t xml:space="preserve">   </w:t>
            </w:r>
          </w:p>
          <w:p w14:paraId="3B95400D" w14:textId="147EEB63" w:rsidR="00A17341" w:rsidRDefault="00000000" w:rsidP="004B52F3">
            <w:pPr>
              <w:pStyle w:val="NoSpacing"/>
              <w:spacing w:line="480" w:lineRule="auto"/>
              <w:ind w:hanging="90"/>
              <w:jc w:val="center"/>
              <w:rPr>
                <w:rFonts w:ascii="Times New Roman" w:hAnsi="Times New Roman" w:cs="Times New Roman"/>
                <w:i/>
                <w:sz w:val="24"/>
              </w:rPr>
            </w:pPr>
            <m:oMathPara>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00j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000</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001</m:t>
                    </m:r>
                  </m:sub>
                </m:sSub>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%EL</m:t>
                        </m:r>
                      </m:e>
                      <m:sub>
                        <m:r>
                          <w:rPr>
                            <w:rFonts w:ascii="Cambria Math" w:hAnsi="Cambria Math" w:cs="Times New Roman"/>
                            <w:sz w:val="24"/>
                          </w:rPr>
                          <m:t>j</m:t>
                        </m:r>
                      </m:sub>
                    </m:sSub>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002</m:t>
                    </m:r>
                  </m:sub>
                </m:sSub>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%FRPL</m:t>
                        </m:r>
                      </m:e>
                      <m:sub>
                        <m:r>
                          <w:rPr>
                            <w:rFonts w:ascii="Cambria Math" w:hAnsi="Cambria Math" w:cs="Times New Roman"/>
                            <w:sz w:val="24"/>
                          </w:rPr>
                          <m:t>j</m:t>
                        </m:r>
                      </m:sub>
                    </m:sSub>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00j</m:t>
                    </m:r>
                  </m:sub>
                </m:sSub>
              </m:oMath>
            </m:oMathPara>
          </w:p>
          <w:p w14:paraId="5B36B69A" w14:textId="075F236C" w:rsidR="00A17341" w:rsidRPr="004C4973" w:rsidRDefault="00000000" w:rsidP="004B52F3">
            <w:pPr>
              <w:pStyle w:val="NoSpacing"/>
              <w:spacing w:line="480" w:lineRule="auto"/>
              <w:ind w:hanging="90"/>
              <w:jc w:val="center"/>
              <w:rPr>
                <w:rFonts w:ascii="Times New Roman" w:hAnsi="Times New Roman" w:cs="Times New Roman"/>
                <w:i/>
                <w:sz w:val="24"/>
              </w:rPr>
            </w:pPr>
            <m:oMathPara>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10j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100</m:t>
                    </m:r>
                  </m:sub>
                </m:sSub>
              </m:oMath>
            </m:oMathPara>
          </w:p>
          <w:p w14:paraId="296BAC78" w14:textId="77777777" w:rsidR="00150BB6" w:rsidRPr="00150BB6" w:rsidRDefault="00150BB6" w:rsidP="004B52F3">
            <w:pPr>
              <w:pStyle w:val="NoSpacing"/>
              <w:spacing w:line="480" w:lineRule="auto"/>
              <w:jc w:val="center"/>
              <w:rPr>
                <w:rFonts w:ascii="Times New Roman" w:hAnsi="Times New Roman" w:cs="Times New Roman"/>
                <w:i/>
                <w:sz w:val="24"/>
              </w:rPr>
            </w:pPr>
            <m:oMathPara>
              <m:oMath>
                <m:r>
                  <w:rPr>
                    <w:rFonts w:ascii="Cambria Math" w:hAnsi="Cambria Math" w:cs="Times New Roman"/>
                    <w:sz w:val="24"/>
                  </w:rPr>
                  <m:t>⋮</m:t>
                </m:r>
              </m:oMath>
            </m:oMathPara>
          </w:p>
          <w:p w14:paraId="6C6FE99D" w14:textId="6418F34E" w:rsidR="00150BB6" w:rsidRPr="00647297" w:rsidRDefault="00000000" w:rsidP="004B52F3">
            <w:pPr>
              <w:pStyle w:val="NoSpacing"/>
              <w:spacing w:line="480" w:lineRule="auto"/>
              <w:ind w:hanging="90"/>
              <w:jc w:val="center"/>
              <w:rPr>
                <w:rFonts w:ascii="Times New Roman" w:hAnsi="Times New Roman" w:cs="Times New Roman"/>
                <w:i/>
                <w:sz w:val="24"/>
              </w:rPr>
            </w:pPr>
            <m:oMathPara>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130j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1300</m:t>
                    </m:r>
                  </m:sub>
                </m:sSub>
              </m:oMath>
            </m:oMathPara>
          </w:p>
        </w:tc>
        <w:tc>
          <w:tcPr>
            <w:tcW w:w="828" w:type="pct"/>
          </w:tcPr>
          <w:p w14:paraId="1C622A84" w14:textId="77777777" w:rsidR="00150BB6" w:rsidRPr="00150BB6" w:rsidRDefault="00150BB6" w:rsidP="004B52F3">
            <w:pPr>
              <w:pStyle w:val="ListParagraph"/>
              <w:numPr>
                <w:ilvl w:val="0"/>
                <w:numId w:val="2"/>
              </w:numPr>
              <w:tabs>
                <w:tab w:val="left" w:pos="1031"/>
              </w:tabs>
              <w:spacing w:line="480" w:lineRule="auto"/>
              <w:contextualSpacing w:val="0"/>
              <w:jc w:val="right"/>
            </w:pPr>
          </w:p>
        </w:tc>
      </w:tr>
    </w:tbl>
    <w:p w14:paraId="799DB751" w14:textId="1392E4A9" w:rsidR="009F31D9" w:rsidRDefault="009F31D9" w:rsidP="004B52F3">
      <w:pPr>
        <w:spacing w:line="480" w:lineRule="auto"/>
      </w:pPr>
    </w:p>
    <w:p w14:paraId="780DDA64" w14:textId="2C3AD5F9" w:rsidR="002C2975" w:rsidRPr="00E536AE" w:rsidRDefault="002C2975" w:rsidP="004B52F3">
      <w:pPr>
        <w:pStyle w:val="NoSpacing"/>
        <w:spacing w:line="480" w:lineRule="auto"/>
        <w:jc w:val="center"/>
        <w:rPr>
          <w:rFonts w:ascii="Times New Roman" w:hAnsi="Times New Roman" w:cs="Times New Roman"/>
          <w:i/>
          <w:sz w:val="24"/>
          <w:szCs w:val="24"/>
        </w:rPr>
      </w:pPr>
      <w:r w:rsidRPr="000F77DA">
        <w:rPr>
          <w:rFonts w:ascii="Times New Roman" w:hAnsi="Times New Roman" w:cs="Times New Roman"/>
          <w:i/>
          <w:sz w:val="24"/>
          <w:szCs w:val="24"/>
        </w:rPr>
        <w:t>Variance component specification:</w:t>
      </w:r>
    </w:p>
    <w:p w14:paraId="3D5AF69A" w14:textId="682F74BE" w:rsidR="002C2975" w:rsidRPr="00647297" w:rsidRDefault="00000000" w:rsidP="004B52F3">
      <w:pPr>
        <w:pStyle w:val="NoSpacing"/>
        <w:spacing w:line="480" w:lineRule="auto"/>
        <w:jc w:val="center"/>
        <w:rPr>
          <w:rFonts w:ascii="Times New Roman" w:hAnsi="Times New Roman" w:cs="Times New Roman"/>
          <w:sz w:val="24"/>
          <w:szCs w:val="24"/>
          <w:u w:val="single"/>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tij</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 N</m:t>
        </m:r>
        <m:d>
          <m:dPr>
            <m:ctrlPr>
              <w:rPr>
                <w:rFonts w:ascii="Cambria Math" w:hAnsi="Cambria Math" w:cs="Times New Roman"/>
                <w:i/>
                <w:sz w:val="24"/>
                <w:szCs w:val="24"/>
              </w:rPr>
            </m:ctrlPr>
          </m:dPr>
          <m:e>
            <m:r>
              <w:rPr>
                <w:rFonts w:ascii="Cambria Math" w:hAnsi="Cambria Math" w:cs="Times New Roman"/>
                <w:sz w:val="24"/>
                <w:szCs w:val="24"/>
              </w:rPr>
              <m:t xml:space="preserve">0, </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tij</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m:t>
        </m:r>
        <m:r>
          <m:rPr>
            <m:sty m:val="p"/>
          </m:rPr>
          <w:rPr>
            <w:rFonts w:ascii="Cambria Math" w:hAnsi="Cambria Math" w:cs="Times New Roman"/>
            <w:sz w:val="24"/>
            <w:szCs w:val="24"/>
          </w:rPr>
          <m:t>MVN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St</m:t>
                </m:r>
              </m:sub>
            </m:sSub>
          </m:e>
        </m:d>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j</m:t>
            </m:r>
          </m:sub>
        </m:sSub>
        <m:r>
          <w:rPr>
            <w:rFonts w:ascii="Cambria Math" w:hAnsi="Cambria Math" w:cs="Times New Roman"/>
            <w:sz w:val="24"/>
            <w:szCs w:val="24"/>
          </w:rPr>
          <m:t>~</m:t>
        </m:r>
        <m:r>
          <m:rPr>
            <m:sty m:val="p"/>
          </m:rPr>
          <w:rPr>
            <w:rFonts w:ascii="Cambria Math" w:hAnsi="Cambria Math" w:cs="Times New Roman"/>
            <w:sz w:val="24"/>
            <w:szCs w:val="24"/>
          </w:rPr>
          <m:t>MVN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Sch</m:t>
                </m:r>
              </m:sub>
            </m:sSub>
          </m:e>
        </m:d>
      </m:oMath>
      <w:r w:rsidR="002C2975" w:rsidRPr="002C2975">
        <w:rPr>
          <w:rFonts w:ascii="Times New Roman" w:hAnsi="Times New Roman" w:cs="Times New Roman"/>
          <w:sz w:val="24"/>
          <w:szCs w:val="24"/>
        </w:rPr>
        <w:t>.</w:t>
      </w:r>
    </w:p>
    <w:p w14:paraId="7E6C29BB" w14:textId="77777777" w:rsidR="00217D2B" w:rsidRDefault="00776A90" w:rsidP="004B52F3">
      <w:pPr>
        <w:spacing w:line="480" w:lineRule="auto"/>
      </w:pPr>
      <w:r>
        <w:tab/>
      </w:r>
      <w:bookmarkStart w:id="13" w:name="_Hlk85542569"/>
      <w:r w:rsidR="007E6DB0">
        <w:t xml:space="preserve">Models are estimated using </w:t>
      </w:r>
      <w:r w:rsidR="005C1B34">
        <w:t xml:space="preserve">full-information maximum likelihood in </w:t>
      </w:r>
      <w:r w:rsidR="007E6DB0">
        <w:t xml:space="preserve">HLM 8.0 software (Raudenbush et al., 2019). </w:t>
      </w:r>
      <w:r w:rsidR="005C1B34">
        <w:t>All available test scores are used</w:t>
      </w:r>
      <w:r w:rsidR="0014758B">
        <w:t xml:space="preserve"> in estimation, regardless of whether a student had test scores in every test term. </w:t>
      </w:r>
      <w:bookmarkEnd w:id="13"/>
      <w:r>
        <w:t>I apply th</w:t>
      </w:r>
      <w:r w:rsidR="007E6DB0">
        <w:t>e</w:t>
      </w:r>
      <w:r>
        <w:t xml:space="preserve"> 3-level model to the full sample of Hispanic students. </w:t>
      </w:r>
    </w:p>
    <w:p w14:paraId="0F34698D" w14:textId="6EBB310E" w:rsidR="00204FC0" w:rsidRDefault="00217D2B" w:rsidP="00217D2B">
      <w:pPr>
        <w:spacing w:line="480" w:lineRule="auto"/>
        <w:ind w:firstLine="720"/>
      </w:pPr>
      <w:r>
        <w:lastRenderedPageBreak/>
        <w:t xml:space="preserve">Since there is a large difference between the percentages of ever-EL students in the DL and non-DL groups in the sample, ever-EL status may explain a large part of the difference between DL and non-DL students’ outcomes. To </w:t>
      </w:r>
      <w:r w:rsidR="007B7495">
        <w:t xml:space="preserve">further </w:t>
      </w:r>
      <w:r>
        <w:t xml:space="preserve">address this potential confounding effect, </w:t>
      </w:r>
      <w:r w:rsidR="00776A90">
        <w:t>I</w:t>
      </w:r>
      <w:r>
        <w:t xml:space="preserve"> run another analysis after</w:t>
      </w:r>
      <w:r w:rsidR="00776A90">
        <w:t xml:space="preserve"> restrict</w:t>
      </w:r>
      <w:r>
        <w:t xml:space="preserve">ing </w:t>
      </w:r>
      <w:r w:rsidR="00776A90">
        <w:t xml:space="preserve">the sample to </w:t>
      </w:r>
      <w:r w:rsidR="00E278D7">
        <w:t>ever-</w:t>
      </w:r>
      <w:r w:rsidR="00776A90">
        <w:t>EL</w:t>
      </w:r>
      <w:r w:rsidR="00C778AD">
        <w:t xml:space="preserve"> </w:t>
      </w:r>
      <w:r w:rsidR="00E278D7">
        <w:t xml:space="preserve">students </w:t>
      </w:r>
      <w:r w:rsidR="00C778AD">
        <w:t>(N=</w:t>
      </w:r>
      <w:r w:rsidR="00473D3F">
        <w:t>11,066</w:t>
      </w:r>
      <w:r w:rsidR="00C778AD">
        <w:t>)</w:t>
      </w:r>
      <w:r w:rsidR="00776A90">
        <w:t xml:space="preserve"> </w:t>
      </w:r>
      <w:r>
        <w:t xml:space="preserve">and </w:t>
      </w:r>
      <w:r w:rsidR="00776A90">
        <w:t>compare the growth rates o</w:t>
      </w:r>
      <w:r w:rsidR="00E278D7">
        <w:t>f DL and non-DL students</w:t>
      </w:r>
      <w:r w:rsidR="00776A90">
        <w:t xml:space="preserve">. In this EL-only analysis, I drop the student-level predictor </w:t>
      </w:r>
      <w:r w:rsidR="00A17341" w:rsidRPr="00C42CE6">
        <w:rPr>
          <w:rFonts w:eastAsiaTheme="minorEastAsia"/>
          <w:i/>
        </w:rPr>
        <w:t>EL</w:t>
      </w:r>
      <w:r w:rsidR="00776A90">
        <w:t xml:space="preserve"> from the model. </w:t>
      </w:r>
    </w:p>
    <w:p w14:paraId="37E0FDD7" w14:textId="1105E611" w:rsidR="00473D3F" w:rsidRPr="00473D3F" w:rsidRDefault="00473D3F" w:rsidP="004B52F3">
      <w:pPr>
        <w:spacing w:line="480" w:lineRule="auto"/>
        <w:rPr>
          <w:b/>
          <w:bCs/>
        </w:rPr>
      </w:pPr>
      <w:r w:rsidRPr="00473D3F">
        <w:rPr>
          <w:b/>
          <w:bCs/>
        </w:rPr>
        <w:t>Sensitivity Checks</w:t>
      </w:r>
    </w:p>
    <w:p w14:paraId="7F80091B" w14:textId="4C531FE8" w:rsidR="007D3959" w:rsidRPr="00F20120" w:rsidRDefault="00927369" w:rsidP="00F20120">
      <w:pPr>
        <w:spacing w:line="480" w:lineRule="auto"/>
        <w:ind w:firstLine="720"/>
      </w:pPr>
      <w:proofErr w:type="gramStart"/>
      <w:r>
        <w:rPr>
          <w:rFonts w:eastAsiaTheme="minorEastAsia"/>
          <w:iCs/>
        </w:rPr>
        <w:t>In order to</w:t>
      </w:r>
      <w:proofErr w:type="gramEnd"/>
      <w:r>
        <w:rPr>
          <w:rFonts w:eastAsiaTheme="minorEastAsia"/>
          <w:iCs/>
        </w:rPr>
        <w:t xml:space="preserve"> account for variation by cohort</w:t>
      </w:r>
      <w:r w:rsidR="00A4548E">
        <w:rPr>
          <w:rFonts w:eastAsiaTheme="minorEastAsia"/>
          <w:iCs/>
        </w:rPr>
        <w:t xml:space="preserve"> (the year students entered 2</w:t>
      </w:r>
      <w:r w:rsidR="00A4548E" w:rsidRPr="00A4548E">
        <w:rPr>
          <w:rFonts w:eastAsiaTheme="minorEastAsia"/>
          <w:iCs/>
          <w:vertAlign w:val="superscript"/>
        </w:rPr>
        <w:t>nd</w:t>
      </w:r>
      <w:r w:rsidR="00A4548E">
        <w:rPr>
          <w:rFonts w:eastAsiaTheme="minorEastAsia"/>
          <w:iCs/>
        </w:rPr>
        <w:t xml:space="preserve"> grade)</w:t>
      </w:r>
      <w:r>
        <w:rPr>
          <w:rFonts w:eastAsiaTheme="minorEastAsia"/>
          <w:iCs/>
        </w:rPr>
        <w:t xml:space="preserve">, I add cohort dummies to the level-2 equation and rerun the models. </w:t>
      </w:r>
      <w:r w:rsidR="00473D3F">
        <w:rPr>
          <w:rFonts w:eastAsiaTheme="minorEastAsia"/>
          <w:iCs/>
        </w:rPr>
        <w:t xml:space="preserve">For a subsample (about </w:t>
      </w:r>
      <w:r w:rsidR="00FD39D6">
        <w:rPr>
          <w:rFonts w:eastAsiaTheme="minorEastAsia"/>
          <w:iCs/>
        </w:rPr>
        <w:t>59</w:t>
      </w:r>
      <w:r w:rsidR="00473D3F">
        <w:rPr>
          <w:rFonts w:eastAsiaTheme="minorEastAsia"/>
          <w:iCs/>
        </w:rPr>
        <w:t xml:space="preserve">% of the students), I also observe </w:t>
      </w:r>
      <w:r w:rsidR="00473D3F" w:rsidRPr="002454F4">
        <w:rPr>
          <w:color w:val="000000" w:themeColor="text1"/>
        </w:rPr>
        <w:t>Fountas &amp; Pinnell Literacy Gradient (2020) scores measured prior to the fall of 2</w:t>
      </w:r>
      <w:r w:rsidR="00473D3F" w:rsidRPr="002454F4">
        <w:rPr>
          <w:color w:val="000000" w:themeColor="text1"/>
          <w:vertAlign w:val="superscript"/>
        </w:rPr>
        <w:t>nd</w:t>
      </w:r>
      <w:r w:rsidR="00473D3F" w:rsidRPr="002454F4">
        <w:rPr>
          <w:color w:val="000000" w:themeColor="text1"/>
        </w:rPr>
        <w:t xml:space="preserve"> grade. </w:t>
      </w:r>
      <w:r w:rsidR="00473D3F">
        <w:rPr>
          <w:color w:val="000000" w:themeColor="text1"/>
        </w:rPr>
        <w:t>I include this pre-treatment literacy measure as an additional covariate in a sensitivity check.</w:t>
      </w:r>
    </w:p>
    <w:p w14:paraId="74BA1669" w14:textId="3BB08F8E" w:rsidR="00F858C8" w:rsidRDefault="00F858C8" w:rsidP="004B52F3">
      <w:pPr>
        <w:spacing w:line="480" w:lineRule="auto"/>
        <w:jc w:val="center"/>
        <w:rPr>
          <w:b/>
          <w:bCs/>
        </w:rPr>
      </w:pPr>
      <w:r>
        <w:rPr>
          <w:b/>
          <w:bCs/>
        </w:rPr>
        <w:t>Findings</w:t>
      </w:r>
    </w:p>
    <w:p w14:paraId="7B20AA0F" w14:textId="77777777" w:rsidR="000F3AA1" w:rsidRPr="000F3AA1" w:rsidRDefault="00204FC0" w:rsidP="000F3AA1">
      <w:pPr>
        <w:spacing w:line="480" w:lineRule="auto"/>
        <w:rPr>
          <w:i/>
          <w:iCs/>
        </w:rPr>
      </w:pPr>
      <w:r w:rsidRPr="000F3AA1">
        <w:rPr>
          <w:i/>
          <w:iCs/>
        </w:rPr>
        <w:t>R</w:t>
      </w:r>
      <w:r w:rsidR="00A71791" w:rsidRPr="000F3AA1">
        <w:rPr>
          <w:i/>
          <w:iCs/>
        </w:rPr>
        <w:t xml:space="preserve">esearch </w:t>
      </w:r>
      <w:r w:rsidRPr="000F3AA1">
        <w:rPr>
          <w:i/>
          <w:iCs/>
        </w:rPr>
        <w:t>Q</w:t>
      </w:r>
      <w:r w:rsidR="00A71791" w:rsidRPr="000F3AA1">
        <w:rPr>
          <w:i/>
          <w:iCs/>
        </w:rPr>
        <w:t xml:space="preserve">uestion </w:t>
      </w:r>
      <w:r w:rsidRPr="000F3AA1">
        <w:rPr>
          <w:i/>
          <w:iCs/>
        </w:rPr>
        <w:t xml:space="preserve">1: </w:t>
      </w:r>
      <w:r w:rsidR="000F3AA1" w:rsidRPr="000F3AA1">
        <w:rPr>
          <w:i/>
          <w:iCs/>
        </w:rPr>
        <w:t xml:space="preserve">How do Hispanic dual language participants’ movements in achievement status across grades compare to </w:t>
      </w:r>
      <w:proofErr w:type="gramStart"/>
      <w:r w:rsidR="000F3AA1" w:rsidRPr="000F3AA1">
        <w:rPr>
          <w:i/>
          <w:iCs/>
        </w:rPr>
        <w:t>nonparticipants’</w:t>
      </w:r>
      <w:proofErr w:type="gramEnd"/>
      <w:r w:rsidR="000F3AA1" w:rsidRPr="000F3AA1">
        <w:rPr>
          <w:i/>
          <w:iCs/>
        </w:rPr>
        <w:t xml:space="preserve">? </w:t>
      </w:r>
    </w:p>
    <w:p w14:paraId="71C66DE9" w14:textId="16A0E201" w:rsidR="0021345A" w:rsidRDefault="00204FC0" w:rsidP="004B52F3">
      <w:pPr>
        <w:spacing w:line="480" w:lineRule="auto"/>
      </w:pPr>
      <w:r>
        <w:tab/>
        <w:t>Figure 1</w:t>
      </w:r>
      <w:r w:rsidR="00706103">
        <w:t xml:space="preserve"> </w:t>
      </w:r>
      <w:r>
        <w:t xml:space="preserve">shows </w:t>
      </w:r>
      <w:r w:rsidR="002C229F">
        <w:t xml:space="preserve">Hispanic students’ achievement </w:t>
      </w:r>
      <w:r w:rsidR="00833779">
        <w:t>z-score</w:t>
      </w:r>
      <w:r w:rsidR="002C229F">
        <w:t xml:space="preserve"> movement between 2</w:t>
      </w:r>
      <w:r w:rsidR="002C229F" w:rsidRPr="002C229F">
        <w:rPr>
          <w:vertAlign w:val="superscript"/>
        </w:rPr>
        <w:t>nd</w:t>
      </w:r>
      <w:r w:rsidR="002C229F">
        <w:t xml:space="preserve"> and 7</w:t>
      </w:r>
      <w:r w:rsidR="002C229F" w:rsidRPr="002C229F">
        <w:rPr>
          <w:vertAlign w:val="superscript"/>
        </w:rPr>
        <w:t>th</w:t>
      </w:r>
      <w:r w:rsidR="002C229F">
        <w:t xml:space="preserve"> grade</w:t>
      </w:r>
      <w:r w:rsidR="00284A28">
        <w:t xml:space="preserve"> for math and </w:t>
      </w:r>
      <w:r w:rsidR="00905D23">
        <w:t xml:space="preserve">English </w:t>
      </w:r>
      <w:r w:rsidR="00284A28">
        <w:t>reading</w:t>
      </w:r>
      <w:r w:rsidR="002C229F">
        <w:t xml:space="preserve">. </w:t>
      </w:r>
      <w:r w:rsidR="00284A28">
        <w:t>In math, DL students score</w:t>
      </w:r>
      <w:r w:rsidR="00F5470B">
        <w:t>d</w:t>
      </w:r>
      <w:r w:rsidR="00284A28">
        <w:t xml:space="preserve"> in the fall of 2</w:t>
      </w:r>
      <w:r w:rsidR="00284A28" w:rsidRPr="00284A28">
        <w:rPr>
          <w:vertAlign w:val="superscript"/>
        </w:rPr>
        <w:t>nd</w:t>
      </w:r>
      <w:r w:rsidR="00284A28">
        <w:t xml:space="preserve"> grade </w:t>
      </w:r>
      <w:r w:rsidR="00D924F9">
        <w:t>slightly more than</w:t>
      </w:r>
      <w:r w:rsidR="00284A28">
        <w:t xml:space="preserve"> </w:t>
      </w:r>
      <w:r w:rsidR="007D5E7F">
        <w:t>0</w:t>
      </w:r>
      <w:r w:rsidR="00284A28">
        <w:t>.</w:t>
      </w:r>
      <w:r w:rsidR="00706103">
        <w:t>3</w:t>
      </w:r>
      <w:r w:rsidR="00284A28">
        <w:t xml:space="preserve"> SD below </w:t>
      </w:r>
      <w:r w:rsidR="004E18C9">
        <w:t xml:space="preserve">the national average </w:t>
      </w:r>
      <w:r w:rsidR="00706103">
        <w:t xml:space="preserve">and non-DL students scored </w:t>
      </w:r>
      <w:r w:rsidR="00D924F9">
        <w:t>higher than</w:t>
      </w:r>
      <w:r w:rsidR="00706103">
        <w:t xml:space="preserve"> DL students</w:t>
      </w:r>
      <w:r w:rsidR="00D924F9">
        <w:t xml:space="preserve"> by about </w:t>
      </w:r>
      <w:r w:rsidR="007D5E7F">
        <w:t>0</w:t>
      </w:r>
      <w:r w:rsidR="00D924F9">
        <w:t>.1 SD</w:t>
      </w:r>
      <w:r w:rsidR="00706103">
        <w:t xml:space="preserve">. </w:t>
      </w:r>
      <w:r w:rsidR="00D924F9">
        <w:t xml:space="preserve">Spring math z-scores for DL students were </w:t>
      </w:r>
      <w:proofErr w:type="gramStart"/>
      <w:r w:rsidR="00D924F9">
        <w:t>fairly stable</w:t>
      </w:r>
      <w:proofErr w:type="gramEnd"/>
      <w:r w:rsidR="00D924F9">
        <w:t xml:space="preserve"> from 2</w:t>
      </w:r>
      <w:r w:rsidR="00D924F9" w:rsidRPr="00D924F9">
        <w:rPr>
          <w:vertAlign w:val="superscript"/>
        </w:rPr>
        <w:t>nd</w:t>
      </w:r>
      <w:r w:rsidR="00D924F9">
        <w:t xml:space="preserve"> to 6</w:t>
      </w:r>
      <w:r w:rsidR="00D924F9" w:rsidRPr="00D924F9">
        <w:rPr>
          <w:vertAlign w:val="superscript"/>
        </w:rPr>
        <w:t>th</w:t>
      </w:r>
      <w:r w:rsidR="00D924F9">
        <w:t xml:space="preserve"> grade but dipped considerably between 6</w:t>
      </w:r>
      <w:r w:rsidR="00D924F9" w:rsidRPr="00D924F9">
        <w:rPr>
          <w:vertAlign w:val="superscript"/>
        </w:rPr>
        <w:t>th</w:t>
      </w:r>
      <w:r w:rsidR="00D924F9">
        <w:t xml:space="preserve"> and 7</w:t>
      </w:r>
      <w:r w:rsidR="00D924F9" w:rsidRPr="00D924F9">
        <w:rPr>
          <w:vertAlign w:val="superscript"/>
        </w:rPr>
        <w:t>th</w:t>
      </w:r>
      <w:r w:rsidR="00D924F9">
        <w:t xml:space="preserve"> grade. </w:t>
      </w:r>
      <w:r w:rsidR="003868B0">
        <w:t>Non-DL students’ spring math z-scores fluctuated between 2</w:t>
      </w:r>
      <w:r w:rsidR="003868B0" w:rsidRPr="003868B0">
        <w:rPr>
          <w:vertAlign w:val="superscript"/>
        </w:rPr>
        <w:t>nd</w:t>
      </w:r>
      <w:r w:rsidR="003868B0">
        <w:t xml:space="preserve"> and 7</w:t>
      </w:r>
      <w:r w:rsidR="003868B0" w:rsidRPr="003868B0">
        <w:rPr>
          <w:vertAlign w:val="superscript"/>
        </w:rPr>
        <w:t>th</w:t>
      </w:r>
      <w:r w:rsidR="003868B0">
        <w:t xml:space="preserve"> grade. </w:t>
      </w:r>
      <w:r w:rsidR="00706103">
        <w:t>By the end of 7</w:t>
      </w:r>
      <w:r w:rsidR="00706103" w:rsidRPr="00706103">
        <w:rPr>
          <w:vertAlign w:val="superscript"/>
        </w:rPr>
        <w:t>th</w:t>
      </w:r>
      <w:r w:rsidR="00706103">
        <w:t xml:space="preserve"> grade, </w:t>
      </w:r>
      <w:r w:rsidR="003868B0">
        <w:t xml:space="preserve">DL students were about </w:t>
      </w:r>
      <w:r w:rsidR="007D5E7F">
        <w:t>0</w:t>
      </w:r>
      <w:r w:rsidR="003868B0">
        <w:t xml:space="preserve">.45 SD below the national average, non-DL students about </w:t>
      </w:r>
      <w:r w:rsidR="007D5E7F">
        <w:t>0</w:t>
      </w:r>
      <w:r w:rsidR="003868B0">
        <w:t>.2 SD below the national average, with a difference of about .25 SD between DL and non-DL students</w:t>
      </w:r>
      <w:r w:rsidR="00706103">
        <w:t>.</w:t>
      </w:r>
      <w:r w:rsidR="00823A60">
        <w:t xml:space="preserve"> </w:t>
      </w:r>
    </w:p>
    <w:p w14:paraId="31F1DB2D" w14:textId="173BBA6B" w:rsidR="00ED7564" w:rsidRDefault="00637A2C" w:rsidP="004B52F3">
      <w:pPr>
        <w:spacing w:line="480" w:lineRule="auto"/>
        <w:ind w:firstLine="720"/>
      </w:pPr>
      <w:r>
        <w:lastRenderedPageBreak/>
        <w:t xml:space="preserve">In </w:t>
      </w:r>
      <w:r w:rsidR="00905D23">
        <w:t xml:space="preserve">English </w:t>
      </w:r>
      <w:r>
        <w:t xml:space="preserve">reading, </w:t>
      </w:r>
      <w:r w:rsidR="00823A60">
        <w:t xml:space="preserve">the DL students </w:t>
      </w:r>
      <w:r w:rsidR="003868B0">
        <w:t xml:space="preserve">scored </w:t>
      </w:r>
      <w:r w:rsidR="00823A60">
        <w:t xml:space="preserve">about </w:t>
      </w:r>
      <w:r w:rsidR="007D5E7F">
        <w:t>0</w:t>
      </w:r>
      <w:r w:rsidR="00823A60">
        <w:t>.65 SD</w:t>
      </w:r>
      <w:r w:rsidR="003868B0">
        <w:t xml:space="preserve"> below the national average</w:t>
      </w:r>
      <w:r w:rsidR="00823A60">
        <w:t xml:space="preserve"> in 2</w:t>
      </w:r>
      <w:r w:rsidR="00823A60" w:rsidRPr="00823A60">
        <w:rPr>
          <w:vertAlign w:val="superscript"/>
        </w:rPr>
        <w:t>nd</w:t>
      </w:r>
      <w:r w:rsidR="00823A60">
        <w:t xml:space="preserve"> grade and </w:t>
      </w:r>
      <w:r w:rsidR="007D5E7F">
        <w:t>0</w:t>
      </w:r>
      <w:r w:rsidR="00823A60">
        <w:t xml:space="preserve">.5 SD </w:t>
      </w:r>
      <w:r w:rsidR="003868B0">
        <w:t xml:space="preserve">below the national average </w:t>
      </w:r>
      <w:r w:rsidR="00823A60">
        <w:t>in 7</w:t>
      </w:r>
      <w:r w:rsidR="00823A60" w:rsidRPr="00823A60">
        <w:rPr>
          <w:vertAlign w:val="superscript"/>
        </w:rPr>
        <w:t>th</w:t>
      </w:r>
      <w:r w:rsidR="00823A60">
        <w:t xml:space="preserve"> grade</w:t>
      </w:r>
      <w:r w:rsidR="003868B0">
        <w:t>.</w:t>
      </w:r>
      <w:r w:rsidR="00823A60">
        <w:t xml:space="preserve"> </w:t>
      </w:r>
      <w:r w:rsidR="003868B0">
        <w:t xml:space="preserve">Non-DL students scored about </w:t>
      </w:r>
      <w:r w:rsidR="007D5E7F">
        <w:t>0</w:t>
      </w:r>
      <w:r w:rsidR="003868B0">
        <w:t>.15 SD below the national average in 2</w:t>
      </w:r>
      <w:r w:rsidR="003868B0" w:rsidRPr="003868B0">
        <w:rPr>
          <w:vertAlign w:val="superscript"/>
        </w:rPr>
        <w:t>nd</w:t>
      </w:r>
      <w:r w:rsidR="003868B0">
        <w:t xml:space="preserve"> grade and about </w:t>
      </w:r>
      <w:r w:rsidR="007D5E7F">
        <w:t>0</w:t>
      </w:r>
      <w:r w:rsidR="003868B0">
        <w:t>.1 SD below the national average in 7</w:t>
      </w:r>
      <w:r w:rsidR="003868B0" w:rsidRPr="003868B0">
        <w:rPr>
          <w:vertAlign w:val="superscript"/>
        </w:rPr>
        <w:t>th</w:t>
      </w:r>
      <w:r w:rsidR="003868B0">
        <w:t xml:space="preserve"> grade. B</w:t>
      </w:r>
      <w:r w:rsidR="00823A60">
        <w:t xml:space="preserve">etween </w:t>
      </w:r>
      <w:r w:rsidR="003868B0">
        <w:t>DL and non-DL students</w:t>
      </w:r>
      <w:r w:rsidR="00823A60">
        <w:t>, the gap</w:t>
      </w:r>
      <w:r w:rsidR="007D5E7F">
        <w:t xml:space="preserve"> was</w:t>
      </w:r>
      <w:r w:rsidR="00823A60">
        <w:t xml:space="preserve"> </w:t>
      </w:r>
      <w:r w:rsidR="003868B0">
        <w:t xml:space="preserve">about </w:t>
      </w:r>
      <w:r w:rsidR="007D5E7F">
        <w:t>0</w:t>
      </w:r>
      <w:r w:rsidR="003868B0">
        <w:t xml:space="preserve">.5 </w:t>
      </w:r>
      <w:r w:rsidR="00823A60">
        <w:t>SD in 2</w:t>
      </w:r>
      <w:r w:rsidR="00823A60" w:rsidRPr="00823A60">
        <w:rPr>
          <w:vertAlign w:val="superscript"/>
        </w:rPr>
        <w:t>nd</w:t>
      </w:r>
      <w:r w:rsidR="00823A60">
        <w:t xml:space="preserve"> grade and </w:t>
      </w:r>
      <w:r w:rsidR="003868B0">
        <w:t xml:space="preserve">about </w:t>
      </w:r>
      <w:r w:rsidR="007D5E7F">
        <w:t>0</w:t>
      </w:r>
      <w:r w:rsidR="003868B0">
        <w:t>.4</w:t>
      </w:r>
      <w:r w:rsidR="00823A60">
        <w:t xml:space="preserve"> SD in 7</w:t>
      </w:r>
      <w:r w:rsidR="00823A60" w:rsidRPr="00823A60">
        <w:rPr>
          <w:vertAlign w:val="superscript"/>
        </w:rPr>
        <w:t>th</w:t>
      </w:r>
      <w:r w:rsidR="00823A60">
        <w:t xml:space="preserve"> grade. </w:t>
      </w:r>
      <w:r w:rsidR="003868B0">
        <w:t>DL students appeared to make greater gains than non-DL students between 3</w:t>
      </w:r>
      <w:r w:rsidR="003868B0" w:rsidRPr="003868B0">
        <w:rPr>
          <w:vertAlign w:val="superscript"/>
        </w:rPr>
        <w:t>rd</w:t>
      </w:r>
      <w:r w:rsidR="003868B0">
        <w:t xml:space="preserve"> and 4</w:t>
      </w:r>
      <w:r w:rsidR="003868B0" w:rsidRPr="003868B0">
        <w:rPr>
          <w:vertAlign w:val="superscript"/>
        </w:rPr>
        <w:t>th</w:t>
      </w:r>
      <w:r w:rsidR="003868B0">
        <w:t xml:space="preserve"> grade and between 5</w:t>
      </w:r>
      <w:r w:rsidR="003868B0" w:rsidRPr="003868B0">
        <w:rPr>
          <w:vertAlign w:val="superscript"/>
        </w:rPr>
        <w:t>th</w:t>
      </w:r>
      <w:r w:rsidR="003868B0">
        <w:t xml:space="preserve"> and 6</w:t>
      </w:r>
      <w:r w:rsidR="003868B0" w:rsidRPr="003868B0">
        <w:rPr>
          <w:vertAlign w:val="superscript"/>
        </w:rPr>
        <w:t>th</w:t>
      </w:r>
      <w:r w:rsidR="003868B0">
        <w:t xml:space="preserve"> grade.</w:t>
      </w:r>
    </w:p>
    <w:p w14:paraId="6190C04B" w14:textId="582495E9" w:rsidR="00284A28" w:rsidRDefault="00ED7564" w:rsidP="004B52F3">
      <w:pPr>
        <w:spacing w:line="480" w:lineRule="auto"/>
        <w:ind w:firstLine="720"/>
      </w:pPr>
      <w:r>
        <w:t>It is important to note that t</w:t>
      </w:r>
      <w:r w:rsidR="0007520E">
        <w:t xml:space="preserve">hese movements </w:t>
      </w:r>
      <w:r>
        <w:t xml:space="preserve">in z-scores </w:t>
      </w:r>
      <w:r w:rsidR="0007520E">
        <w:t>provide</w:t>
      </w:r>
      <w:r>
        <w:t xml:space="preserve"> </w:t>
      </w:r>
      <w:r w:rsidR="0007520E">
        <w:t xml:space="preserve">information about DL students’ academic positions relative to </w:t>
      </w:r>
      <w:r>
        <w:t xml:space="preserve">non-DL </w:t>
      </w:r>
      <w:r w:rsidR="0007520E">
        <w:t>students</w:t>
      </w:r>
      <w:r>
        <w:t xml:space="preserve"> and the national average</w:t>
      </w:r>
      <w:r w:rsidR="0007520E">
        <w:t xml:space="preserve"> but cannot speak to the progress students themselves are making within and across years. </w:t>
      </w:r>
    </w:p>
    <w:p w14:paraId="20D75055" w14:textId="4331A941" w:rsidR="000F3AA1" w:rsidRDefault="004A412C" w:rsidP="000F3AA1">
      <w:pPr>
        <w:spacing w:line="480" w:lineRule="auto"/>
        <w:jc w:val="center"/>
      </w:pPr>
      <w:r>
        <w:t>[Figure 1 here]</w:t>
      </w:r>
    </w:p>
    <w:p w14:paraId="63370C8F" w14:textId="50A13498" w:rsidR="000F3AA1" w:rsidRPr="00B4379F" w:rsidRDefault="000F3AA1" w:rsidP="00B4379F">
      <w:pPr>
        <w:spacing w:line="480" w:lineRule="auto"/>
        <w:rPr>
          <w:i/>
          <w:iCs/>
        </w:rPr>
      </w:pPr>
      <w:r w:rsidRPr="0007520E">
        <w:rPr>
          <w:i/>
          <w:iCs/>
        </w:rPr>
        <w:t>R</w:t>
      </w:r>
      <w:r>
        <w:rPr>
          <w:i/>
          <w:iCs/>
        </w:rPr>
        <w:t xml:space="preserve">esearch </w:t>
      </w:r>
      <w:r w:rsidRPr="0007520E">
        <w:rPr>
          <w:i/>
          <w:iCs/>
        </w:rPr>
        <w:t>Q</w:t>
      </w:r>
      <w:r>
        <w:rPr>
          <w:i/>
          <w:iCs/>
        </w:rPr>
        <w:t xml:space="preserve">uestion </w:t>
      </w:r>
      <w:r w:rsidRPr="0007520E">
        <w:rPr>
          <w:i/>
          <w:iCs/>
        </w:rPr>
        <w:t xml:space="preserve">2: How does Hispanic dual language participants’ achievement growth within and across grades compare to </w:t>
      </w:r>
      <w:proofErr w:type="gramStart"/>
      <w:r w:rsidRPr="0007520E">
        <w:rPr>
          <w:i/>
          <w:iCs/>
        </w:rPr>
        <w:t>nonparticipants’</w:t>
      </w:r>
      <w:proofErr w:type="gramEnd"/>
      <w:r w:rsidRPr="0007520E">
        <w:rPr>
          <w:i/>
          <w:iCs/>
        </w:rPr>
        <w:t>?</w:t>
      </w:r>
    </w:p>
    <w:p w14:paraId="04406EDB" w14:textId="7879365F" w:rsidR="00204FC0" w:rsidRDefault="00C17FF7" w:rsidP="004B52F3">
      <w:pPr>
        <w:spacing w:line="480" w:lineRule="auto"/>
        <w:rPr>
          <w:b/>
          <w:bCs/>
        </w:rPr>
      </w:pPr>
      <w:r>
        <w:rPr>
          <w:b/>
          <w:bCs/>
        </w:rPr>
        <w:t xml:space="preserve">Achievement </w:t>
      </w:r>
      <w:r w:rsidR="00825DF5">
        <w:rPr>
          <w:b/>
          <w:bCs/>
        </w:rPr>
        <w:t>Means</w:t>
      </w:r>
    </w:p>
    <w:p w14:paraId="59EAD3A9" w14:textId="1686ADA2" w:rsidR="00825DF5" w:rsidRDefault="00462319" w:rsidP="004B52F3">
      <w:pPr>
        <w:spacing w:line="480" w:lineRule="auto"/>
      </w:pPr>
      <w:r>
        <w:tab/>
        <w:t xml:space="preserve">Figure 2 shows </w:t>
      </w:r>
      <w:r w:rsidR="00AC0018">
        <w:t>trajectories</w:t>
      </w:r>
      <w:r>
        <w:t xml:space="preserve"> in math and </w:t>
      </w:r>
      <w:r w:rsidR="00905D23">
        <w:t xml:space="preserve">English </w:t>
      </w:r>
      <w:r>
        <w:t>reading achievement between the fall of 2</w:t>
      </w:r>
      <w:r w:rsidRPr="00462319">
        <w:rPr>
          <w:vertAlign w:val="superscript"/>
        </w:rPr>
        <w:t>nd</w:t>
      </w:r>
      <w:r>
        <w:t xml:space="preserve"> grade and winter of 8</w:t>
      </w:r>
      <w:r w:rsidRPr="00462319">
        <w:rPr>
          <w:vertAlign w:val="superscript"/>
        </w:rPr>
        <w:t>th</w:t>
      </w:r>
      <w:r>
        <w:t xml:space="preserve"> grade. </w:t>
      </w:r>
      <w:r w:rsidR="00C17FF7">
        <w:t xml:space="preserve">The horizontal axis shows the 20 test terms, with labels </w:t>
      </w:r>
      <w:r w:rsidR="00EA40C2">
        <w:t xml:space="preserve">and national average markers </w:t>
      </w:r>
      <w:r w:rsidR="00C17FF7">
        <w:t xml:space="preserve">for the winter </w:t>
      </w:r>
      <w:r w:rsidR="00E46FA9">
        <w:t>test term of each year</w:t>
      </w:r>
      <w:r w:rsidR="00D5488F">
        <w:t xml:space="preserve"> (Thum &amp; Kuhfeld, 2020)</w:t>
      </w:r>
      <w:r w:rsidR="00E46FA9">
        <w:t xml:space="preserve">, which the district uses for school accountability. </w:t>
      </w:r>
    </w:p>
    <w:p w14:paraId="62982791" w14:textId="3ED6D9A6" w:rsidR="00825DF5" w:rsidRDefault="00D5488F" w:rsidP="004B52F3">
      <w:pPr>
        <w:spacing w:line="480" w:lineRule="auto"/>
        <w:ind w:firstLine="720"/>
      </w:pPr>
      <w:r>
        <w:t xml:space="preserve">In math, </w:t>
      </w:r>
      <w:r w:rsidR="00C63B21">
        <w:t xml:space="preserve">non-DL students scored at or slightly below the national average each winter, while DL students scored slightly below non-DL students. </w:t>
      </w:r>
      <w:r>
        <w:t>DL students start</w:t>
      </w:r>
      <w:r w:rsidR="00C63B21">
        <w:t>ed</w:t>
      </w:r>
      <w:r>
        <w:t xml:space="preserve"> the fall of 2</w:t>
      </w:r>
      <w:r w:rsidRPr="00D5488F">
        <w:rPr>
          <w:vertAlign w:val="superscript"/>
        </w:rPr>
        <w:t>nd</w:t>
      </w:r>
      <w:r>
        <w:t xml:space="preserve"> grade scoring slightly lower than non-DL students. Between the fall and spring of each grade between 2 and 5, DL students </w:t>
      </w:r>
      <w:r w:rsidR="00F856FD">
        <w:t>appeared to grow slightly</w:t>
      </w:r>
      <w:r>
        <w:t xml:space="preserve"> </w:t>
      </w:r>
      <w:r w:rsidR="00B5113B">
        <w:t>more</w:t>
      </w:r>
      <w:r>
        <w:t xml:space="preserve">, </w:t>
      </w:r>
      <w:r w:rsidR="00F856FD">
        <w:t>shrinking</w:t>
      </w:r>
      <w:r>
        <w:t xml:space="preserve"> the gap between themselves and non-DL peers; however, DL students </w:t>
      </w:r>
      <w:r w:rsidR="00F856FD">
        <w:t>seemed to lose</w:t>
      </w:r>
      <w:r>
        <w:t xml:space="preserve"> more learning over the summers in these years (shown by the larger dips in the </w:t>
      </w:r>
      <w:r w:rsidR="00AC0018">
        <w:t xml:space="preserve">solid </w:t>
      </w:r>
      <w:r>
        <w:t xml:space="preserve">red line) than non-DL students, so </w:t>
      </w:r>
      <w:r>
        <w:lastRenderedPageBreak/>
        <w:t xml:space="preserve">that the gap is somewhat restored by fall. In grades 6 to 8, the </w:t>
      </w:r>
      <w:r w:rsidR="00AC0018">
        <w:t>achievement</w:t>
      </w:r>
      <w:r>
        <w:t xml:space="preserve"> trends for DL and non-DL students are mostly parallel</w:t>
      </w:r>
      <w:r w:rsidR="00C63B21">
        <w:t>, suggesting similar academic-year growth and summer loss rates</w:t>
      </w:r>
      <w:r>
        <w:t xml:space="preserve">. </w:t>
      </w:r>
    </w:p>
    <w:p w14:paraId="6F8E6E91" w14:textId="3AFD010A" w:rsidR="00462319" w:rsidRDefault="00C63B21" w:rsidP="004B52F3">
      <w:pPr>
        <w:spacing w:line="480" w:lineRule="auto"/>
        <w:ind w:firstLine="720"/>
      </w:pPr>
      <w:r>
        <w:t xml:space="preserve">In </w:t>
      </w:r>
      <w:r w:rsidR="00905D23">
        <w:t xml:space="preserve">English </w:t>
      </w:r>
      <w:r>
        <w:t>reading, both non-DL and DL students scored consistently below the national average in each winter</w:t>
      </w:r>
      <w:r w:rsidR="00F856FD">
        <w:t xml:space="preserve"> in earlier grades</w:t>
      </w:r>
      <w:r>
        <w:t xml:space="preserve">; however, the gaps between both groups and the national average shrank as students moved to higher grades. </w:t>
      </w:r>
      <w:proofErr w:type="gramStart"/>
      <w:r w:rsidR="00B5113B">
        <w:t>Similar to</w:t>
      </w:r>
      <w:proofErr w:type="gramEnd"/>
      <w:r>
        <w:t xml:space="preserve"> math, DL students start</w:t>
      </w:r>
      <w:r w:rsidR="00B5113B">
        <w:t>ed</w:t>
      </w:r>
      <w:r>
        <w:t xml:space="preserve"> the fall of 2</w:t>
      </w:r>
      <w:r w:rsidRPr="00C63B21">
        <w:rPr>
          <w:vertAlign w:val="superscript"/>
        </w:rPr>
        <w:t>nd</w:t>
      </w:r>
      <w:r>
        <w:t xml:space="preserve"> grade scoring below non-DL students</w:t>
      </w:r>
      <w:r w:rsidR="00B5113B">
        <w:t xml:space="preserve"> in reading</w:t>
      </w:r>
      <w:r>
        <w:t xml:space="preserve">. In each subsequent academic year and summer, the growth trajectories of DL and non-DL students </w:t>
      </w:r>
      <w:r w:rsidR="00F856FD">
        <w:t>look</w:t>
      </w:r>
      <w:r>
        <w:t xml:space="preserve"> parallel, indicating that the two groups had similar academic-year growth and summer loss rates. It is also noteworthy that neither DL nor non-DL students seemed to lose much learning during each summer, as suggested by the flat segments in the graph.</w:t>
      </w:r>
    </w:p>
    <w:p w14:paraId="6FDEC12E" w14:textId="7F9E7B34" w:rsidR="00D5488F" w:rsidRPr="00462319" w:rsidRDefault="004A412C" w:rsidP="004B52F3">
      <w:pPr>
        <w:spacing w:line="480" w:lineRule="auto"/>
        <w:jc w:val="center"/>
      </w:pPr>
      <w:r>
        <w:t>[Figure 2 here]</w:t>
      </w:r>
    </w:p>
    <w:p w14:paraId="08C64E60" w14:textId="7748E7B3" w:rsidR="00204132" w:rsidRDefault="00204132" w:rsidP="000F3AA1">
      <w:pPr>
        <w:keepNext/>
        <w:spacing w:line="480" w:lineRule="auto"/>
        <w:rPr>
          <w:b/>
          <w:bCs/>
        </w:rPr>
      </w:pPr>
      <w:r>
        <w:rPr>
          <w:b/>
          <w:bCs/>
        </w:rPr>
        <w:t xml:space="preserve">Monthly </w:t>
      </w:r>
      <w:r w:rsidR="00EE0D65">
        <w:rPr>
          <w:b/>
          <w:bCs/>
        </w:rPr>
        <w:t>G</w:t>
      </w:r>
      <w:r>
        <w:rPr>
          <w:b/>
          <w:bCs/>
        </w:rPr>
        <w:t xml:space="preserve">rowth </w:t>
      </w:r>
      <w:r w:rsidR="00EE0D65">
        <w:rPr>
          <w:b/>
          <w:bCs/>
        </w:rPr>
        <w:t>E</w:t>
      </w:r>
      <w:r>
        <w:rPr>
          <w:b/>
          <w:bCs/>
        </w:rPr>
        <w:t>stimates</w:t>
      </w:r>
    </w:p>
    <w:p w14:paraId="28F57A1C" w14:textId="67CECA12" w:rsidR="00923CC2" w:rsidRDefault="00F85B93" w:rsidP="004B52F3">
      <w:pPr>
        <w:spacing w:line="480" w:lineRule="auto"/>
        <w:ind w:firstLine="720"/>
      </w:pPr>
      <w:r>
        <w:t>Monthly growth rates for DL students, non-DL students, and the national average</w:t>
      </w:r>
      <w:r w:rsidR="000200A1">
        <w:t xml:space="preserve"> (calculated using MAP Growth norms from Thum &amp; Kuhfeld, 2020)</w:t>
      </w:r>
      <w:r>
        <w:t xml:space="preserve"> in each academic year and subsequent summer are presented in Figure 3. </w:t>
      </w:r>
      <w:r w:rsidR="00E31E39">
        <w:t xml:space="preserve">Estimates are from the preferred model specification which includes student and school covariates (Table </w:t>
      </w:r>
      <w:r w:rsidR="00847C68">
        <w:t>3</w:t>
      </w:r>
      <w:r w:rsidR="00E31E39">
        <w:t xml:space="preserve">, Columns 3 and 6). </w:t>
      </w:r>
      <w:r>
        <w:t xml:space="preserve">The </w:t>
      </w:r>
      <w:r w:rsidR="00EE0D65">
        <w:t xml:space="preserve">black </w:t>
      </w:r>
      <w:r>
        <w:t xml:space="preserve">markers at the tip of each bar represents 95% confidence intervals for the estimates. </w:t>
      </w:r>
    </w:p>
    <w:p w14:paraId="260D6CB5" w14:textId="443581C8" w:rsidR="00923CC2" w:rsidRDefault="00923CC2" w:rsidP="004B52F3">
      <w:pPr>
        <w:spacing w:line="480" w:lineRule="auto"/>
        <w:jc w:val="center"/>
      </w:pPr>
      <w:r>
        <w:t>[Figure 3 here]</w:t>
      </w:r>
    </w:p>
    <w:p w14:paraId="0D5BD697" w14:textId="56BD6CD3" w:rsidR="00923CC2" w:rsidRDefault="00923CC2" w:rsidP="004B52F3">
      <w:pPr>
        <w:spacing w:line="480" w:lineRule="auto"/>
        <w:ind w:firstLine="720"/>
      </w:pPr>
      <w:r>
        <w:t xml:space="preserve">In math, </w:t>
      </w:r>
      <w:r w:rsidR="000200A1">
        <w:t xml:space="preserve">between grades 2 and 5, DL students </w:t>
      </w:r>
      <w:r w:rsidR="00F856FD">
        <w:t>appeared to grow</w:t>
      </w:r>
      <w:r w:rsidR="000200A1">
        <w:t xml:space="preserve"> significantly </w:t>
      </w:r>
      <w:r w:rsidR="00823A60">
        <w:t>more</w:t>
      </w:r>
      <w:r w:rsidR="000200A1">
        <w:t xml:space="preserve"> than non-DL students during each academic year; but they also </w:t>
      </w:r>
      <w:r w:rsidR="00F856FD">
        <w:t>seemed to have</w:t>
      </w:r>
      <w:r w:rsidR="000200A1">
        <w:t xml:space="preserve"> greater monthly loss during each summer. For instance, in </w:t>
      </w:r>
      <w:r w:rsidR="00823A60">
        <w:t xml:space="preserve">the </w:t>
      </w:r>
      <w:r w:rsidR="000200A1">
        <w:t>2</w:t>
      </w:r>
      <w:r w:rsidR="000200A1" w:rsidRPr="000200A1">
        <w:rPr>
          <w:vertAlign w:val="superscript"/>
        </w:rPr>
        <w:t>nd</w:t>
      </w:r>
      <w:r w:rsidR="000200A1">
        <w:t xml:space="preserve"> grade</w:t>
      </w:r>
      <w:r w:rsidR="00823A60">
        <w:t xml:space="preserve"> year</w:t>
      </w:r>
      <w:r w:rsidR="000200A1">
        <w:t xml:space="preserve">, DL students </w:t>
      </w:r>
      <w:r>
        <w:t xml:space="preserve">grew </w:t>
      </w:r>
      <w:r w:rsidR="00084E08">
        <w:t>about</w:t>
      </w:r>
      <w:r>
        <w:t xml:space="preserve"> </w:t>
      </w:r>
      <w:r w:rsidR="00084E08">
        <w:t xml:space="preserve">2 </w:t>
      </w:r>
      <w:r>
        <w:t>RIT</w:t>
      </w:r>
      <w:r w:rsidR="004464F8">
        <w:t>s</w:t>
      </w:r>
      <w:r>
        <w:t xml:space="preserve"> per month, while non-DL students grew </w:t>
      </w:r>
      <w:r w:rsidR="00F856FD">
        <w:t xml:space="preserve">about </w:t>
      </w:r>
      <w:r w:rsidR="00084E08">
        <w:t>1.</w:t>
      </w:r>
      <w:r w:rsidR="00F856FD">
        <w:t>8</w:t>
      </w:r>
      <w:r>
        <w:t xml:space="preserve"> RIT</w:t>
      </w:r>
      <w:r w:rsidR="004464F8">
        <w:t>s</w:t>
      </w:r>
      <w:r>
        <w:t xml:space="preserve"> per month. Over the school year, 2</w:t>
      </w:r>
      <w:r w:rsidRPr="00F85B93">
        <w:rPr>
          <w:vertAlign w:val="superscript"/>
        </w:rPr>
        <w:t>nd</w:t>
      </w:r>
      <w:r>
        <w:t xml:space="preserve"> grade </w:t>
      </w:r>
      <w:r>
        <w:lastRenderedPageBreak/>
        <w:t xml:space="preserve">DL students would close the gap between themselves and their non-DL peers by </w:t>
      </w:r>
      <w:r w:rsidR="00F856FD">
        <w:t>about 1.8</w:t>
      </w:r>
      <w:r>
        <w:t xml:space="preserve"> RIT</w:t>
      </w:r>
      <w:r w:rsidR="004464F8">
        <w:t>s</w:t>
      </w:r>
      <w:r>
        <w:t>. In the subsequent summer, DL students lost</w:t>
      </w:r>
      <w:r w:rsidR="005C02C2">
        <w:t xml:space="preserve"> more per month</w:t>
      </w:r>
      <w:r>
        <w:t>, undoing the</w:t>
      </w:r>
      <w:r w:rsidR="005C02C2">
        <w:t xml:space="preserve"> amount they</w:t>
      </w:r>
      <w:r>
        <w:t xml:space="preserve"> ca</w:t>
      </w:r>
      <w:r w:rsidR="005C02C2">
        <w:t>ught up</w:t>
      </w:r>
      <w:r>
        <w:t xml:space="preserve"> over the year. In 6</w:t>
      </w:r>
      <w:r w:rsidR="004E1853" w:rsidRPr="004E1853">
        <w:rPr>
          <w:vertAlign w:val="superscript"/>
        </w:rPr>
        <w:t>th</w:t>
      </w:r>
      <w:r w:rsidR="004464F8">
        <w:rPr>
          <w:vertAlign w:val="superscript"/>
        </w:rPr>
        <w:t xml:space="preserve"> </w:t>
      </w:r>
      <w:r w:rsidR="004464F8">
        <w:t>to 8</w:t>
      </w:r>
      <w:r w:rsidR="004464F8" w:rsidRPr="004464F8">
        <w:rPr>
          <w:vertAlign w:val="superscript"/>
        </w:rPr>
        <w:t>th</w:t>
      </w:r>
      <w:r w:rsidR="004464F8">
        <w:t xml:space="preserve"> </w:t>
      </w:r>
      <w:r w:rsidR="004E1853">
        <w:t>grade</w:t>
      </w:r>
      <w:r>
        <w:t>, there was no</w:t>
      </w:r>
      <w:r w:rsidR="00F856FD">
        <w:t xml:space="preserve"> significant </w:t>
      </w:r>
      <w:r>
        <w:t>difference between the two groups in terms of growth or summer loss. Across all years, both DL and non-DL</w:t>
      </w:r>
      <w:r w:rsidR="00BE6ACE">
        <w:t xml:space="preserve"> </w:t>
      </w:r>
      <w:r>
        <w:t xml:space="preserve">students in the district had similar or </w:t>
      </w:r>
      <w:r w:rsidR="00693227">
        <w:t xml:space="preserve">higher growth rates compared </w:t>
      </w:r>
      <w:r>
        <w:t>to the national average</w:t>
      </w:r>
      <w:r w:rsidR="00693227">
        <w:t>, and DL summer loss rates tended to be higher than the national average.</w:t>
      </w:r>
    </w:p>
    <w:p w14:paraId="25356B23" w14:textId="18BB6535" w:rsidR="00923CC2" w:rsidRDefault="00A801AE" w:rsidP="004B52F3">
      <w:pPr>
        <w:spacing w:line="480" w:lineRule="auto"/>
        <w:ind w:firstLine="720"/>
      </w:pPr>
      <w:r>
        <w:t xml:space="preserve">The results for </w:t>
      </w:r>
      <w:r w:rsidR="00905D23">
        <w:t xml:space="preserve">English </w:t>
      </w:r>
      <w:r>
        <w:t xml:space="preserve">reading are </w:t>
      </w:r>
      <w:r w:rsidR="00F55E38">
        <w:t>quite different</w:t>
      </w:r>
      <w:r>
        <w:t xml:space="preserve">. </w:t>
      </w:r>
      <w:r w:rsidR="008A5234">
        <w:t>DL students grew significantly more than non-DL students during their 4</w:t>
      </w:r>
      <w:r w:rsidR="008A5234" w:rsidRPr="008A5234">
        <w:rPr>
          <w:vertAlign w:val="superscript"/>
        </w:rPr>
        <w:t>th</w:t>
      </w:r>
      <w:r w:rsidR="008A5234">
        <w:t>, 5</w:t>
      </w:r>
      <w:r w:rsidR="008A5234" w:rsidRPr="008A5234">
        <w:rPr>
          <w:vertAlign w:val="superscript"/>
        </w:rPr>
        <w:t>th</w:t>
      </w:r>
      <w:r w:rsidR="008A5234">
        <w:t>, and 7</w:t>
      </w:r>
      <w:r w:rsidR="008A5234" w:rsidRPr="008A5234">
        <w:rPr>
          <w:vertAlign w:val="superscript"/>
        </w:rPr>
        <w:t>th</w:t>
      </w:r>
      <w:r w:rsidR="008A5234">
        <w:t xml:space="preserve"> grade years and lost more than non-DL students during the summer after 2</w:t>
      </w:r>
      <w:r w:rsidR="008A5234" w:rsidRPr="008A5234">
        <w:rPr>
          <w:vertAlign w:val="superscript"/>
        </w:rPr>
        <w:t>nd</w:t>
      </w:r>
      <w:r w:rsidR="008A5234">
        <w:t xml:space="preserve"> grade. For other school ye</w:t>
      </w:r>
      <w:r w:rsidR="00693227">
        <w:t>ar</w:t>
      </w:r>
      <w:r w:rsidR="008A5234">
        <w:t>s</w:t>
      </w:r>
      <w:r w:rsidR="00693227">
        <w:t xml:space="preserve"> and summer</w:t>
      </w:r>
      <w:r w:rsidR="008A5234">
        <w:t>s,</w:t>
      </w:r>
      <w:r w:rsidR="00693227">
        <w:t xml:space="preserve"> growth rates</w:t>
      </w:r>
      <w:r>
        <w:t xml:space="preserve"> did not differ significantly between </w:t>
      </w:r>
      <w:r w:rsidR="00693227">
        <w:t>DL and non-DL students</w:t>
      </w:r>
      <w:r>
        <w:t xml:space="preserve">. </w:t>
      </w:r>
      <w:proofErr w:type="gramStart"/>
      <w:r w:rsidR="00923CC2">
        <w:t>With the exception of</w:t>
      </w:r>
      <w:proofErr w:type="gramEnd"/>
      <w:r w:rsidR="00923CC2">
        <w:t xml:space="preserve"> 2</w:t>
      </w:r>
      <w:r w:rsidR="00923CC2" w:rsidRPr="00EE766A">
        <w:rPr>
          <w:vertAlign w:val="superscript"/>
        </w:rPr>
        <w:t>nd</w:t>
      </w:r>
      <w:r w:rsidR="00923CC2">
        <w:t xml:space="preserve"> and 8</w:t>
      </w:r>
      <w:r w:rsidR="00923CC2" w:rsidRPr="00EE766A">
        <w:rPr>
          <w:vertAlign w:val="superscript"/>
        </w:rPr>
        <w:t>th</w:t>
      </w:r>
      <w:r w:rsidR="00923CC2">
        <w:t xml:space="preserve"> grade, students in the district tended to grow slightly slower than the national average. </w:t>
      </w:r>
      <w:r w:rsidR="004464F8">
        <w:t>S</w:t>
      </w:r>
      <w:r w:rsidR="00923CC2">
        <w:t xml:space="preserve">ummer loss rates in the district were </w:t>
      </w:r>
      <w:r w:rsidR="00AC0018">
        <w:t xml:space="preserve">also </w:t>
      </w:r>
      <w:r w:rsidR="00923CC2">
        <w:t xml:space="preserve">significantly and substantively lower than the national average </w:t>
      </w:r>
      <w:r>
        <w:t>in grades 2 to 5</w:t>
      </w:r>
      <w:r w:rsidR="00923CC2">
        <w:t xml:space="preserve">. </w:t>
      </w:r>
    </w:p>
    <w:p w14:paraId="3CCADE5A" w14:textId="60418606" w:rsidR="00923CC2" w:rsidRDefault="00923CC2" w:rsidP="004B52F3">
      <w:pPr>
        <w:spacing w:line="480" w:lineRule="auto"/>
        <w:ind w:firstLine="720"/>
      </w:pPr>
      <w:r>
        <w:t xml:space="preserve">Regression results corresponding to Figure 3 are shown in Table </w:t>
      </w:r>
      <w:r w:rsidR="009600EC">
        <w:t>3</w:t>
      </w:r>
      <w:r>
        <w:t>. Columns (1) (math) and (4) (</w:t>
      </w:r>
      <w:r w:rsidR="00A71791">
        <w:t xml:space="preserve">English </w:t>
      </w:r>
      <w:r>
        <w:t xml:space="preserve">reading) show results from </w:t>
      </w:r>
      <w:r w:rsidR="00693227">
        <w:t>the baseline</w:t>
      </w:r>
      <w:r>
        <w:t xml:space="preserve"> model that includes ever</w:t>
      </w:r>
      <w:r w:rsidR="00A71791">
        <w:t>-</w:t>
      </w:r>
      <w:r>
        <w:t>DL participation as a predictor and interaction terms between DL and each time predictor</w:t>
      </w:r>
      <w:r w:rsidR="0032716F">
        <w:t xml:space="preserve"> (exposure to 2</w:t>
      </w:r>
      <w:r w:rsidR="0032716F" w:rsidRPr="0032716F">
        <w:rPr>
          <w:vertAlign w:val="superscript"/>
        </w:rPr>
        <w:t>nd</w:t>
      </w:r>
      <w:r w:rsidR="0032716F">
        <w:t xml:space="preserve"> grade academic year through exposure to 8</w:t>
      </w:r>
      <w:r w:rsidR="0032716F" w:rsidRPr="0032716F">
        <w:rPr>
          <w:vertAlign w:val="superscript"/>
        </w:rPr>
        <w:t>th</w:t>
      </w:r>
      <w:r w:rsidR="0032716F">
        <w:t xml:space="preserve"> grade academic year). The intercept represents student achievement on the first day of 2</w:t>
      </w:r>
      <w:r w:rsidR="0032716F" w:rsidRPr="0032716F">
        <w:rPr>
          <w:vertAlign w:val="superscript"/>
        </w:rPr>
        <w:t>nd</w:t>
      </w:r>
      <w:r w:rsidR="0032716F">
        <w:t xml:space="preserve"> grade. The average achievement of non-DL students was 171.</w:t>
      </w:r>
      <w:r w:rsidR="000D7039">
        <w:t>6</w:t>
      </w:r>
      <w:r w:rsidR="0032716F">
        <w:t xml:space="preserve"> RIT</w:t>
      </w:r>
      <w:r w:rsidR="004464F8">
        <w:t>s</w:t>
      </w:r>
      <w:r w:rsidR="0032716F">
        <w:t xml:space="preserve"> for math and 16</w:t>
      </w:r>
      <w:r w:rsidR="000D7039">
        <w:t>7.6 RIT</w:t>
      </w:r>
      <w:r w:rsidR="004464F8">
        <w:t>s</w:t>
      </w:r>
      <w:r w:rsidR="0032716F">
        <w:t xml:space="preserve"> for reading. In comparison, DL students scored a significant 3.07 RIT</w:t>
      </w:r>
      <w:r w:rsidR="004464F8">
        <w:t>s</w:t>
      </w:r>
      <w:r w:rsidR="0032716F">
        <w:t xml:space="preserve"> and </w:t>
      </w:r>
      <w:r w:rsidR="000D7039">
        <w:t>8.38</w:t>
      </w:r>
      <w:r w:rsidR="0032716F">
        <w:t xml:space="preserve"> RIT</w:t>
      </w:r>
      <w:r w:rsidR="004464F8">
        <w:t>s</w:t>
      </w:r>
      <w:r w:rsidR="0032716F">
        <w:t xml:space="preserve"> lower in math and reading, respectively. Columns (2) and (5) show results from adding </w:t>
      </w:r>
      <w:r w:rsidR="00347AA3">
        <w:t xml:space="preserve">biological </w:t>
      </w:r>
      <w:r w:rsidR="0032716F">
        <w:t>sex and educational service eligibility. The intercepts (179.</w:t>
      </w:r>
      <w:r w:rsidR="000D7039">
        <w:t>5</w:t>
      </w:r>
      <w:r w:rsidR="0032716F">
        <w:t xml:space="preserve"> and 17</w:t>
      </w:r>
      <w:r w:rsidR="000D7039">
        <w:t>6.0</w:t>
      </w:r>
      <w:r w:rsidR="0032716F">
        <w:t>) represent starting RIT</w:t>
      </w:r>
      <w:r w:rsidR="00347AA3">
        <w:t>s</w:t>
      </w:r>
      <w:r w:rsidR="0032716F">
        <w:t xml:space="preserve"> for male, non-DL students who were never eligible to receive EL, SPED, or </w:t>
      </w:r>
      <w:r w:rsidR="000D7039">
        <w:t xml:space="preserve">subsidized </w:t>
      </w:r>
      <w:r w:rsidR="0032716F">
        <w:t xml:space="preserve">lunch services. </w:t>
      </w:r>
      <w:r w:rsidR="000D7039">
        <w:t xml:space="preserve">Being female is associated with </w:t>
      </w:r>
      <w:r w:rsidR="000D7039">
        <w:lastRenderedPageBreak/>
        <w:t xml:space="preserve">significantly lower starting achievement in math but higher in reading. </w:t>
      </w:r>
      <w:r w:rsidR="0032716F">
        <w:t xml:space="preserve">Being eligible to receive EL, SPED, and </w:t>
      </w:r>
      <w:r w:rsidR="000D7039">
        <w:t xml:space="preserve">subsidized </w:t>
      </w:r>
      <w:r w:rsidR="0032716F">
        <w:t xml:space="preserve">lunch services </w:t>
      </w:r>
      <w:r w:rsidR="00AC0018">
        <w:t>is</w:t>
      </w:r>
      <w:r w:rsidR="0032716F">
        <w:t xml:space="preserve"> each associated with significantly lower starting achievement in </w:t>
      </w:r>
      <w:r w:rsidR="000D7039">
        <w:t>both subjects</w:t>
      </w:r>
      <w:r w:rsidR="0032716F">
        <w:t xml:space="preserve">. </w:t>
      </w:r>
      <w:bookmarkStart w:id="14" w:name="_Hlk139276318"/>
      <w:r w:rsidR="0032716F">
        <w:t>Holding all other factors constant, having refused EL service in kindergarten or 1</w:t>
      </w:r>
      <w:r w:rsidR="0032716F" w:rsidRPr="0032716F">
        <w:rPr>
          <w:vertAlign w:val="superscript"/>
        </w:rPr>
        <w:t>st</w:t>
      </w:r>
      <w:r w:rsidR="0032716F">
        <w:t xml:space="preserve"> grade is associated with </w:t>
      </w:r>
      <w:r w:rsidR="000D7039">
        <w:t>higher achievement in both subjects</w:t>
      </w:r>
      <w:r w:rsidR="0032716F">
        <w:t xml:space="preserve">. </w:t>
      </w:r>
      <w:r w:rsidR="004D09AC">
        <w:t xml:space="preserve">This would make sense if families were opting out of EL service with the belief that their child would succeed even without language support. </w:t>
      </w:r>
      <w:bookmarkEnd w:id="14"/>
      <w:r w:rsidR="0032716F">
        <w:t>When school-level percentage</w:t>
      </w:r>
      <w:r w:rsidR="00AC0018">
        <w:t>s</w:t>
      </w:r>
      <w:r w:rsidR="0032716F">
        <w:t xml:space="preserve"> of EL and FRPL enrollment are added to the model (columns 3 and 6), </w:t>
      </w:r>
      <w:r w:rsidR="00E31E39">
        <w:t>percentage of FRPL eligibility is associated with lower starting achievement in math and</w:t>
      </w:r>
      <w:r w:rsidR="00AC0018">
        <w:t xml:space="preserve"> English</w:t>
      </w:r>
      <w:r w:rsidR="00E31E39">
        <w:t xml:space="preserve"> reading</w:t>
      </w:r>
      <w:r w:rsidR="000D7039">
        <w:t xml:space="preserve"> (though the estimate for reading is not significant)</w:t>
      </w:r>
      <w:r w:rsidR="00347AA3">
        <w:t>, and</w:t>
      </w:r>
      <w:r w:rsidR="00E31E39">
        <w:t xml:space="preserve"> </w:t>
      </w:r>
      <w:r w:rsidR="00535359">
        <w:t xml:space="preserve">the </w:t>
      </w:r>
      <w:r w:rsidR="00324949">
        <w:t xml:space="preserve">coefficients for the </w:t>
      </w:r>
      <w:r w:rsidR="00E31E39">
        <w:t>percentage of EL eligibility</w:t>
      </w:r>
      <w:r w:rsidR="00324949">
        <w:t xml:space="preserve"> are not significant</w:t>
      </w:r>
      <w:r w:rsidR="00E31E39">
        <w:t xml:space="preserve">. Growth estimates in all academic years and summers are stable in both magnitude and statistical significance across the three models for both math and reading. For instance, </w:t>
      </w:r>
      <w:r w:rsidR="00324949">
        <w:t xml:space="preserve">as reported in column (1), </w:t>
      </w:r>
      <w:r w:rsidR="00E31E39">
        <w:t>non-DL students grew 1.</w:t>
      </w:r>
      <w:r w:rsidR="00324949">
        <w:t>79</w:t>
      </w:r>
      <w:r w:rsidR="00E31E39">
        <w:t xml:space="preserve"> RIT</w:t>
      </w:r>
      <w:r w:rsidR="00347AA3">
        <w:t>s</w:t>
      </w:r>
      <w:r w:rsidR="00324949">
        <w:t xml:space="preserve"> in math</w:t>
      </w:r>
      <w:r w:rsidR="00E31E39">
        <w:t xml:space="preserve"> during 2</w:t>
      </w:r>
      <w:r w:rsidR="00E31E39" w:rsidRPr="00E31E39">
        <w:rPr>
          <w:vertAlign w:val="superscript"/>
        </w:rPr>
        <w:t>nd</w:t>
      </w:r>
      <w:r w:rsidR="00E31E39">
        <w:t xml:space="preserve"> grade</w:t>
      </w:r>
      <w:r w:rsidR="00324949">
        <w:t xml:space="preserve">, and </w:t>
      </w:r>
      <w:r w:rsidR="00E31E39">
        <w:t xml:space="preserve">DL students grew an additional </w:t>
      </w:r>
      <w:r w:rsidR="00324949">
        <w:t>0</w:t>
      </w:r>
      <w:r w:rsidR="00E31E39">
        <w:t>.</w:t>
      </w:r>
      <w:r w:rsidR="00324949">
        <w:t>18</w:t>
      </w:r>
      <w:r w:rsidR="00E31E39">
        <w:t xml:space="preserve"> RIT</w:t>
      </w:r>
      <w:r w:rsidR="00347AA3">
        <w:t>s</w:t>
      </w:r>
      <w:r w:rsidR="00E31E39">
        <w:t xml:space="preserve">, which is statistically significant. </w:t>
      </w:r>
      <w:r w:rsidR="00324949">
        <w:t xml:space="preserve">Estimates in columns (2) and (3) are very similar. </w:t>
      </w:r>
      <w:r w:rsidR="00E31E39">
        <w:t xml:space="preserve">Results from </w:t>
      </w:r>
      <w:r w:rsidR="00324949">
        <w:t xml:space="preserve">the preferred model specification are in </w:t>
      </w:r>
      <w:r w:rsidR="00E31E39">
        <w:t>columns (3) and (6)</w:t>
      </w:r>
      <w:r w:rsidR="00324949">
        <w:t xml:space="preserve"> and</w:t>
      </w:r>
      <w:r w:rsidR="00E31E39">
        <w:t xml:space="preserve"> correspond to those reported in Figure 3.</w:t>
      </w:r>
    </w:p>
    <w:p w14:paraId="4A489F64" w14:textId="1F8166D2" w:rsidR="00EE0D65" w:rsidRDefault="004A412C" w:rsidP="004B52F3">
      <w:pPr>
        <w:spacing w:line="480" w:lineRule="auto"/>
        <w:jc w:val="center"/>
      </w:pPr>
      <w:r>
        <w:t xml:space="preserve">[Table </w:t>
      </w:r>
      <w:r w:rsidR="009600EC">
        <w:t>3</w:t>
      </w:r>
      <w:r>
        <w:t xml:space="preserve"> here]</w:t>
      </w:r>
    </w:p>
    <w:p w14:paraId="2A21D85A" w14:textId="108FF5D2" w:rsidR="00EE0D65" w:rsidRPr="00EE0D65" w:rsidRDefault="00EE0D65" w:rsidP="004B52F3">
      <w:pPr>
        <w:spacing w:line="480" w:lineRule="auto"/>
        <w:rPr>
          <w:b/>
          <w:bCs/>
        </w:rPr>
      </w:pPr>
      <w:r w:rsidRPr="00EE0D65">
        <w:rPr>
          <w:b/>
          <w:bCs/>
        </w:rPr>
        <w:t>EL Growth Estimates</w:t>
      </w:r>
    </w:p>
    <w:p w14:paraId="17F947C5" w14:textId="7FDC2AA4" w:rsidR="00A801AE" w:rsidRDefault="00211CA7" w:rsidP="004B52F3">
      <w:pPr>
        <w:spacing w:line="480" w:lineRule="auto"/>
      </w:pPr>
      <w:r>
        <w:rPr>
          <w:b/>
          <w:bCs/>
        </w:rPr>
        <w:tab/>
      </w:r>
      <w:r w:rsidR="00776A90">
        <w:t xml:space="preserve">Table </w:t>
      </w:r>
      <w:r w:rsidR="00F528B4">
        <w:t>4</w:t>
      </w:r>
      <w:r w:rsidR="00776A90">
        <w:t xml:space="preserve"> shows the findings from multilevel growth models applied to only Hispanic ever-ELs. </w:t>
      </w:r>
      <w:r w:rsidR="007D01C8">
        <w:t>Again, estimates are stable across models in both magnitude and significance. I interpret results from columns (3) and (6), which are</w:t>
      </w:r>
      <w:r w:rsidR="00347AA3">
        <w:t xml:space="preserve"> for</w:t>
      </w:r>
      <w:r w:rsidR="007D01C8">
        <w:t xml:space="preserve"> the preferred specification that includes student and school covariates. EL growth estimates for </w:t>
      </w:r>
      <w:r w:rsidR="00A801AE">
        <w:t xml:space="preserve">both </w:t>
      </w:r>
      <w:r w:rsidR="007D01C8">
        <w:t>math</w:t>
      </w:r>
      <w:r w:rsidR="00A801AE">
        <w:t xml:space="preserve"> and </w:t>
      </w:r>
      <w:r w:rsidR="00A71791">
        <w:t xml:space="preserve">English </w:t>
      </w:r>
      <w:r w:rsidR="00A801AE">
        <w:t>reading</w:t>
      </w:r>
      <w:r w:rsidR="007D01C8">
        <w:t xml:space="preserve"> are very similar to the full sample</w:t>
      </w:r>
      <w:r w:rsidR="00053A29">
        <w:t xml:space="preserve">. </w:t>
      </w:r>
      <w:r w:rsidR="00A801AE">
        <w:t xml:space="preserve">In math, </w:t>
      </w:r>
      <w:r w:rsidR="00053A29">
        <w:t xml:space="preserve">ELs in DL </w:t>
      </w:r>
      <w:r w:rsidR="00F528B4">
        <w:t>appeared to grow</w:t>
      </w:r>
      <w:r w:rsidR="00053A29">
        <w:t xml:space="preserve"> significantly </w:t>
      </w:r>
      <w:r w:rsidR="00702561">
        <w:t>more</w:t>
      </w:r>
      <w:r w:rsidR="00053A29">
        <w:t xml:space="preserve"> than ELs </w:t>
      </w:r>
      <w:r w:rsidR="00120908">
        <w:t>not</w:t>
      </w:r>
      <w:r w:rsidR="00053A29">
        <w:t xml:space="preserve"> in DL during each academic year in grades 2 to 5, but ELs in DL also </w:t>
      </w:r>
      <w:r w:rsidR="00F528B4">
        <w:t xml:space="preserve">seemed to have </w:t>
      </w:r>
      <w:r w:rsidR="00053A29">
        <w:t xml:space="preserve">lost more </w:t>
      </w:r>
      <w:r w:rsidR="00905D23">
        <w:t xml:space="preserve">math </w:t>
      </w:r>
      <w:r w:rsidR="00053A29">
        <w:lastRenderedPageBreak/>
        <w:t xml:space="preserve">learning during summers after grades 2 to 5 compared to non-DL ELs. </w:t>
      </w:r>
      <w:r w:rsidR="00F528B4">
        <w:t>There are no significant differences between the two groups</w:t>
      </w:r>
      <w:r w:rsidR="00053A29">
        <w:t xml:space="preserve"> in 7</w:t>
      </w:r>
      <w:r w:rsidR="00053A29" w:rsidRPr="00053A29">
        <w:rPr>
          <w:vertAlign w:val="superscript"/>
        </w:rPr>
        <w:t>th</w:t>
      </w:r>
      <w:r w:rsidR="00053A29">
        <w:t xml:space="preserve"> and 8</w:t>
      </w:r>
      <w:r w:rsidR="00053A29" w:rsidRPr="00053A29">
        <w:rPr>
          <w:vertAlign w:val="superscript"/>
        </w:rPr>
        <w:t>th</w:t>
      </w:r>
      <w:r w:rsidR="00053A29">
        <w:t xml:space="preserve"> grade. </w:t>
      </w:r>
      <w:r w:rsidR="00A801AE">
        <w:t>In</w:t>
      </w:r>
      <w:r w:rsidR="00C12737">
        <w:t xml:space="preserve"> English</w:t>
      </w:r>
      <w:r w:rsidR="00A801AE">
        <w:t xml:space="preserve"> reading, </w:t>
      </w:r>
      <w:proofErr w:type="gramStart"/>
      <w:r w:rsidR="00C858E3">
        <w:t>DL</w:t>
      </w:r>
      <w:proofErr w:type="gramEnd"/>
      <w:r w:rsidR="00C858E3">
        <w:t xml:space="preserve"> and non-DL ELs grew at similar rates during the school years and lost similar amounts during the summers. </w:t>
      </w:r>
      <w:r w:rsidR="005063F8">
        <w:t>Like in the full sample, school-year growth rates in 4</w:t>
      </w:r>
      <w:r w:rsidR="005063F8" w:rsidRPr="005063F8">
        <w:rPr>
          <w:vertAlign w:val="superscript"/>
        </w:rPr>
        <w:t>th</w:t>
      </w:r>
      <w:r w:rsidR="005063F8">
        <w:t>, 5</w:t>
      </w:r>
      <w:r w:rsidR="005063F8" w:rsidRPr="005063F8">
        <w:rPr>
          <w:vertAlign w:val="superscript"/>
        </w:rPr>
        <w:t>th</w:t>
      </w:r>
      <w:r w:rsidR="005063F8">
        <w:t>, and 7</w:t>
      </w:r>
      <w:r w:rsidR="005063F8" w:rsidRPr="005063F8">
        <w:rPr>
          <w:vertAlign w:val="superscript"/>
        </w:rPr>
        <w:t>th</w:t>
      </w:r>
      <w:r w:rsidR="005063F8">
        <w:t xml:space="preserve"> grade for DL EL students were higher than non-DL EL students, but the estimates are not significant, perhaps due to low statistical power in this smaller sample.</w:t>
      </w:r>
    </w:p>
    <w:p w14:paraId="1023EA9B" w14:textId="0D76A255" w:rsidR="00C54323" w:rsidRPr="00211CA7" w:rsidRDefault="00C54323" w:rsidP="00C54323">
      <w:pPr>
        <w:spacing w:line="480" w:lineRule="auto"/>
        <w:jc w:val="center"/>
      </w:pPr>
      <w:r>
        <w:t xml:space="preserve">[Table </w:t>
      </w:r>
      <w:r w:rsidR="00C858E3">
        <w:t>4</w:t>
      </w:r>
      <w:r>
        <w:t xml:space="preserve"> here]</w:t>
      </w:r>
    </w:p>
    <w:p w14:paraId="069B9F27" w14:textId="0D3ECD31" w:rsidR="00204132" w:rsidRDefault="00204132" w:rsidP="004B52F3">
      <w:pPr>
        <w:spacing w:line="480" w:lineRule="auto"/>
        <w:rPr>
          <w:b/>
          <w:bCs/>
        </w:rPr>
      </w:pPr>
      <w:r>
        <w:rPr>
          <w:b/>
          <w:bCs/>
        </w:rPr>
        <w:t>Sensitivity Checks</w:t>
      </w:r>
      <w:r w:rsidR="002C0E51">
        <w:rPr>
          <w:b/>
          <w:bCs/>
        </w:rPr>
        <w:t xml:space="preserve"> </w:t>
      </w:r>
    </w:p>
    <w:p w14:paraId="52129CE5" w14:textId="2CEB2C6C" w:rsidR="00DB4453" w:rsidRPr="00F20120" w:rsidRDefault="00536722" w:rsidP="00F20120">
      <w:pPr>
        <w:spacing w:line="480" w:lineRule="auto"/>
      </w:pPr>
      <w:r>
        <w:rPr>
          <w:b/>
          <w:bCs/>
        </w:rPr>
        <w:tab/>
      </w:r>
      <w:r w:rsidR="004009F1" w:rsidRPr="00847C68">
        <w:t xml:space="preserve">The series of models I estimated, </w:t>
      </w:r>
      <w:proofErr w:type="gramStart"/>
      <w:r w:rsidR="004009F1" w:rsidRPr="00847C68">
        <w:t>including</w:t>
      </w:r>
      <w:proofErr w:type="gramEnd"/>
      <w:r w:rsidR="004009F1" w:rsidRPr="00847C68">
        <w:t xml:space="preserve"> and excluding student- and school-level covariates as controls, yielded very similar results. </w:t>
      </w:r>
      <w:r w:rsidRPr="00847C68">
        <w:t xml:space="preserve">Appendix </w:t>
      </w:r>
      <w:r w:rsidR="00E21394" w:rsidRPr="00847C68">
        <w:t>A</w:t>
      </w:r>
      <w:r w:rsidR="00847C68" w:rsidRPr="00847C68">
        <w:t>2 and A3</w:t>
      </w:r>
      <w:r w:rsidRPr="00847C68">
        <w:t xml:space="preserve"> report findings from </w:t>
      </w:r>
      <w:r w:rsidR="00847C68" w:rsidRPr="00847C68">
        <w:t xml:space="preserve">two additional </w:t>
      </w:r>
      <w:r w:rsidRPr="00847C68">
        <w:t xml:space="preserve">sensitivity checks. </w:t>
      </w:r>
      <w:r w:rsidR="00B25343" w:rsidRPr="00847C68">
        <w:t xml:space="preserve">The addition of cohort </w:t>
      </w:r>
      <w:r w:rsidR="00C858E3" w:rsidRPr="00847C68">
        <w:t>dummies</w:t>
      </w:r>
      <w:r w:rsidR="00B25343" w:rsidRPr="00847C68">
        <w:t xml:space="preserve"> to the full sample resulted in similar estimates (Table A</w:t>
      </w:r>
      <w:r w:rsidR="00847C68" w:rsidRPr="00847C68">
        <w:t>2</w:t>
      </w:r>
      <w:r w:rsidR="00B25343" w:rsidRPr="00847C68">
        <w:t xml:space="preserve">). </w:t>
      </w:r>
      <w:r w:rsidRPr="00847C68">
        <w:t xml:space="preserve">For a subsample (about </w:t>
      </w:r>
      <w:r w:rsidR="00FD39D6">
        <w:t>59</w:t>
      </w:r>
      <w:r w:rsidRPr="00847C68">
        <w:t xml:space="preserve">% of the </w:t>
      </w:r>
      <w:r w:rsidR="004009F1" w:rsidRPr="00847C68">
        <w:t xml:space="preserve">full </w:t>
      </w:r>
      <w:r w:rsidRPr="00847C68">
        <w:t>sample)</w:t>
      </w:r>
      <w:r w:rsidR="00BB2250" w:rsidRPr="00847C68">
        <w:t xml:space="preserve"> for whom I observe Fountas </w:t>
      </w:r>
      <w:r w:rsidR="004009F1" w:rsidRPr="00847C68">
        <w:t>and</w:t>
      </w:r>
      <w:r w:rsidR="00BB2250" w:rsidRPr="00847C68">
        <w:t xml:space="preserve"> Pinnell literacy assessment data, I repeated the analysis including baseline literacy score measured prior to the fall of 2</w:t>
      </w:r>
      <w:r w:rsidR="00BB2250" w:rsidRPr="00847C68">
        <w:rPr>
          <w:vertAlign w:val="superscript"/>
        </w:rPr>
        <w:t>nd</w:t>
      </w:r>
      <w:r w:rsidR="00BB2250" w:rsidRPr="00847C68">
        <w:t xml:space="preserve"> grade; estimates </w:t>
      </w:r>
      <w:r w:rsidR="00A71791" w:rsidRPr="00847C68">
        <w:t xml:space="preserve">are </w:t>
      </w:r>
      <w:proofErr w:type="gramStart"/>
      <w:r w:rsidR="00E84248" w:rsidRPr="00847C68">
        <w:t>similar to</w:t>
      </w:r>
      <w:proofErr w:type="gramEnd"/>
      <w:r w:rsidR="00E84248" w:rsidRPr="00847C68">
        <w:t xml:space="preserve"> </w:t>
      </w:r>
      <w:r w:rsidR="00BB2250" w:rsidRPr="00847C68">
        <w:t xml:space="preserve">the </w:t>
      </w:r>
      <w:r w:rsidR="00E84248" w:rsidRPr="00847C68">
        <w:t>full sample</w:t>
      </w:r>
      <w:r w:rsidR="00E21394" w:rsidRPr="00847C68">
        <w:t xml:space="preserve"> (Table A</w:t>
      </w:r>
      <w:r w:rsidR="00847C68" w:rsidRPr="00847C68">
        <w:t>3</w:t>
      </w:r>
      <w:r w:rsidR="00E21394" w:rsidRPr="00847C68">
        <w:t>)</w:t>
      </w:r>
      <w:r w:rsidR="00BB2250" w:rsidRPr="00847C68">
        <w:t>.</w:t>
      </w:r>
      <w:r w:rsidR="00B25343" w:rsidRPr="00847C68">
        <w:t xml:space="preserve"> </w:t>
      </w:r>
      <w:r w:rsidR="00626722" w:rsidRPr="00847C68">
        <w:t>These</w:t>
      </w:r>
      <w:r w:rsidR="00626722">
        <w:t xml:space="preserve"> findings offer some reassurance that </w:t>
      </w:r>
      <w:r w:rsidR="00031C46">
        <w:t xml:space="preserve">any </w:t>
      </w:r>
      <w:r w:rsidR="00626722">
        <w:t xml:space="preserve">differences observed between DL participants and nonparticipants are not solely due to pre-existing differences in student or school demographics, cohort, or baseline literacy. </w:t>
      </w:r>
    </w:p>
    <w:p w14:paraId="7197792A" w14:textId="794E7605" w:rsidR="00F858C8" w:rsidRDefault="00F858C8" w:rsidP="004B52F3">
      <w:pPr>
        <w:spacing w:line="480" w:lineRule="auto"/>
        <w:jc w:val="center"/>
        <w:rPr>
          <w:b/>
          <w:bCs/>
        </w:rPr>
      </w:pPr>
      <w:r w:rsidRPr="008C416E">
        <w:rPr>
          <w:b/>
          <w:bCs/>
        </w:rPr>
        <w:t>Discussion</w:t>
      </w:r>
    </w:p>
    <w:p w14:paraId="7BE696EC" w14:textId="5EA845C4" w:rsidR="000A5C19" w:rsidRDefault="000A5C19" w:rsidP="004B52F3">
      <w:pPr>
        <w:spacing w:line="480" w:lineRule="auto"/>
      </w:pPr>
      <w:r>
        <w:tab/>
        <w:t xml:space="preserve">This study leverages rich longitudinal data to estimate growth within and across grade levels for Hispanic participants and nonparticipants of a </w:t>
      </w:r>
      <w:r w:rsidR="00E6755C">
        <w:t>dual language program</w:t>
      </w:r>
      <w:r>
        <w:t xml:space="preserve">. </w:t>
      </w:r>
      <w:r w:rsidR="002636BB">
        <w:t>Achievement z-score</w:t>
      </w:r>
      <w:r>
        <w:t xml:space="preserve"> movements between grades suggest that in</w:t>
      </w:r>
      <w:r w:rsidR="00626722">
        <w:t xml:space="preserve"> English</w:t>
      </w:r>
      <w:r>
        <w:t xml:space="preserve"> reading, both DL and non-DL students </w:t>
      </w:r>
      <w:r w:rsidR="00363223">
        <w:t>moved</w:t>
      </w:r>
      <w:r>
        <w:t xml:space="preserve"> closer to the national average; in math, however, non-DL students </w:t>
      </w:r>
      <w:r w:rsidR="00B01F2E">
        <w:t xml:space="preserve">maintained the </w:t>
      </w:r>
      <w:r>
        <w:t xml:space="preserve">gap </w:t>
      </w:r>
      <w:r>
        <w:lastRenderedPageBreak/>
        <w:t xml:space="preserve">between themselves and the national average while </w:t>
      </w:r>
      <w:r w:rsidR="00363223">
        <w:t xml:space="preserve">the gap between </w:t>
      </w:r>
      <w:r>
        <w:t>DL students</w:t>
      </w:r>
      <w:r w:rsidR="00363223">
        <w:t xml:space="preserve"> and the national average widened</w:t>
      </w:r>
      <w:r w:rsidR="00645479">
        <w:t>, driven by</w:t>
      </w:r>
      <w:r w:rsidR="00B01F2E">
        <w:t xml:space="preserve"> a drop between 6</w:t>
      </w:r>
      <w:r w:rsidR="00B01F2E" w:rsidRPr="00B01F2E">
        <w:rPr>
          <w:vertAlign w:val="superscript"/>
        </w:rPr>
        <w:t>th</w:t>
      </w:r>
      <w:r w:rsidR="00B01F2E">
        <w:t xml:space="preserve"> and 7</w:t>
      </w:r>
      <w:r w:rsidR="00B01F2E" w:rsidRPr="00B01F2E">
        <w:rPr>
          <w:vertAlign w:val="superscript"/>
        </w:rPr>
        <w:t>th</w:t>
      </w:r>
      <w:r w:rsidR="00B01F2E">
        <w:t xml:space="preserve"> grade</w:t>
      </w:r>
      <w:r>
        <w:t xml:space="preserve">. </w:t>
      </w:r>
    </w:p>
    <w:p w14:paraId="1162EDDB" w14:textId="38211B9C" w:rsidR="0059023C" w:rsidRPr="00D60706" w:rsidRDefault="0089046F" w:rsidP="004B52F3">
      <w:pPr>
        <w:spacing w:line="480" w:lineRule="auto"/>
        <w:rPr>
          <w:color w:val="FF0000"/>
        </w:rPr>
      </w:pPr>
      <w:r>
        <w:tab/>
        <w:t xml:space="preserve">At first glance, my findings on </w:t>
      </w:r>
      <w:r w:rsidR="00446781">
        <w:t xml:space="preserve">students’ achievement relative grade-level peers </w:t>
      </w:r>
      <w:r>
        <w:t xml:space="preserve">seem to contradict some of the results from earlier studies. For instance, Valentino and Reardon (2015) found that </w:t>
      </w:r>
      <w:r w:rsidR="00DB17CB">
        <w:t xml:space="preserve">longer-term </w:t>
      </w:r>
      <w:r>
        <w:t xml:space="preserve">dual language </w:t>
      </w:r>
      <w:r w:rsidR="00DB17CB">
        <w:t>ELs</w:t>
      </w:r>
      <w:r>
        <w:t xml:space="preserve"> </w:t>
      </w:r>
      <w:r w:rsidR="00DB17CB">
        <w:t>outperformed ELs in English-only and short-term bilingual programs in 5</w:t>
      </w:r>
      <w:r w:rsidR="00DB17CB" w:rsidRPr="00DB17CB">
        <w:rPr>
          <w:vertAlign w:val="superscript"/>
        </w:rPr>
        <w:t>th</w:t>
      </w:r>
      <w:r w:rsidR="00DB17CB">
        <w:t xml:space="preserve"> grade and reached the state average in 6</w:t>
      </w:r>
      <w:r w:rsidR="00DB17CB" w:rsidRPr="00DB17CB">
        <w:rPr>
          <w:vertAlign w:val="superscript"/>
        </w:rPr>
        <w:t>th</w:t>
      </w:r>
      <w:r w:rsidR="00DB17CB">
        <w:t xml:space="preserve"> grade in ELA achievemen</w:t>
      </w:r>
      <w:r w:rsidR="00AC0018">
        <w:t>t</w:t>
      </w:r>
      <w:r w:rsidR="00DB17CB">
        <w:t xml:space="preserve">. </w:t>
      </w:r>
      <w:r w:rsidR="0059023C">
        <w:t>Latin</w:t>
      </w:r>
      <w:r w:rsidR="00892059">
        <w:t>x</w:t>
      </w:r>
      <w:r w:rsidR="0059023C">
        <w:t xml:space="preserve"> ELs in their study who were in longer-term dual language programs made ELA gains at twice the rate of Latin</w:t>
      </w:r>
      <w:r w:rsidR="00892059">
        <w:t>x</w:t>
      </w:r>
      <w:r w:rsidR="0059023C">
        <w:t xml:space="preserve"> ELs in short-term bilingual programs. </w:t>
      </w:r>
      <w:r w:rsidR="00DB17CB">
        <w:t>Similarly, Steele et al. (2017) found that dual language immersion students</w:t>
      </w:r>
      <w:r w:rsidR="006B2077">
        <w:t>, both EL and non-EL,</w:t>
      </w:r>
      <w:r w:rsidR="00DB17CB">
        <w:t xml:space="preserve"> outperformed their peers </w:t>
      </w:r>
      <w:r w:rsidR="00645479">
        <w:t>in</w:t>
      </w:r>
      <w:r w:rsidR="00DB17CB">
        <w:t xml:space="preserve"> reading at the end of 5</w:t>
      </w:r>
      <w:r w:rsidR="00DB17CB" w:rsidRPr="00DB17CB">
        <w:rPr>
          <w:vertAlign w:val="superscript"/>
        </w:rPr>
        <w:t>th</w:t>
      </w:r>
      <w:r w:rsidR="00DB17CB">
        <w:t xml:space="preserve"> grade.</w:t>
      </w:r>
      <w:r w:rsidR="00A967DA">
        <w:t xml:space="preserve"> </w:t>
      </w:r>
      <w:proofErr w:type="spellStart"/>
      <w:r w:rsidR="00A967DA">
        <w:t>Bibler</w:t>
      </w:r>
      <w:proofErr w:type="spellEnd"/>
      <w:r w:rsidR="00A967DA">
        <w:t xml:space="preserve"> (2021) also reported </w:t>
      </w:r>
      <w:r w:rsidR="006B2077">
        <w:t xml:space="preserve">a small positive effect on reading for native English users and </w:t>
      </w:r>
      <w:r w:rsidR="00A967DA">
        <w:t>suggestive evidence that dual language education may improve reading outcomes</w:t>
      </w:r>
      <w:r w:rsidR="006B2077">
        <w:t xml:space="preserve"> for ELs (most of whom were Hispanic in his sample)</w:t>
      </w:r>
      <w:r w:rsidR="00A967DA">
        <w:t>.</w:t>
      </w:r>
      <w:r w:rsidR="00DB17CB">
        <w:t xml:space="preserve"> </w:t>
      </w:r>
      <w:r w:rsidR="00DB17CB" w:rsidRPr="00354A09">
        <w:rPr>
          <w:color w:val="FF0000"/>
        </w:rPr>
        <w:t xml:space="preserve">In my data, </w:t>
      </w:r>
      <w:r w:rsidR="00354A09" w:rsidRPr="00354A09">
        <w:rPr>
          <w:color w:val="FF0000"/>
        </w:rPr>
        <w:t>even at the end of 7</w:t>
      </w:r>
      <w:r w:rsidR="00354A09" w:rsidRPr="00354A09">
        <w:rPr>
          <w:color w:val="FF0000"/>
          <w:vertAlign w:val="superscript"/>
        </w:rPr>
        <w:t>th</w:t>
      </w:r>
      <w:r w:rsidR="00354A09" w:rsidRPr="00354A09">
        <w:rPr>
          <w:color w:val="FF0000"/>
        </w:rPr>
        <w:t xml:space="preserve"> grade, Hispanic </w:t>
      </w:r>
      <w:r w:rsidR="00DB17CB" w:rsidRPr="00354A09">
        <w:rPr>
          <w:color w:val="FF0000"/>
        </w:rPr>
        <w:t>DL</w:t>
      </w:r>
      <w:r w:rsidRPr="00354A09">
        <w:rPr>
          <w:color w:val="FF0000"/>
        </w:rPr>
        <w:t xml:space="preserve"> students did not</w:t>
      </w:r>
      <w:r w:rsidR="00DB17CB" w:rsidRPr="00354A09">
        <w:rPr>
          <w:color w:val="FF0000"/>
        </w:rPr>
        <w:t xml:space="preserve"> completely</w:t>
      </w:r>
      <w:r w:rsidRPr="00354A09">
        <w:rPr>
          <w:color w:val="FF0000"/>
        </w:rPr>
        <w:t xml:space="preserve"> close the</w:t>
      </w:r>
      <w:r w:rsidR="00394215" w:rsidRPr="00354A09">
        <w:rPr>
          <w:color w:val="FF0000"/>
        </w:rPr>
        <w:t xml:space="preserve"> reading</w:t>
      </w:r>
      <w:r w:rsidRPr="00354A09">
        <w:rPr>
          <w:color w:val="FF0000"/>
        </w:rPr>
        <w:t xml:space="preserve"> achievement gap </w:t>
      </w:r>
      <w:r w:rsidR="00DB17CB" w:rsidRPr="00354A09">
        <w:rPr>
          <w:color w:val="FF0000"/>
        </w:rPr>
        <w:t xml:space="preserve">between themselves and </w:t>
      </w:r>
      <w:r w:rsidR="00354A09" w:rsidRPr="00354A09">
        <w:rPr>
          <w:color w:val="FF0000"/>
        </w:rPr>
        <w:t xml:space="preserve">Hispanic </w:t>
      </w:r>
      <w:r w:rsidR="00DB17CB" w:rsidRPr="00354A09">
        <w:rPr>
          <w:color w:val="FF0000"/>
        </w:rPr>
        <w:t>non-DL students in the same district</w:t>
      </w:r>
      <w:r w:rsidR="00354A09" w:rsidRPr="00354A09">
        <w:rPr>
          <w:color w:val="FF0000"/>
        </w:rPr>
        <w:t>; n</w:t>
      </w:r>
      <w:r w:rsidR="00DB17CB" w:rsidRPr="00354A09">
        <w:rPr>
          <w:color w:val="FF0000"/>
        </w:rPr>
        <w:t xml:space="preserve">or </w:t>
      </w:r>
      <w:r w:rsidR="00354A09" w:rsidRPr="00354A09">
        <w:rPr>
          <w:color w:val="FF0000"/>
        </w:rPr>
        <w:t xml:space="preserve">did Hispanic DL students in my district attain </w:t>
      </w:r>
      <w:r w:rsidR="00DB17CB" w:rsidRPr="00354A09">
        <w:rPr>
          <w:color w:val="FF0000"/>
        </w:rPr>
        <w:t xml:space="preserve">the </w:t>
      </w:r>
      <w:r w:rsidR="00354A09" w:rsidRPr="00354A09">
        <w:rPr>
          <w:color w:val="FF0000"/>
        </w:rPr>
        <w:t>average score of all students across the nation</w:t>
      </w:r>
      <w:r w:rsidR="00394215" w:rsidRPr="00354A09">
        <w:rPr>
          <w:color w:val="FF0000"/>
        </w:rPr>
        <w:t xml:space="preserve"> </w:t>
      </w:r>
      <w:r w:rsidR="005C6D05">
        <w:t>(Figure 1)</w:t>
      </w:r>
      <w:r w:rsidR="00DB17CB">
        <w:t>.</w:t>
      </w:r>
      <w:r w:rsidR="00394215">
        <w:t xml:space="preserve"> In math, </w:t>
      </w:r>
      <w:proofErr w:type="gramStart"/>
      <w:r w:rsidR="00394215">
        <w:t>Valentino</w:t>
      </w:r>
      <w:proofErr w:type="gramEnd"/>
      <w:r w:rsidR="00394215">
        <w:t xml:space="preserve"> and Reardon (2015) and Steele et al. (2017) found that dual language students did better or at least no worse than students in other programs in terms of </w:t>
      </w:r>
      <w:r w:rsidR="00446781">
        <w:t>achievement relative to their state average</w:t>
      </w:r>
      <w:r w:rsidR="00394215">
        <w:t xml:space="preserve"> across grades</w:t>
      </w:r>
      <w:r w:rsidR="00D60706">
        <w:t xml:space="preserve">. </w:t>
      </w:r>
      <w:r w:rsidR="00D60706" w:rsidRPr="00D60706">
        <w:rPr>
          <w:color w:val="FF0000"/>
        </w:rPr>
        <w:t>I</w:t>
      </w:r>
      <w:r w:rsidR="00394215" w:rsidRPr="00D60706">
        <w:rPr>
          <w:color w:val="FF0000"/>
        </w:rPr>
        <w:t xml:space="preserve">n my data, </w:t>
      </w:r>
      <w:r w:rsidR="00D60706" w:rsidRPr="00D60706">
        <w:rPr>
          <w:color w:val="FF0000"/>
        </w:rPr>
        <w:t xml:space="preserve">the state average was not available for comparison; however, I </w:t>
      </w:r>
      <w:r w:rsidR="00D60706">
        <w:rPr>
          <w:color w:val="FF0000"/>
        </w:rPr>
        <w:t>found</w:t>
      </w:r>
      <w:r w:rsidR="00D60706" w:rsidRPr="00D60706">
        <w:rPr>
          <w:color w:val="FF0000"/>
        </w:rPr>
        <w:t xml:space="preserve"> that </w:t>
      </w:r>
      <w:r w:rsidR="00394215" w:rsidRPr="00D60706">
        <w:rPr>
          <w:color w:val="FF0000"/>
        </w:rPr>
        <w:t xml:space="preserve">DL students </w:t>
      </w:r>
      <w:r w:rsidR="002A20B1" w:rsidRPr="00D60706">
        <w:rPr>
          <w:color w:val="FF0000"/>
        </w:rPr>
        <w:t xml:space="preserve">did not </w:t>
      </w:r>
      <w:r w:rsidR="00446781" w:rsidRPr="00D60706">
        <w:rPr>
          <w:color w:val="FF0000"/>
        </w:rPr>
        <w:t>get closer to</w:t>
      </w:r>
      <w:r w:rsidR="000F2188" w:rsidRPr="00D60706">
        <w:rPr>
          <w:color w:val="FF0000"/>
        </w:rPr>
        <w:t xml:space="preserve"> the national average </w:t>
      </w:r>
      <w:r w:rsidR="00D60706" w:rsidRPr="00D60706">
        <w:rPr>
          <w:color w:val="FF0000"/>
        </w:rPr>
        <w:t xml:space="preserve">for their grade </w:t>
      </w:r>
      <w:r w:rsidR="005C6D05" w:rsidRPr="00D60706">
        <w:rPr>
          <w:color w:val="FF0000"/>
        </w:rPr>
        <w:t>(Figure 1)</w:t>
      </w:r>
      <w:r w:rsidR="00394215" w:rsidRPr="00D60706">
        <w:rPr>
          <w:color w:val="FF0000"/>
        </w:rPr>
        <w:t>.</w:t>
      </w:r>
      <w:r w:rsidR="0059023C" w:rsidRPr="00D60706">
        <w:rPr>
          <w:color w:val="FF0000"/>
        </w:rPr>
        <w:t xml:space="preserve"> </w:t>
      </w:r>
    </w:p>
    <w:p w14:paraId="2284ECE2" w14:textId="3F9C0E9F" w:rsidR="0089046F" w:rsidRDefault="00BA21E8" w:rsidP="0059023C">
      <w:pPr>
        <w:spacing w:line="480" w:lineRule="auto"/>
        <w:ind w:firstLine="720"/>
      </w:pPr>
      <w:bookmarkStart w:id="15" w:name="_Hlk139544505"/>
      <w:r>
        <w:t xml:space="preserve">One </w:t>
      </w:r>
      <w:r w:rsidR="0059023C">
        <w:t>potential explanation for the differences between my findings and previous research</w:t>
      </w:r>
      <w:r>
        <w:t xml:space="preserve"> is study context</w:t>
      </w:r>
      <w:r w:rsidR="0059023C">
        <w:t xml:space="preserve">. </w:t>
      </w:r>
      <w:r w:rsidR="00A967DA">
        <w:t>Valentino and Reardon (2015) used an ethnically and linguistic</w:t>
      </w:r>
      <w:r w:rsidR="00645479">
        <w:t>ally</w:t>
      </w:r>
      <w:r w:rsidR="00A967DA">
        <w:t xml:space="preserve"> diverse </w:t>
      </w:r>
      <w:r>
        <w:t xml:space="preserve">EL </w:t>
      </w:r>
      <w:r w:rsidR="00A967DA">
        <w:t xml:space="preserve">sample from </w:t>
      </w:r>
      <w:r>
        <w:t xml:space="preserve">a district in </w:t>
      </w:r>
      <w:r w:rsidR="00A967DA">
        <w:t>California</w:t>
      </w:r>
      <w:r w:rsidR="00512E4B">
        <w:t>, about 33% whom were Latin</w:t>
      </w:r>
      <w:r w:rsidR="00892059">
        <w:t>x</w:t>
      </w:r>
      <w:r w:rsidR="00A967DA">
        <w:t xml:space="preserve">. Steele et al.’s (2017) study </w:t>
      </w:r>
      <w:r w:rsidR="00A967DA">
        <w:lastRenderedPageBreak/>
        <w:t xml:space="preserve">took place in Portland and included </w:t>
      </w:r>
      <w:r>
        <w:t xml:space="preserve">ELs and non-ELs in </w:t>
      </w:r>
      <w:r w:rsidR="00A967DA">
        <w:t xml:space="preserve">dual language programs </w:t>
      </w:r>
      <w:r>
        <w:t>that offered</w:t>
      </w:r>
      <w:r w:rsidR="00A967DA">
        <w:t xml:space="preserve"> several partner languages. </w:t>
      </w:r>
      <w:proofErr w:type="spellStart"/>
      <w:r w:rsidR="00A967DA">
        <w:t>Bibler</w:t>
      </w:r>
      <w:proofErr w:type="spellEnd"/>
      <w:r w:rsidR="00A967DA">
        <w:t xml:space="preserve"> (2021) looked at school choice lotteries from Charlotte-Mecklenburg School District</w:t>
      </w:r>
      <w:r>
        <w:t>, and ELs comprised a minority of his sample. In contrast, my partner district only offers Spanish-English dual language education</w:t>
      </w:r>
      <w:r w:rsidR="00645479">
        <w:t>;</w:t>
      </w:r>
      <w:r>
        <w:t xml:space="preserve"> </w:t>
      </w:r>
      <w:proofErr w:type="gramStart"/>
      <w:r w:rsidR="00512E4B">
        <w:t>the vast majority of</w:t>
      </w:r>
      <w:proofErr w:type="gramEnd"/>
      <w:r w:rsidR="00512E4B">
        <w:t xml:space="preserve"> </w:t>
      </w:r>
      <w:r w:rsidR="00645479">
        <w:t xml:space="preserve">program </w:t>
      </w:r>
      <w:r w:rsidR="00512E4B">
        <w:t>participants are Hispanic,</w:t>
      </w:r>
      <w:r>
        <w:t xml:space="preserve"> 94% of </w:t>
      </w:r>
      <w:r w:rsidR="00512E4B">
        <w:t>whom</w:t>
      </w:r>
      <w:r>
        <w:t xml:space="preserve"> were ever classified as ELs.  </w:t>
      </w:r>
    </w:p>
    <w:bookmarkEnd w:id="15"/>
    <w:p w14:paraId="6461B531" w14:textId="051ED811" w:rsidR="00604501" w:rsidRDefault="00604501" w:rsidP="00D709EC">
      <w:pPr>
        <w:spacing w:line="480" w:lineRule="auto"/>
        <w:ind w:firstLine="720"/>
      </w:pPr>
      <w:r>
        <w:t xml:space="preserve">A closer look at seasonal learning </w:t>
      </w:r>
      <w:r w:rsidR="00910F6F">
        <w:rPr>
          <w:color w:val="FF0000"/>
        </w:rPr>
        <w:t xml:space="preserve">provides additional potential </w:t>
      </w:r>
      <w:r w:rsidRPr="00910F6F">
        <w:rPr>
          <w:color w:val="FF0000"/>
        </w:rPr>
        <w:t>expl</w:t>
      </w:r>
      <w:r w:rsidR="00910F6F" w:rsidRPr="00910F6F">
        <w:rPr>
          <w:color w:val="FF0000"/>
        </w:rPr>
        <w:t>anations for</w:t>
      </w:r>
      <w:r w:rsidRPr="00910F6F">
        <w:rPr>
          <w:color w:val="FF0000"/>
        </w:rPr>
        <w:t xml:space="preserve"> </w:t>
      </w:r>
      <w:r>
        <w:t xml:space="preserve">how the </w:t>
      </w:r>
      <w:r w:rsidR="00446781">
        <w:t xml:space="preserve">achievement </w:t>
      </w:r>
      <w:r>
        <w:t>patterns in my data</w:t>
      </w:r>
      <w:r w:rsidR="00BA21E8">
        <w:t xml:space="preserve"> </w:t>
      </w:r>
      <w:r w:rsidR="00446781">
        <w:t>developed</w:t>
      </w:r>
      <w:r>
        <w:t>. DL and non-DL students exhibited different growth patterns during academic years and summers breaks, at least between the start of 2</w:t>
      </w:r>
      <w:r w:rsidRPr="006C7C13">
        <w:rPr>
          <w:vertAlign w:val="superscript"/>
        </w:rPr>
        <w:t>nd</w:t>
      </w:r>
      <w:r>
        <w:t xml:space="preserve"> and start of 6</w:t>
      </w:r>
      <w:r w:rsidRPr="006C7C13">
        <w:rPr>
          <w:vertAlign w:val="superscript"/>
        </w:rPr>
        <w:t>th</w:t>
      </w:r>
      <w:r>
        <w:t xml:space="preserve"> grade</w:t>
      </w:r>
      <w:r w:rsidR="005C6D05">
        <w:t xml:space="preserve"> (Figure 3)</w:t>
      </w:r>
      <w:r>
        <w:t xml:space="preserve">. In math, </w:t>
      </w:r>
      <w:r w:rsidR="002A458B">
        <w:t>b</w:t>
      </w:r>
      <w:r>
        <w:t xml:space="preserve">oth DL and non-DL students </w:t>
      </w:r>
      <w:r w:rsidR="00672242">
        <w:t>grew</w:t>
      </w:r>
      <w:r>
        <w:t xml:space="preserve"> faster compared to the national average, and DL students </w:t>
      </w:r>
      <w:r w:rsidR="00672242">
        <w:t>appeared to grow</w:t>
      </w:r>
      <w:r>
        <w:t xml:space="preserve"> faster than non-DL students. In the summers, however, non-DL students </w:t>
      </w:r>
      <w:r w:rsidR="00672242">
        <w:t>lost</w:t>
      </w:r>
      <w:r>
        <w:t xml:space="preserve"> </w:t>
      </w:r>
      <w:r w:rsidR="005C6D05">
        <w:t xml:space="preserve">math </w:t>
      </w:r>
      <w:r>
        <w:t xml:space="preserve">learning at a rate </w:t>
      </w:r>
      <w:proofErr w:type="gramStart"/>
      <w:r>
        <w:t>similar to</w:t>
      </w:r>
      <w:proofErr w:type="gramEnd"/>
      <w:r>
        <w:t xml:space="preserve"> the national average, while DL students </w:t>
      </w:r>
      <w:r w:rsidR="00672242">
        <w:t xml:space="preserve">seemed to have </w:t>
      </w:r>
      <w:r>
        <w:t xml:space="preserve">lost </w:t>
      </w:r>
      <w:r w:rsidR="005C6D05">
        <w:t xml:space="preserve">math learning </w:t>
      </w:r>
      <w:r>
        <w:t xml:space="preserve">at a significantly </w:t>
      </w:r>
      <w:r w:rsidR="00446781">
        <w:t>higher</w:t>
      </w:r>
      <w:r>
        <w:t xml:space="preserve"> rate. The difference in </w:t>
      </w:r>
      <w:r w:rsidR="005C6D05">
        <w:t xml:space="preserve">math </w:t>
      </w:r>
      <w:r>
        <w:t xml:space="preserve">summer loss rates </w:t>
      </w:r>
      <w:r w:rsidR="00672242">
        <w:t>could</w:t>
      </w:r>
      <w:r>
        <w:t xml:space="preserve"> </w:t>
      </w:r>
      <w:r w:rsidR="00910F6F" w:rsidRPr="00910F6F">
        <w:rPr>
          <w:color w:val="FF0000"/>
        </w:rPr>
        <w:t xml:space="preserve">offer a hypothesis for </w:t>
      </w:r>
      <w:r w:rsidRPr="00910F6F">
        <w:rPr>
          <w:color w:val="FF0000"/>
        </w:rPr>
        <w:t>explain</w:t>
      </w:r>
      <w:r w:rsidR="00910F6F" w:rsidRPr="00910F6F">
        <w:rPr>
          <w:color w:val="FF0000"/>
        </w:rPr>
        <w:t>ing</w:t>
      </w:r>
      <w:r w:rsidRPr="00910F6F">
        <w:rPr>
          <w:color w:val="FF0000"/>
        </w:rPr>
        <w:t xml:space="preserve"> </w:t>
      </w:r>
      <w:r>
        <w:t xml:space="preserve">why DL students were not </w:t>
      </w:r>
      <w:r w:rsidR="00446781">
        <w:t>approaching the national average</w:t>
      </w:r>
      <w:r>
        <w:t xml:space="preserve"> </w:t>
      </w:r>
      <w:r w:rsidR="00672242">
        <w:t>over time</w:t>
      </w:r>
      <w:r w:rsidR="00910F6F">
        <w:t xml:space="preserve">. </w:t>
      </w:r>
      <w:r w:rsidR="00910F6F" w:rsidRPr="00910F6F">
        <w:rPr>
          <w:color w:val="FF0000"/>
        </w:rPr>
        <w:t>Unfortunately,</w:t>
      </w:r>
      <w:r w:rsidR="00910F6F">
        <w:t xml:space="preserve"> </w:t>
      </w:r>
      <w:r w:rsidR="00910F6F" w:rsidRPr="00910F6F">
        <w:rPr>
          <w:color w:val="FF0000"/>
        </w:rPr>
        <w:t xml:space="preserve">previous literature </w:t>
      </w:r>
      <w:r w:rsidR="00910F6F">
        <w:rPr>
          <w:color w:val="FF0000"/>
        </w:rPr>
        <w:t xml:space="preserve">did not examine summer learning and therefore </w:t>
      </w:r>
      <w:r w:rsidR="00910F6F" w:rsidRPr="00910F6F">
        <w:rPr>
          <w:color w:val="FF0000"/>
        </w:rPr>
        <w:t>d</w:t>
      </w:r>
      <w:r w:rsidR="00910F6F">
        <w:rPr>
          <w:color w:val="FF0000"/>
        </w:rPr>
        <w:t>id</w:t>
      </w:r>
      <w:r w:rsidR="00910F6F" w:rsidRPr="00910F6F">
        <w:rPr>
          <w:color w:val="FF0000"/>
        </w:rPr>
        <w:t xml:space="preserve"> not </w:t>
      </w:r>
      <w:r w:rsidR="00910F6F">
        <w:rPr>
          <w:color w:val="FF0000"/>
        </w:rPr>
        <w:t>provide</w:t>
      </w:r>
      <w:r w:rsidR="00910F6F" w:rsidRPr="00910F6F">
        <w:rPr>
          <w:color w:val="FF0000"/>
        </w:rPr>
        <w:t xml:space="preserve"> a point of comparison</w:t>
      </w:r>
      <w:r w:rsidR="00910F6F">
        <w:rPr>
          <w:color w:val="FF0000"/>
        </w:rPr>
        <w:t xml:space="preserve"> for my findings</w:t>
      </w:r>
      <w:r>
        <w:t xml:space="preserve">. </w:t>
      </w:r>
      <w:r w:rsidR="00672242">
        <w:t>The summer after 6</w:t>
      </w:r>
      <w:r w:rsidR="00672242" w:rsidRPr="00672242">
        <w:rPr>
          <w:vertAlign w:val="superscript"/>
        </w:rPr>
        <w:t>th</w:t>
      </w:r>
      <w:r w:rsidR="00672242">
        <w:t xml:space="preserve"> grade stands out as a period in which the loss rate difference between DL students and the national average seemed especially large (Figure 3); this may have contributed to the large dip in z-scores (Figure 1</w:t>
      </w:r>
      <w:r w:rsidR="00910F6F">
        <w:t>)</w:t>
      </w:r>
      <w:r w:rsidR="00672242">
        <w:t xml:space="preserve">. </w:t>
      </w:r>
      <w:r>
        <w:t xml:space="preserve">In </w:t>
      </w:r>
      <w:r w:rsidR="005C6D05">
        <w:t xml:space="preserve">English </w:t>
      </w:r>
      <w:r>
        <w:t xml:space="preserve">reading, both DL and non-DL students grew slightly </w:t>
      </w:r>
      <w:r w:rsidR="00FD7956">
        <w:t>less</w:t>
      </w:r>
      <w:r>
        <w:t xml:space="preserve"> than the national average during the academic years; however, both groups (DL students in particular) experienced significantly less summer</w:t>
      </w:r>
      <w:r w:rsidR="00911880">
        <w:t xml:space="preserve"> English reading</w:t>
      </w:r>
      <w:r>
        <w:t xml:space="preserve"> loss than the national average, which would explain their </w:t>
      </w:r>
      <w:r w:rsidR="00446781">
        <w:t xml:space="preserve">approaching the national </w:t>
      </w:r>
      <w:r w:rsidR="00063629">
        <w:t xml:space="preserve">achievement </w:t>
      </w:r>
      <w:r w:rsidR="00446781">
        <w:t xml:space="preserve">average </w:t>
      </w:r>
      <w:r>
        <w:t xml:space="preserve">across grades. </w:t>
      </w:r>
      <w:r w:rsidR="00D709EC">
        <w:t>Turning to</w:t>
      </w:r>
      <w:r w:rsidR="006B2077">
        <w:t xml:space="preserve"> ever-EL students in </w:t>
      </w:r>
      <w:r w:rsidR="00D709EC">
        <w:t xml:space="preserve">my </w:t>
      </w:r>
      <w:r w:rsidR="006B2077">
        <w:t>sample (Table 4)</w:t>
      </w:r>
      <w:r w:rsidR="00D709EC">
        <w:t>, the magnitude</w:t>
      </w:r>
      <w:r w:rsidR="00CD34AE">
        <w:t>s</w:t>
      </w:r>
      <w:r w:rsidR="00D709EC">
        <w:t xml:space="preserve"> of school-year growth estimates are </w:t>
      </w:r>
      <w:proofErr w:type="gramStart"/>
      <w:r w:rsidR="00D709EC">
        <w:t>similar to</w:t>
      </w:r>
      <w:proofErr w:type="gramEnd"/>
      <w:r w:rsidR="00D709EC">
        <w:t xml:space="preserve"> the findings for 2</w:t>
      </w:r>
      <w:r w:rsidR="00D709EC" w:rsidRPr="00D709EC">
        <w:rPr>
          <w:vertAlign w:val="superscript"/>
        </w:rPr>
        <w:t>nd</w:t>
      </w:r>
      <w:r w:rsidR="00D709EC">
        <w:t>, 3</w:t>
      </w:r>
      <w:r w:rsidR="00D709EC" w:rsidRPr="00D709EC">
        <w:rPr>
          <w:vertAlign w:val="superscript"/>
        </w:rPr>
        <w:t>rd</w:t>
      </w:r>
      <w:r w:rsidR="00D709EC">
        <w:t>, and 4</w:t>
      </w:r>
      <w:r w:rsidR="00D709EC" w:rsidRPr="00D709EC">
        <w:rPr>
          <w:vertAlign w:val="superscript"/>
        </w:rPr>
        <w:t>th</w:t>
      </w:r>
      <w:r w:rsidR="00D709EC">
        <w:t xml:space="preserve"> grade from </w:t>
      </w:r>
      <w:r w:rsidR="000A55A0">
        <w:t>Johnson (2022)</w:t>
      </w:r>
      <w:r w:rsidR="00717101">
        <w:t>,</w:t>
      </w:r>
      <w:r w:rsidR="00D709EC">
        <w:t xml:space="preserve"> as are math summer loss </w:t>
      </w:r>
      <w:r w:rsidR="00D709EC">
        <w:lastRenderedPageBreak/>
        <w:t>rates between those grades</w:t>
      </w:r>
      <w:r w:rsidR="006B2077">
        <w:t>.</w:t>
      </w:r>
      <w:r w:rsidR="00D709EC">
        <w:t xml:space="preserve"> However, </w:t>
      </w:r>
      <w:r w:rsidR="000A55A0">
        <w:t>Johnson (2022)</w:t>
      </w:r>
      <w:r w:rsidR="00D709EC">
        <w:t xml:space="preserve"> reported significant summer reading loss for ever-ELs and other EL subgroups, while the ever-ELs in my sample experienced very little setback. </w:t>
      </w:r>
      <w:r w:rsidR="00CD34AE">
        <w:t xml:space="preserve">As I discuss later in this section, this may be attributed to my partner districts’ supports for summer reading. </w:t>
      </w:r>
    </w:p>
    <w:p w14:paraId="4D9609DF" w14:textId="67641DBB" w:rsidR="00512E4B" w:rsidRDefault="007E3BBC" w:rsidP="004B52F3">
      <w:pPr>
        <w:spacing w:line="480" w:lineRule="auto"/>
        <w:ind w:firstLine="720"/>
      </w:pPr>
      <w:bookmarkStart w:id="16" w:name="_Hlk139544516"/>
      <w:r>
        <w:t>Focusing only on academic years, my</w:t>
      </w:r>
      <w:r w:rsidR="00512E4B">
        <w:t xml:space="preserve"> descriptive findings corroborate those of previous </w:t>
      </w:r>
      <w:r>
        <w:t xml:space="preserve">experimental and descriptive </w:t>
      </w:r>
      <w:r w:rsidR="00512E4B">
        <w:t>studies</w:t>
      </w:r>
      <w:r>
        <w:t>;</w:t>
      </w:r>
      <w:r w:rsidR="00512E4B">
        <w:t xml:space="preserve"> that is, students in dual language education grow at least as much as, if not more than, their peers in other programs</w:t>
      </w:r>
      <w:r>
        <w:t xml:space="preserve"> while school is in session</w:t>
      </w:r>
      <w:r w:rsidR="00512E4B">
        <w:t>.</w:t>
      </w:r>
      <w:r>
        <w:t xml:space="preserve"> Dual language programs and educators deserve credit for the amount of learning they foster, which is extraordinary, especially considering the many hardships faced by </w:t>
      </w:r>
      <w:proofErr w:type="gramStart"/>
      <w:r>
        <w:t>historically-marginalized</w:t>
      </w:r>
      <w:proofErr w:type="gramEnd"/>
      <w:r>
        <w:t xml:space="preserve"> students, their families, and their communities. It is when services are removed, while students are away from their dual language program in the summer, that the benefits of the program are reduced or undone. </w:t>
      </w:r>
    </w:p>
    <w:bookmarkEnd w:id="16"/>
    <w:p w14:paraId="31E87D51" w14:textId="27A6ED5D" w:rsidR="00EA2023" w:rsidRDefault="008011DE" w:rsidP="004B52F3">
      <w:pPr>
        <w:spacing w:line="480" w:lineRule="auto"/>
      </w:pPr>
      <w:r>
        <w:tab/>
      </w:r>
      <w:r w:rsidR="0089046F">
        <w:t>The</w:t>
      </w:r>
      <w:r>
        <w:t xml:space="preserve"> analysis of seasonal learning patterns in this study contributes significantly to the extant literature on dual language education. </w:t>
      </w:r>
      <w:r w:rsidR="00D076E2">
        <w:t>Prior research tended to find participation in dual language instruction to have positive associations with (or impact on) downstream a</w:t>
      </w:r>
      <w:r w:rsidR="00063629">
        <w:t>chievement relative to their state average</w:t>
      </w:r>
      <w:r w:rsidR="00D076E2">
        <w:t xml:space="preserve"> or improvements in </w:t>
      </w:r>
      <w:r w:rsidR="00063629">
        <w:t>z-scores</w:t>
      </w:r>
      <w:r w:rsidR="00D076E2">
        <w:t xml:space="preserve"> across grades, but none was able to </w:t>
      </w:r>
      <w:r w:rsidR="0089046F">
        <w:t xml:space="preserve">decompose these general patterns. </w:t>
      </w:r>
      <w:r w:rsidR="0089046F" w:rsidRPr="00910F6F">
        <w:rPr>
          <w:color w:val="FF0000"/>
        </w:rPr>
        <w:t xml:space="preserve">This study shows that academic-year growth and summer maintenance are two key issues that merit consideration by </w:t>
      </w:r>
      <w:r w:rsidR="00604501" w:rsidRPr="00910F6F">
        <w:rPr>
          <w:color w:val="FF0000"/>
        </w:rPr>
        <w:t>my partner district</w:t>
      </w:r>
      <w:r w:rsidR="00354A09">
        <w:rPr>
          <w:color w:val="FF0000"/>
        </w:rPr>
        <w:t>, and o</w:t>
      </w:r>
      <w:r w:rsidR="00910F6F" w:rsidRPr="00910F6F">
        <w:rPr>
          <w:color w:val="FF0000"/>
        </w:rPr>
        <w:t xml:space="preserve">ther districts may </w:t>
      </w:r>
      <w:r w:rsidR="00354A09">
        <w:rPr>
          <w:color w:val="FF0000"/>
        </w:rPr>
        <w:t>wish to address summer learning maintenance as well</w:t>
      </w:r>
      <w:r w:rsidR="0089046F" w:rsidRPr="00910F6F">
        <w:rPr>
          <w:color w:val="FF0000"/>
        </w:rPr>
        <w:t xml:space="preserve">. </w:t>
      </w:r>
      <w:bookmarkStart w:id="17" w:name="_Hlk139545450"/>
      <w:r w:rsidR="00A95F6D">
        <w:t xml:space="preserve">Districts and schools should be commended for what they accomplish during the school years. But learning and achievement are often evaluated in a cumulative manner. When students leave the K-12 education system, colleges and employers evaluate the knowledge and skills accumulated up to that time, with no distinction for </w:t>
      </w:r>
      <w:proofErr w:type="gramStart"/>
      <w:r w:rsidR="00A95F6D">
        <w:t>school-year</w:t>
      </w:r>
      <w:proofErr w:type="gramEnd"/>
      <w:r w:rsidR="00A95F6D">
        <w:t xml:space="preserve"> and summer progress.</w:t>
      </w:r>
      <w:r w:rsidR="00506A41">
        <w:t xml:space="preserve"> Separately identifying </w:t>
      </w:r>
      <w:proofErr w:type="gramStart"/>
      <w:r w:rsidR="00506A41">
        <w:t>school-year</w:t>
      </w:r>
      <w:proofErr w:type="gramEnd"/>
      <w:r w:rsidR="00506A41">
        <w:t xml:space="preserve"> and summer </w:t>
      </w:r>
      <w:r w:rsidR="00506A41">
        <w:lastRenderedPageBreak/>
        <w:t>growth rates is vital for informing policy and practice because periods of loss can set students back and ultimately hinder their postsecondary opportunities.</w:t>
      </w:r>
      <w:r w:rsidR="00A95F6D">
        <w:t xml:space="preserve"> </w:t>
      </w:r>
      <w:r w:rsidR="00EA2023">
        <w:t xml:space="preserve">In designing programs to support vulnerable </w:t>
      </w:r>
      <w:r w:rsidR="00645479">
        <w:t xml:space="preserve">and marginalized </w:t>
      </w:r>
      <w:r w:rsidR="00EA2023">
        <w:t>student populations, policymakers and educators should consider ways to maximize learning not only within academic years. Summers can and should be leveraged to reinforce learning gain</w:t>
      </w:r>
      <w:r w:rsidR="00DE65D6">
        <w:t>s</w:t>
      </w:r>
      <w:r w:rsidR="00EA2023">
        <w:t xml:space="preserve">. </w:t>
      </w:r>
    </w:p>
    <w:bookmarkEnd w:id="17"/>
    <w:p w14:paraId="28D52262" w14:textId="5E569B06" w:rsidR="004C6AAA" w:rsidRDefault="00EA2023" w:rsidP="004B52F3">
      <w:pPr>
        <w:spacing w:line="480" w:lineRule="auto"/>
        <w:ind w:firstLine="720"/>
      </w:pPr>
      <w:r>
        <w:t xml:space="preserve">In my research partner district, </w:t>
      </w:r>
      <w:r w:rsidR="002D37A9">
        <w:t xml:space="preserve">Hispanic DL </w:t>
      </w:r>
      <w:r w:rsidR="00EB2318">
        <w:t xml:space="preserve">students experienced little summer loss in </w:t>
      </w:r>
      <w:r w:rsidR="00DE65D6">
        <w:t xml:space="preserve">English </w:t>
      </w:r>
      <w:r w:rsidR="00EB2318">
        <w:t xml:space="preserve">reading in each of the early grades. The districts </w:t>
      </w:r>
      <w:r w:rsidR="00063629">
        <w:t>might</w:t>
      </w:r>
      <w:r w:rsidR="00EB2318">
        <w:t xml:space="preserve"> reflect on its successful practices that led to minimal reading summer loss and share with other programs. In math, however, DL students, </w:t>
      </w:r>
      <w:r w:rsidR="007A1FDD">
        <w:t xml:space="preserve">who </w:t>
      </w:r>
      <w:r w:rsidR="002B5EC0">
        <w:t xml:space="preserve">appeared to </w:t>
      </w:r>
      <w:r w:rsidR="007A1FDD">
        <w:t>gr</w:t>
      </w:r>
      <w:r w:rsidR="002B5EC0">
        <w:t>o</w:t>
      </w:r>
      <w:r w:rsidR="007A1FDD">
        <w:t xml:space="preserve">w </w:t>
      </w:r>
      <w:r w:rsidR="00615A80">
        <w:t>more</w:t>
      </w:r>
      <w:r w:rsidR="007A1FDD">
        <w:t xml:space="preserve"> during the school year,</w:t>
      </w:r>
      <w:r w:rsidR="002D37A9">
        <w:t xml:space="preserve"> </w:t>
      </w:r>
      <w:r w:rsidR="002B5EC0">
        <w:t>seemed to experience</w:t>
      </w:r>
      <w:r w:rsidR="002D37A9">
        <w:t xml:space="preserve"> significantly larger summer loss compared to Hispanic non-DL students across 2</w:t>
      </w:r>
      <w:r w:rsidR="002D37A9" w:rsidRPr="002D37A9">
        <w:rPr>
          <w:vertAlign w:val="superscript"/>
        </w:rPr>
        <w:t>nd</w:t>
      </w:r>
      <w:r w:rsidR="002D37A9">
        <w:t xml:space="preserve"> to 5</w:t>
      </w:r>
      <w:r w:rsidR="002D37A9" w:rsidRPr="002D37A9">
        <w:rPr>
          <w:vertAlign w:val="superscript"/>
        </w:rPr>
        <w:t>th</w:t>
      </w:r>
      <w:r w:rsidR="002D37A9">
        <w:t xml:space="preserve"> grade. </w:t>
      </w:r>
      <w:r w:rsidR="007A1FDD">
        <w:t>This is consistent with patterns that previous research observed for students across the natio</w:t>
      </w:r>
      <w:r>
        <w:t>n: s</w:t>
      </w:r>
      <w:r w:rsidR="007A1FDD">
        <w:t xml:space="preserve">tudents who grow more during the school year </w:t>
      </w:r>
      <w:r w:rsidR="00E40866">
        <w:t xml:space="preserve">compared to their peers also </w:t>
      </w:r>
      <w:r w:rsidR="007A1FDD">
        <w:t xml:space="preserve">tend to lose more </w:t>
      </w:r>
      <w:r w:rsidR="00DE65D6">
        <w:t>during</w:t>
      </w:r>
      <w:r w:rsidR="007A1FDD">
        <w:t xml:space="preserve"> summer</w:t>
      </w:r>
      <w:r>
        <w:t xml:space="preserve"> (Kuhfeld, 2019)</w:t>
      </w:r>
      <w:r w:rsidR="007A1FDD">
        <w:t>.</w:t>
      </w:r>
      <w:r w:rsidR="00E40866">
        <w:t xml:space="preserve"> T</w:t>
      </w:r>
      <w:r w:rsidR="007A1FDD">
        <w:t xml:space="preserve">he district </w:t>
      </w:r>
      <w:r>
        <w:t>aims to break from this national trend and is</w:t>
      </w:r>
      <w:r w:rsidR="007A1FDD">
        <w:t xml:space="preserve"> considering aspects of DL that could be improved to </w:t>
      </w:r>
      <w:r w:rsidR="004C6AAA">
        <w:t>help students sustain their learning gains</w:t>
      </w:r>
      <w:r w:rsidR="007A1FDD">
        <w:t>.</w:t>
      </w:r>
      <w:r w:rsidR="00E40866">
        <w:t xml:space="preserve"> </w:t>
      </w:r>
      <w:r w:rsidR="004C6AAA">
        <w:t xml:space="preserve">Many current district efforts focus on supporting summer reading, and they seem to be paying off, as reflected by the very low reading summer loss rates. In contrast, </w:t>
      </w:r>
      <w:r w:rsidR="00E40866">
        <w:t>no</w:t>
      </w:r>
      <w:r w:rsidR="004C6AAA">
        <w:t xml:space="preserve"> organized</w:t>
      </w:r>
      <w:r w:rsidR="00E40866">
        <w:t xml:space="preserve"> curriculum or materials </w:t>
      </w:r>
      <w:r w:rsidR="004C6AAA">
        <w:t>are</w:t>
      </w:r>
      <w:r>
        <w:t xml:space="preserve"> </w:t>
      </w:r>
      <w:r w:rsidR="004C6AAA">
        <w:t xml:space="preserve">provided </w:t>
      </w:r>
      <w:r w:rsidR="00E40866">
        <w:t xml:space="preserve">for </w:t>
      </w:r>
      <w:r w:rsidR="004C6AAA">
        <w:t xml:space="preserve">summer </w:t>
      </w:r>
      <w:r w:rsidR="00E40866">
        <w:t>math</w:t>
      </w:r>
      <w:r w:rsidR="004C6AAA">
        <w:t xml:space="preserve"> learning</w:t>
      </w:r>
      <w:r w:rsidR="007A1FDD">
        <w:t xml:space="preserve">. </w:t>
      </w:r>
      <w:r>
        <w:t>A viable first step would be to m</w:t>
      </w:r>
      <w:r w:rsidR="004C6AAA">
        <w:t>ak</w:t>
      </w:r>
      <w:r>
        <w:t>e</w:t>
      </w:r>
      <w:r w:rsidR="004C6AAA">
        <w:t xml:space="preserve"> bilingual print or online materials available for students to work on at home or organizing regular review sessions with bilingual support from adults in the community. </w:t>
      </w:r>
      <w:r w:rsidR="00224EB5">
        <w:t>Upon seeing these findings, t</w:t>
      </w:r>
      <w:r>
        <w:t>he district’s EL and math departments have initiated discussions around</w:t>
      </w:r>
      <w:r w:rsidR="00224EB5">
        <w:t xml:space="preserve"> potential approaches to </w:t>
      </w:r>
      <w:r w:rsidR="002B5EC0">
        <w:t>minimize</w:t>
      </w:r>
      <w:r w:rsidR="00224EB5">
        <w:t xml:space="preserve"> math summer loss. </w:t>
      </w:r>
      <w:r>
        <w:t xml:space="preserve"> </w:t>
      </w:r>
      <w:r w:rsidR="004C6AAA">
        <w:t xml:space="preserve"> </w:t>
      </w:r>
    </w:p>
    <w:p w14:paraId="4737EE72" w14:textId="77777777" w:rsidR="00224EB5" w:rsidRPr="00FE4F4E" w:rsidRDefault="00224EB5" w:rsidP="004B52F3">
      <w:pPr>
        <w:spacing w:line="480" w:lineRule="auto"/>
        <w:rPr>
          <w:b/>
          <w:bCs/>
        </w:rPr>
      </w:pPr>
      <w:r w:rsidRPr="00FE4F4E">
        <w:rPr>
          <w:b/>
          <w:bCs/>
        </w:rPr>
        <w:t>Limitations</w:t>
      </w:r>
    </w:p>
    <w:p w14:paraId="7FCBDE2B" w14:textId="04C3C987" w:rsidR="00224EB5" w:rsidRDefault="00224EB5" w:rsidP="004B52F3">
      <w:pPr>
        <w:spacing w:line="480" w:lineRule="auto"/>
      </w:pPr>
      <w:r>
        <w:lastRenderedPageBreak/>
        <w:tab/>
        <w:t xml:space="preserve">The findings of this study should be interpreted </w:t>
      </w:r>
      <w:proofErr w:type="gramStart"/>
      <w:r>
        <w:t>in light of</w:t>
      </w:r>
      <w:proofErr w:type="gramEnd"/>
      <w:r>
        <w:t xml:space="preserve"> a few limitations. First, the data for this study come from a single district with a long history of serving a large Hispanic student population, the majority of whom were eligible for EL service at some point. Its Spanish-English </w:t>
      </w:r>
      <w:r w:rsidR="00771055">
        <w:t xml:space="preserve">DL </w:t>
      </w:r>
      <w:r>
        <w:t>is unique in many ways, including content instruction in Spanish across multiple subjects through middle school and into high school.</w:t>
      </w:r>
      <w:r w:rsidR="00771055">
        <w:t xml:space="preserve"> </w:t>
      </w:r>
      <w:r>
        <w:t xml:space="preserve">Due to the uniqueness of the programs and the study context, my findings may not generalize well to other districts with different student demographics or different approaches to program design or implementation. </w:t>
      </w:r>
    </w:p>
    <w:p w14:paraId="4D92A713" w14:textId="12C2AD89" w:rsidR="00224EB5" w:rsidRDefault="00224EB5" w:rsidP="004B52F3">
      <w:pPr>
        <w:spacing w:line="480" w:lineRule="auto"/>
      </w:pPr>
      <w:r>
        <w:tab/>
        <w:t xml:space="preserve">Second, the results of this study are descriptive and do not support causal inference. Some factors do alleviate concerns for selection bias to a certain extent (e.g., program eligibility applied to entire cohorts of students, and </w:t>
      </w:r>
      <w:r w:rsidR="002B5EC0">
        <w:t xml:space="preserve">participation was very high </w:t>
      </w:r>
      <w:r>
        <w:t xml:space="preserve">among Hispanic EL students in post-program cohorts). Still, the differences between participants and nonparticipants of dual language instruction should not be construed as causal estimates of program impact. </w:t>
      </w:r>
    </w:p>
    <w:p w14:paraId="0BA1E939" w14:textId="69C07712" w:rsidR="00224EB5" w:rsidRDefault="00771055" w:rsidP="00DE65D6">
      <w:pPr>
        <w:pStyle w:val="ListParagraph"/>
        <w:spacing w:line="480" w:lineRule="auto"/>
        <w:ind w:left="0" w:firstLine="720"/>
      </w:pPr>
      <w:bookmarkStart w:id="18" w:name="_Hlk85534657"/>
      <w:r>
        <w:t>Third</w:t>
      </w:r>
      <w:r w:rsidR="00224EB5">
        <w:t xml:space="preserve">, this study was not able to identify the mechanisms </w:t>
      </w:r>
      <w:r w:rsidR="002B5EC0">
        <w:t>driving achievement growth trends for DL and non-DL students</w:t>
      </w:r>
      <w:r w:rsidR="00224EB5">
        <w:t xml:space="preserve">. </w:t>
      </w:r>
      <w:r w:rsidR="00567571">
        <w:t xml:space="preserve">For instance, I was not able to distinguish the instructional environments and services (e.g., English-monolingual, transitional bilingual) for the non-DL students in my sample like Valentino and Reardon (2015) did. </w:t>
      </w:r>
      <w:r w:rsidR="004E4B78">
        <w:t xml:space="preserve">In addition, there is potential variability unaccounted for in this study, including school-level factors such as dual language program implementation and student-level factors such as Spanish and English language proficiency. </w:t>
      </w:r>
      <w:r w:rsidR="00C54323">
        <w:t>My hope is for this study to catalyze further research that</w:t>
      </w:r>
      <w:r w:rsidR="00224EB5">
        <w:t xml:space="preserve"> explain </w:t>
      </w:r>
      <w:r w:rsidR="00C54323">
        <w:t xml:space="preserve">the factors contributing to </w:t>
      </w:r>
      <w:r w:rsidR="002B5EC0">
        <w:t xml:space="preserve">disparities in achievement and </w:t>
      </w:r>
      <w:r w:rsidR="00224EB5">
        <w:t>identify effective strategies</w:t>
      </w:r>
      <w:r>
        <w:t xml:space="preserve"> for addressing th</w:t>
      </w:r>
      <w:r w:rsidR="00567571">
        <w:t>ose</w:t>
      </w:r>
      <w:r>
        <w:t xml:space="preserve"> disparities</w:t>
      </w:r>
      <w:r w:rsidR="004E4B78">
        <w:t xml:space="preserve"> </w:t>
      </w:r>
      <w:r w:rsidR="00347AA3">
        <w:t>and</w:t>
      </w:r>
      <w:r w:rsidR="004E4B78">
        <w:t xml:space="preserve"> facilitat</w:t>
      </w:r>
      <w:r w:rsidR="00347AA3">
        <w:t>ing</w:t>
      </w:r>
      <w:r w:rsidR="004E4B78">
        <w:t xml:space="preserve"> student growth</w:t>
      </w:r>
      <w:r>
        <w:t xml:space="preserve">. </w:t>
      </w:r>
    </w:p>
    <w:p w14:paraId="29C20979" w14:textId="1636E1C4" w:rsidR="00076EB5" w:rsidRPr="007B7495" w:rsidRDefault="00771055" w:rsidP="007B7495">
      <w:pPr>
        <w:spacing w:line="480" w:lineRule="auto"/>
        <w:ind w:firstLine="720"/>
      </w:pPr>
      <w:bookmarkStart w:id="19" w:name="_Hlk45621979"/>
      <w:bookmarkEnd w:id="18"/>
      <w:r w:rsidRPr="00771055">
        <w:t xml:space="preserve">Finally, this study focuses on math and </w:t>
      </w:r>
      <w:r w:rsidR="00C8680D">
        <w:t xml:space="preserve">English </w:t>
      </w:r>
      <w:r w:rsidRPr="00771055">
        <w:t xml:space="preserve">reading achievement and does not look at other key outcomes such as </w:t>
      </w:r>
      <w:r w:rsidR="00E205FA" w:rsidRPr="00771055">
        <w:t xml:space="preserve">Spanish proficiency and literacy, </w:t>
      </w:r>
      <w:r w:rsidRPr="00771055">
        <w:t xml:space="preserve">EL reclassification, or social </w:t>
      </w:r>
      <w:r w:rsidRPr="00771055">
        <w:lastRenderedPageBreak/>
        <w:t xml:space="preserve">emotional development. </w:t>
      </w:r>
      <w:r w:rsidR="00E205FA">
        <w:t>T</w:t>
      </w:r>
      <w:r w:rsidRPr="00771055">
        <w:t xml:space="preserve">hese outcomes are </w:t>
      </w:r>
      <w:r w:rsidR="00C8680D">
        <w:t xml:space="preserve">also </w:t>
      </w:r>
      <w:r w:rsidRPr="00771055">
        <w:t xml:space="preserve">crucial to students’ academic and overall wellbeing. </w:t>
      </w:r>
      <w:r w:rsidR="00E205FA">
        <w:t>The relation between DL and Spanish proficiency and literacy especially merit rigorous research since bilingualism and biliteracy</w:t>
      </w:r>
      <w:r w:rsidR="007060C8">
        <w:t>—potential benefits unique to long-term dual language instruction and unfound in other EL service programs—</w:t>
      </w:r>
      <w:r w:rsidR="00E205FA">
        <w:t xml:space="preserve">are at the center of DL’s mission and purpose. </w:t>
      </w:r>
      <w:bookmarkEnd w:id="19"/>
    </w:p>
    <w:p w14:paraId="1FD4E1ED" w14:textId="572461A0" w:rsidR="00204132" w:rsidRPr="00204132" w:rsidRDefault="00204132" w:rsidP="004B52F3">
      <w:pPr>
        <w:spacing w:line="480" w:lineRule="auto"/>
        <w:jc w:val="center"/>
        <w:rPr>
          <w:b/>
          <w:bCs/>
        </w:rPr>
      </w:pPr>
      <w:r>
        <w:rPr>
          <w:b/>
          <w:bCs/>
        </w:rPr>
        <w:t>Conclusion</w:t>
      </w:r>
    </w:p>
    <w:p w14:paraId="49A09EAA" w14:textId="7AD1DB02" w:rsidR="00466071" w:rsidRDefault="00CD074F" w:rsidP="004B52F3">
      <w:pPr>
        <w:spacing w:line="480" w:lineRule="auto"/>
      </w:pPr>
      <w:r>
        <w:tab/>
      </w:r>
      <w:r w:rsidR="000F3AA1">
        <w:t>This</w:t>
      </w:r>
      <w:r>
        <w:t xml:space="preserve"> study compares the academic growth of Hispanic students who did and did not participate in Spanish-English dual language instruction. </w:t>
      </w:r>
      <w:r w:rsidR="009F7CA3">
        <w:t>P</w:t>
      </w:r>
      <w:r w:rsidR="00EC2D04">
        <w:t xml:space="preserve">rior research was only able to compare achievement </w:t>
      </w:r>
      <w:r w:rsidR="009F7CA3">
        <w:t xml:space="preserve">status </w:t>
      </w:r>
      <w:r w:rsidR="00EC2D04">
        <w:t>or explore changes</w:t>
      </w:r>
      <w:r w:rsidR="009F7CA3">
        <w:t xml:space="preserve"> over time relative to other students.</w:t>
      </w:r>
      <w:r w:rsidR="00EC2D04">
        <w:t xml:space="preserve"> </w:t>
      </w:r>
      <w:r w:rsidR="009F7CA3">
        <w:t>Building on this body of research, I</w:t>
      </w:r>
      <w:r w:rsidR="00B766FA">
        <w:t xml:space="preserve"> show that seasonal patterns of learning differ between participants and nonparticipants of dual language instruction. </w:t>
      </w:r>
      <w:r w:rsidR="000F3AA1">
        <w:t>As such, t</w:t>
      </w:r>
      <w:r w:rsidR="009F7CA3">
        <w:t>his</w:t>
      </w:r>
      <w:r w:rsidR="00B766FA">
        <w:t xml:space="preserve"> study is the first to </w:t>
      </w:r>
      <w:r w:rsidR="00EC2D04">
        <w:t>demonstrate</w:t>
      </w:r>
      <w:r w:rsidR="00B766FA">
        <w:t>s</w:t>
      </w:r>
      <w:r w:rsidR="00EC2D04">
        <w:t xml:space="preserve"> </w:t>
      </w:r>
      <w:r w:rsidR="00EC2D04" w:rsidRPr="00EC2D04">
        <w:rPr>
          <w:i/>
          <w:iCs/>
        </w:rPr>
        <w:t>how</w:t>
      </w:r>
      <w:r w:rsidR="00EC2D04">
        <w:t xml:space="preserve"> achievement gaps develop within and across grades. </w:t>
      </w:r>
    </w:p>
    <w:p w14:paraId="2B252639" w14:textId="275BCEC0" w:rsidR="00EC2D04" w:rsidRDefault="00466071" w:rsidP="004B52F3">
      <w:pPr>
        <w:spacing w:line="480" w:lineRule="auto"/>
        <w:ind w:firstLine="720"/>
      </w:pPr>
      <w:r>
        <w:t>As dual language programs continue to develop across the nation, program implementation and evaluation should consider academic growth, in addition to static achievement</w:t>
      </w:r>
      <w:r w:rsidR="00B0551D">
        <w:t xml:space="preserve"> scores</w:t>
      </w:r>
      <w:r>
        <w:t xml:space="preserve">, as a key outcome. </w:t>
      </w:r>
      <w:proofErr w:type="gramStart"/>
      <w:r>
        <w:t>In order to</w:t>
      </w:r>
      <w:proofErr w:type="gramEnd"/>
      <w:r>
        <w:t xml:space="preserve"> maximize learning throughout the student’s academic trajectory, progress needs to be monitored through regular formal or informal assessments both within and across grades. </w:t>
      </w:r>
      <w:r w:rsidR="00B26530">
        <w:t xml:space="preserve">This requires collaboration between teachers across subjects and grade levels, as well as unwavering support from school- and district-level leadership. </w:t>
      </w:r>
      <w:r w:rsidR="00856E0C">
        <w:t>Students’ families and adults in the community are</w:t>
      </w:r>
      <w:r w:rsidR="00293C57">
        <w:t xml:space="preserve"> also</w:t>
      </w:r>
      <w:r w:rsidR="00856E0C">
        <w:t xml:space="preserve"> indispensable resources for maintaining learning and growth during out-of-school time</w:t>
      </w:r>
      <w:r w:rsidR="00B35FB8">
        <w:t>, such as summer breaks</w:t>
      </w:r>
      <w:r w:rsidR="00856E0C">
        <w:t xml:space="preserve">. </w:t>
      </w:r>
    </w:p>
    <w:p w14:paraId="5414D2A1" w14:textId="21BFC622" w:rsidR="00D17AD4" w:rsidRDefault="00DA6EC5" w:rsidP="00C73F6F">
      <w:pPr>
        <w:spacing w:line="480" w:lineRule="auto"/>
        <w:ind w:firstLine="720"/>
      </w:pPr>
      <w:r w:rsidRPr="00B766FA">
        <w:t xml:space="preserve">In the spirit of </w:t>
      </w:r>
      <w:proofErr w:type="spellStart"/>
      <w:r w:rsidRPr="00B766FA">
        <w:t>Cast</w:t>
      </w:r>
      <w:r w:rsidR="00457961" w:rsidRPr="00B766FA">
        <w:t>a</w:t>
      </w:r>
      <w:r w:rsidR="00DE65D6">
        <w:rPr>
          <w:rFonts w:cs="Times New Roman"/>
        </w:rPr>
        <w:t>ñ</w:t>
      </w:r>
      <w:r w:rsidRPr="00B766FA">
        <w:t>eda</w:t>
      </w:r>
      <w:proofErr w:type="spellEnd"/>
      <w:r w:rsidRPr="00B766FA">
        <w:t xml:space="preserve"> v. Pickard (19</w:t>
      </w:r>
      <w:r w:rsidR="00B766FA" w:rsidRPr="00B766FA">
        <w:t>81</w:t>
      </w:r>
      <w:r w:rsidRPr="00B766FA">
        <w:t xml:space="preserve">), as with all other programs that serve ELs and other </w:t>
      </w:r>
      <w:r w:rsidR="00B0551D">
        <w:t>marginalized</w:t>
      </w:r>
      <w:r w:rsidRPr="00B766FA">
        <w:t xml:space="preserve"> student populations, dual language programs should be </w:t>
      </w:r>
      <w:r w:rsidR="00DE65D6">
        <w:t>examined</w:t>
      </w:r>
      <w:r w:rsidRPr="00B766FA">
        <w:t>, formally or informally, on a regular basis.</w:t>
      </w:r>
      <w:r w:rsidR="004B5214" w:rsidRPr="00DA6EC5">
        <w:rPr>
          <w:color w:val="7030A0"/>
        </w:rPr>
        <w:t xml:space="preserve"> </w:t>
      </w:r>
      <w:r w:rsidR="00802046" w:rsidRPr="00802046">
        <w:t xml:space="preserve">Program implementation needs to be interrogated for equity in </w:t>
      </w:r>
      <w:r w:rsidR="00802046" w:rsidRPr="00802046">
        <w:lastRenderedPageBreak/>
        <w:t xml:space="preserve">opportunities to learn and key outcomes like academic growth. </w:t>
      </w:r>
      <w:r w:rsidR="0056119C" w:rsidRPr="00802046">
        <w:t>As Vald</w:t>
      </w:r>
      <w:r w:rsidR="00EB14B6">
        <w:t>é</w:t>
      </w:r>
      <w:r w:rsidR="0056119C" w:rsidRPr="00802046">
        <w:t>s (</w:t>
      </w:r>
      <w:r w:rsidR="00B766FA" w:rsidRPr="00802046">
        <w:t>2018</w:t>
      </w:r>
      <w:r w:rsidR="0056119C" w:rsidRPr="00802046">
        <w:t xml:space="preserve">) </w:t>
      </w:r>
      <w:r w:rsidR="00757CE8">
        <w:t>and Ch</w:t>
      </w:r>
      <w:r w:rsidR="00757CE8">
        <w:rPr>
          <w:rFonts w:cs="Times New Roman"/>
        </w:rPr>
        <w:t>á</w:t>
      </w:r>
      <w:r w:rsidR="00757CE8">
        <w:t xml:space="preserve">vez-Moreno (2021) </w:t>
      </w:r>
      <w:r w:rsidR="00B766FA" w:rsidRPr="00802046">
        <w:t>pointed out</w:t>
      </w:r>
      <w:r w:rsidR="0056119C" w:rsidRPr="00802046">
        <w:t>,</w:t>
      </w:r>
      <w:r w:rsidR="00B766FA" w:rsidRPr="00802046">
        <w:t xml:space="preserve"> </w:t>
      </w:r>
      <w:r w:rsidR="00802046" w:rsidRPr="00802046">
        <w:t>dual language educators are charged with the critical task of managing the resources that diverse groups of students bring from their homes and communities</w:t>
      </w:r>
      <w:r w:rsidR="00757CE8">
        <w:t xml:space="preserve"> and the resources to which ELs are entitled through federal education policy</w:t>
      </w:r>
      <w:r w:rsidR="00802046">
        <w:rPr>
          <w:color w:val="7030A0"/>
        </w:rPr>
        <w:t xml:space="preserve">. </w:t>
      </w:r>
      <w:r w:rsidR="00802046">
        <w:t xml:space="preserve">To continuously evaluate and improve </w:t>
      </w:r>
      <w:r w:rsidR="00814CA9">
        <w:t>dual language</w:t>
      </w:r>
      <w:r w:rsidR="00802046">
        <w:t xml:space="preserve"> program</w:t>
      </w:r>
      <w:r w:rsidR="00814CA9">
        <w:t>s</w:t>
      </w:r>
      <w:r w:rsidR="00802046">
        <w:t xml:space="preserve"> in an iterative fashion, e</w:t>
      </w:r>
      <w:r w:rsidR="004B5214">
        <w:t xml:space="preserve">xperts on literacy, content areas, language acquisition, and data </w:t>
      </w:r>
      <w:r w:rsidR="002F4D2F">
        <w:t xml:space="preserve">analysis </w:t>
      </w:r>
      <w:r w:rsidR="004B5214">
        <w:t xml:space="preserve">all need to work together. </w:t>
      </w:r>
      <w:bookmarkStart w:id="20" w:name="_Hlk49343972"/>
      <w:r w:rsidR="000B7624">
        <w:t xml:space="preserve">This </w:t>
      </w:r>
      <w:r w:rsidR="00814CA9">
        <w:t xml:space="preserve">research partnership is an example of a collaborative effort to study and improve dual language education. </w:t>
      </w:r>
      <w:bookmarkEnd w:id="20"/>
      <w:r w:rsidR="00157B99">
        <w:t xml:space="preserve">I hope this study </w:t>
      </w:r>
      <w:r w:rsidR="00874B31">
        <w:t>contributes to scholarly discussions that lead to more</w:t>
      </w:r>
      <w:r w:rsidR="00157B99">
        <w:t xml:space="preserve"> </w:t>
      </w:r>
      <w:r w:rsidR="00D65FF8">
        <w:t>research collaborations for improving learning opportunities and outcomes for diverse student populations.</w:t>
      </w:r>
    </w:p>
    <w:p w14:paraId="3AFFF3A4" w14:textId="5B33F1EE" w:rsidR="000148F2" w:rsidRDefault="000148F2" w:rsidP="000148F2">
      <w:pPr>
        <w:spacing w:line="480" w:lineRule="auto"/>
        <w:jc w:val="center"/>
        <w:rPr>
          <w:b/>
          <w:bCs/>
        </w:rPr>
      </w:pPr>
      <w:r>
        <w:rPr>
          <w:b/>
          <w:bCs/>
        </w:rPr>
        <w:t>Notes</w:t>
      </w:r>
    </w:p>
    <w:p w14:paraId="568DA230" w14:textId="0D6294F8" w:rsidR="00F318A5" w:rsidRDefault="00F318A5" w:rsidP="00B5033B">
      <w:pPr>
        <w:pStyle w:val="PlainText"/>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D60706">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The term “Hispanic” is used throughout this paper because </w:t>
      </w:r>
      <w:r w:rsidR="003506C5">
        <w:rPr>
          <w:rFonts w:ascii="Times New Roman" w:hAnsi="Times New Roman" w:cs="Times New Roman"/>
          <w:sz w:val="24"/>
          <w:szCs w:val="24"/>
        </w:rPr>
        <w:t xml:space="preserve">the partner school district used this term in their </w:t>
      </w:r>
      <w:r>
        <w:rPr>
          <w:rFonts w:ascii="Times New Roman" w:hAnsi="Times New Roman" w:cs="Times New Roman"/>
          <w:sz w:val="24"/>
          <w:szCs w:val="24"/>
        </w:rPr>
        <w:t>administrative data shared with me for this study</w:t>
      </w:r>
      <w:r w:rsidR="003506C5">
        <w:rPr>
          <w:rFonts w:ascii="Times New Roman" w:hAnsi="Times New Roman" w:cs="Times New Roman"/>
          <w:sz w:val="24"/>
          <w:szCs w:val="24"/>
        </w:rPr>
        <w:t>; it is also the race/ethnicity category used by the National Center for Education Statistics</w:t>
      </w:r>
      <w:r>
        <w:rPr>
          <w:rFonts w:ascii="Times New Roman" w:hAnsi="Times New Roman" w:cs="Times New Roman"/>
          <w:sz w:val="24"/>
          <w:szCs w:val="24"/>
        </w:rPr>
        <w:t>. I acknowledge the limitations of this term in reflecting students’</w:t>
      </w:r>
      <w:r w:rsidR="003506C5" w:rsidRPr="003506C5">
        <w:rPr>
          <w:rFonts w:ascii="Times New Roman" w:hAnsi="Times New Roman" w:cs="Times New Roman"/>
          <w:sz w:val="24"/>
          <w:szCs w:val="24"/>
        </w:rPr>
        <w:t xml:space="preserve"> </w:t>
      </w:r>
      <w:r w:rsidR="003506C5">
        <w:rPr>
          <w:rFonts w:ascii="Times New Roman" w:hAnsi="Times New Roman" w:cs="Times New Roman"/>
          <w:sz w:val="24"/>
          <w:szCs w:val="24"/>
        </w:rPr>
        <w:t>individual racial/ethnic identity. Some students may have preferred “Latinx” or more specific identities such as “</w:t>
      </w:r>
      <w:proofErr w:type="gramStart"/>
      <w:r w:rsidR="003506C5">
        <w:rPr>
          <w:rFonts w:ascii="Times New Roman" w:hAnsi="Times New Roman" w:cs="Times New Roman"/>
          <w:sz w:val="24"/>
          <w:szCs w:val="24"/>
        </w:rPr>
        <w:t>Mexican-American</w:t>
      </w:r>
      <w:proofErr w:type="gramEnd"/>
      <w:r w:rsidR="003506C5">
        <w:rPr>
          <w:rFonts w:ascii="Times New Roman" w:hAnsi="Times New Roman" w:cs="Times New Roman"/>
          <w:sz w:val="24"/>
          <w:szCs w:val="24"/>
        </w:rPr>
        <w:t>.”</w:t>
      </w:r>
      <w:r>
        <w:rPr>
          <w:rFonts w:ascii="Times New Roman" w:hAnsi="Times New Roman" w:cs="Times New Roman"/>
          <w:sz w:val="24"/>
          <w:szCs w:val="24"/>
        </w:rPr>
        <w:t xml:space="preserve"> I did not have access to individual students and was not able to collect </w:t>
      </w:r>
      <w:r w:rsidR="003506C5">
        <w:rPr>
          <w:rFonts w:ascii="Times New Roman" w:hAnsi="Times New Roman" w:cs="Times New Roman"/>
          <w:sz w:val="24"/>
          <w:szCs w:val="24"/>
        </w:rPr>
        <w:t>data on their preferred categories</w:t>
      </w:r>
      <w:r>
        <w:rPr>
          <w:rFonts w:ascii="Times New Roman" w:hAnsi="Times New Roman" w:cs="Times New Roman"/>
          <w:sz w:val="24"/>
          <w:szCs w:val="24"/>
        </w:rPr>
        <w:t xml:space="preserve">. </w:t>
      </w:r>
      <w:r w:rsidR="003506C5">
        <w:rPr>
          <w:rFonts w:ascii="Times New Roman" w:hAnsi="Times New Roman" w:cs="Times New Roman"/>
          <w:sz w:val="24"/>
          <w:szCs w:val="24"/>
        </w:rPr>
        <w:t xml:space="preserve">Rather than making assumptions about individual students’ preferences, I am using “Hispanic” as does reporting by the school district and the federal government. </w:t>
      </w:r>
    </w:p>
    <w:p w14:paraId="48887EFE" w14:textId="284110B6" w:rsidR="00D60706" w:rsidRPr="00D60706" w:rsidRDefault="00D60706" w:rsidP="00B5033B">
      <w:pPr>
        <w:pStyle w:val="PlainText"/>
        <w:spacing w:line="480" w:lineRule="auto"/>
        <w:rPr>
          <w:rFonts w:ascii="Times New Roman" w:hAnsi="Times New Roman" w:cs="Times New Roman"/>
          <w:color w:val="FF0000"/>
          <w:sz w:val="24"/>
          <w:szCs w:val="24"/>
        </w:rPr>
      </w:pPr>
      <w:r w:rsidRPr="00D60706">
        <w:rPr>
          <w:rFonts w:ascii="Times New Roman" w:hAnsi="Times New Roman" w:cs="Times New Roman"/>
          <w:color w:val="FF0000"/>
          <w:sz w:val="24"/>
          <w:szCs w:val="24"/>
          <w:vertAlign w:val="superscript"/>
        </w:rPr>
        <w:t>2</w:t>
      </w:r>
      <w:r w:rsidRPr="00D60706">
        <w:rPr>
          <w:rFonts w:ascii="Times New Roman" w:hAnsi="Times New Roman" w:cs="Times New Roman"/>
          <w:color w:val="FF0000"/>
          <w:sz w:val="24"/>
          <w:szCs w:val="24"/>
        </w:rPr>
        <w:t xml:space="preserve"> </w:t>
      </w:r>
      <w:proofErr w:type="gramStart"/>
      <w:r w:rsidRPr="00D60706">
        <w:rPr>
          <w:rFonts w:ascii="Times New Roman" w:hAnsi="Times New Roman" w:cs="Times New Roman"/>
          <w:color w:val="FF0000"/>
          <w:sz w:val="24"/>
          <w:szCs w:val="24"/>
        </w:rPr>
        <w:t>Non-participants</w:t>
      </w:r>
      <w:proofErr w:type="gramEnd"/>
      <w:r w:rsidRPr="00D60706">
        <w:rPr>
          <w:rFonts w:ascii="Times New Roman" w:hAnsi="Times New Roman" w:cs="Times New Roman"/>
          <w:color w:val="FF0000"/>
          <w:sz w:val="24"/>
          <w:szCs w:val="24"/>
        </w:rPr>
        <w:t xml:space="preserve"> of dual language include students in general education and students receiving all other types of language services, such as transitional bilingual education and pull-out support. Details on the district’s language programs and services can be found in the Study Context section.  </w:t>
      </w:r>
    </w:p>
    <w:p w14:paraId="715DC038" w14:textId="671EFE74" w:rsidR="00B1186D" w:rsidRPr="00B1186D" w:rsidRDefault="00D60706" w:rsidP="00B5033B">
      <w:pPr>
        <w:pStyle w:val="PlainText"/>
        <w:spacing w:line="480" w:lineRule="auto"/>
        <w:rPr>
          <w:rFonts w:ascii="Times New Roman" w:hAnsi="Times New Roman" w:cs="Times New Roman"/>
          <w:sz w:val="24"/>
          <w:szCs w:val="24"/>
        </w:rPr>
      </w:pPr>
      <w:r>
        <w:rPr>
          <w:rFonts w:ascii="Times New Roman" w:hAnsi="Times New Roman" w:cs="Times New Roman"/>
          <w:sz w:val="24"/>
          <w:szCs w:val="24"/>
          <w:vertAlign w:val="superscript"/>
        </w:rPr>
        <w:lastRenderedPageBreak/>
        <w:t>3</w:t>
      </w:r>
      <w:r w:rsidR="00B1186D" w:rsidRPr="00B1186D">
        <w:rPr>
          <w:rFonts w:ascii="Times New Roman" w:hAnsi="Times New Roman" w:cs="Times New Roman"/>
          <w:sz w:val="24"/>
          <w:szCs w:val="24"/>
        </w:rPr>
        <w:t xml:space="preserve"> </w:t>
      </w:r>
      <w:r w:rsidR="008306BA">
        <w:rPr>
          <w:rFonts w:ascii="Times New Roman" w:hAnsi="Times New Roman" w:cs="Times New Roman"/>
          <w:sz w:val="24"/>
          <w:szCs w:val="24"/>
        </w:rPr>
        <w:t xml:space="preserve">In this paper, </w:t>
      </w:r>
      <w:r w:rsidR="00B1186D">
        <w:rPr>
          <w:rFonts w:ascii="Times New Roman" w:hAnsi="Times New Roman" w:cs="Times New Roman"/>
          <w:sz w:val="24"/>
          <w:szCs w:val="24"/>
        </w:rPr>
        <w:t>I</w:t>
      </w:r>
      <w:r w:rsidR="00B1186D" w:rsidRPr="00B1186D">
        <w:rPr>
          <w:rFonts w:ascii="Times New Roman" w:hAnsi="Times New Roman" w:cs="Times New Roman"/>
          <w:sz w:val="24"/>
          <w:szCs w:val="24"/>
        </w:rPr>
        <w:t xml:space="preserve"> use the federal term </w:t>
      </w:r>
      <w:r w:rsidR="008306BA">
        <w:rPr>
          <w:rFonts w:ascii="Times New Roman" w:hAnsi="Times New Roman" w:cs="Times New Roman"/>
          <w:sz w:val="24"/>
          <w:szCs w:val="24"/>
        </w:rPr>
        <w:t>“</w:t>
      </w:r>
      <w:r w:rsidR="00B1186D" w:rsidRPr="00B1186D">
        <w:rPr>
          <w:rFonts w:ascii="Times New Roman" w:hAnsi="Times New Roman" w:cs="Times New Roman"/>
          <w:sz w:val="24"/>
          <w:szCs w:val="24"/>
        </w:rPr>
        <w:t>English Learners</w:t>
      </w:r>
      <w:r w:rsidR="00B1186D">
        <w:rPr>
          <w:rFonts w:ascii="Times New Roman" w:hAnsi="Times New Roman" w:cs="Times New Roman"/>
          <w:sz w:val="24"/>
          <w:szCs w:val="24"/>
        </w:rPr>
        <w:t xml:space="preserve"> (ELs)</w:t>
      </w:r>
      <w:r w:rsidR="008306BA">
        <w:rPr>
          <w:rFonts w:ascii="Times New Roman" w:hAnsi="Times New Roman" w:cs="Times New Roman"/>
          <w:sz w:val="24"/>
          <w:szCs w:val="24"/>
        </w:rPr>
        <w:t>”</w:t>
      </w:r>
      <w:r w:rsidR="00B1186D" w:rsidRPr="00B1186D">
        <w:rPr>
          <w:rFonts w:ascii="Times New Roman" w:hAnsi="Times New Roman" w:cs="Times New Roman"/>
          <w:sz w:val="24"/>
          <w:szCs w:val="24"/>
        </w:rPr>
        <w:t xml:space="preserve"> to refer to students</w:t>
      </w:r>
      <w:r w:rsidR="00B1186D">
        <w:rPr>
          <w:rFonts w:ascii="Times New Roman" w:hAnsi="Times New Roman" w:cs="Times New Roman"/>
          <w:sz w:val="24"/>
          <w:szCs w:val="24"/>
        </w:rPr>
        <w:t xml:space="preserve"> who are eligible to receive services due to developing English proficiency. The term ELs uniquely identif</w:t>
      </w:r>
      <w:r w:rsidR="008306BA">
        <w:rPr>
          <w:rFonts w:ascii="Times New Roman" w:hAnsi="Times New Roman" w:cs="Times New Roman"/>
          <w:sz w:val="24"/>
          <w:szCs w:val="24"/>
        </w:rPr>
        <w:t>ies</w:t>
      </w:r>
      <w:r w:rsidR="00B1186D">
        <w:rPr>
          <w:rFonts w:ascii="Times New Roman" w:hAnsi="Times New Roman" w:cs="Times New Roman"/>
          <w:sz w:val="24"/>
          <w:szCs w:val="24"/>
        </w:rPr>
        <w:t xml:space="preserve"> students to whom the education system has legal obligations to provide linguistic supports. I</w:t>
      </w:r>
      <w:r w:rsidR="00B1186D" w:rsidRPr="00B1186D">
        <w:rPr>
          <w:rFonts w:ascii="Times New Roman" w:hAnsi="Times New Roman" w:cs="Times New Roman"/>
          <w:sz w:val="24"/>
          <w:szCs w:val="24"/>
        </w:rPr>
        <w:t xml:space="preserve"> acknowledge the linguistic and cultural assets students bring to their schools and classrooms as they develop their multilingual skills.</w:t>
      </w:r>
      <w:r w:rsidR="00B1186D">
        <w:rPr>
          <w:rFonts w:ascii="Times New Roman" w:hAnsi="Times New Roman" w:cs="Times New Roman"/>
          <w:sz w:val="24"/>
          <w:szCs w:val="24"/>
        </w:rPr>
        <w:t xml:space="preserve"> </w:t>
      </w:r>
      <w:r w:rsidR="008306BA">
        <w:rPr>
          <w:rFonts w:ascii="Times New Roman" w:hAnsi="Times New Roman" w:cs="Times New Roman"/>
          <w:sz w:val="24"/>
          <w:szCs w:val="24"/>
        </w:rPr>
        <w:t xml:space="preserve">Wherever eligibility for services is not a necessary distinction, I use the term “multilingual students.” </w:t>
      </w:r>
    </w:p>
    <w:p w14:paraId="4D02D510" w14:textId="4E78C51D" w:rsidR="00923E7D" w:rsidRDefault="00D60706" w:rsidP="00B5033B">
      <w:pPr>
        <w:pStyle w:val="PlainText"/>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sidR="000B47F9" w:rsidRPr="00BF4EB6">
        <w:rPr>
          <w:rFonts w:ascii="Times New Roman" w:hAnsi="Times New Roman" w:cs="Times New Roman"/>
          <w:sz w:val="24"/>
          <w:szCs w:val="24"/>
        </w:rPr>
        <w:t xml:space="preserve"> </w:t>
      </w:r>
      <w:r w:rsidR="00B0551D">
        <w:rPr>
          <w:rFonts w:ascii="Times New Roman" w:hAnsi="Times New Roman" w:cs="Times New Roman"/>
          <w:sz w:val="24"/>
          <w:szCs w:val="24"/>
        </w:rPr>
        <w:t xml:space="preserve">Eligibility for </w:t>
      </w:r>
      <w:r w:rsidR="00923E7D">
        <w:rPr>
          <w:rFonts w:ascii="Times New Roman" w:hAnsi="Times New Roman" w:cs="Times New Roman"/>
          <w:sz w:val="24"/>
          <w:szCs w:val="24"/>
        </w:rPr>
        <w:t xml:space="preserve">Special Education </w:t>
      </w:r>
      <w:r w:rsidR="00B0551D">
        <w:rPr>
          <w:rFonts w:ascii="Times New Roman" w:hAnsi="Times New Roman" w:cs="Times New Roman"/>
          <w:sz w:val="24"/>
          <w:szCs w:val="24"/>
        </w:rPr>
        <w:t xml:space="preserve">services </w:t>
      </w:r>
      <w:r w:rsidR="00923E7D">
        <w:rPr>
          <w:rFonts w:ascii="Times New Roman" w:hAnsi="Times New Roman" w:cs="Times New Roman"/>
          <w:sz w:val="24"/>
          <w:szCs w:val="24"/>
        </w:rPr>
        <w:t xml:space="preserve">is a proxy for students with disabilities. While “students with disabilities” is a more affirming term, many disabilities are not identified in the early grades, if ever during K-12. At the same time, many multilingual students can be mis-identified as having a disability, especially in the early grades. </w:t>
      </w:r>
      <w:r w:rsidR="00B0551D">
        <w:rPr>
          <w:rFonts w:ascii="Times New Roman" w:hAnsi="Times New Roman" w:cs="Times New Roman"/>
          <w:sz w:val="24"/>
          <w:szCs w:val="24"/>
        </w:rPr>
        <w:t xml:space="preserve">For these reasons, </w:t>
      </w:r>
      <w:r w:rsidR="00923E7D">
        <w:rPr>
          <w:rFonts w:ascii="Times New Roman" w:hAnsi="Times New Roman" w:cs="Times New Roman"/>
          <w:sz w:val="24"/>
          <w:szCs w:val="24"/>
        </w:rPr>
        <w:t>I use</w:t>
      </w:r>
      <w:r w:rsidR="00B0551D">
        <w:rPr>
          <w:rFonts w:ascii="Times New Roman" w:hAnsi="Times New Roman" w:cs="Times New Roman"/>
          <w:sz w:val="24"/>
          <w:szCs w:val="24"/>
        </w:rPr>
        <w:t xml:space="preserve"> the</w:t>
      </w:r>
      <w:r w:rsidR="00923E7D">
        <w:rPr>
          <w:rFonts w:ascii="Times New Roman" w:hAnsi="Times New Roman" w:cs="Times New Roman"/>
          <w:sz w:val="24"/>
          <w:szCs w:val="24"/>
        </w:rPr>
        <w:t xml:space="preserve"> SPED</w:t>
      </w:r>
      <w:r w:rsidR="00B0551D">
        <w:rPr>
          <w:rFonts w:ascii="Times New Roman" w:hAnsi="Times New Roman" w:cs="Times New Roman"/>
          <w:sz w:val="24"/>
          <w:szCs w:val="24"/>
        </w:rPr>
        <w:t xml:space="preserve"> eligibility</w:t>
      </w:r>
      <w:r w:rsidR="00923E7D">
        <w:rPr>
          <w:rFonts w:ascii="Times New Roman" w:hAnsi="Times New Roman" w:cs="Times New Roman"/>
          <w:sz w:val="24"/>
          <w:szCs w:val="24"/>
        </w:rPr>
        <w:t xml:space="preserve"> </w:t>
      </w:r>
      <w:r w:rsidR="00B0551D">
        <w:rPr>
          <w:rFonts w:ascii="Times New Roman" w:hAnsi="Times New Roman" w:cs="Times New Roman"/>
          <w:sz w:val="24"/>
          <w:szCs w:val="24"/>
        </w:rPr>
        <w:t xml:space="preserve">flag rather than “student with disabilities” </w:t>
      </w:r>
      <w:r w:rsidR="00923E7D">
        <w:rPr>
          <w:rFonts w:ascii="Times New Roman" w:hAnsi="Times New Roman" w:cs="Times New Roman"/>
          <w:sz w:val="24"/>
          <w:szCs w:val="24"/>
        </w:rPr>
        <w:t xml:space="preserve">to avoid the implication that </w:t>
      </w:r>
      <w:r w:rsidR="00B0551D">
        <w:rPr>
          <w:rFonts w:ascii="Times New Roman" w:hAnsi="Times New Roman" w:cs="Times New Roman"/>
          <w:sz w:val="24"/>
          <w:szCs w:val="24"/>
        </w:rPr>
        <w:t>the data</w:t>
      </w:r>
      <w:r w:rsidR="00923E7D">
        <w:rPr>
          <w:rFonts w:ascii="Times New Roman" w:hAnsi="Times New Roman" w:cs="Times New Roman"/>
          <w:sz w:val="24"/>
          <w:szCs w:val="24"/>
        </w:rPr>
        <w:t xml:space="preserve"> included</w:t>
      </w:r>
      <w:r w:rsidR="00B0551D">
        <w:rPr>
          <w:rFonts w:ascii="Times New Roman" w:hAnsi="Times New Roman" w:cs="Times New Roman"/>
          <w:sz w:val="24"/>
          <w:szCs w:val="24"/>
        </w:rPr>
        <w:t xml:space="preserve"> full and</w:t>
      </w:r>
      <w:r w:rsidR="00923E7D">
        <w:rPr>
          <w:rFonts w:ascii="Times New Roman" w:hAnsi="Times New Roman" w:cs="Times New Roman"/>
          <w:sz w:val="24"/>
          <w:szCs w:val="24"/>
        </w:rPr>
        <w:t xml:space="preserve"> accurate information about students with disabilities. </w:t>
      </w:r>
    </w:p>
    <w:p w14:paraId="72D51664" w14:textId="6353FD12" w:rsidR="00B5033B" w:rsidRPr="00BF4EB6" w:rsidRDefault="00D60706" w:rsidP="00B5033B">
      <w:pPr>
        <w:pStyle w:val="PlainText"/>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5 </w:t>
      </w:r>
      <w:proofErr w:type="spellStart"/>
      <w:r w:rsidR="00B5033B" w:rsidRPr="00BF4EB6">
        <w:rPr>
          <w:rFonts w:ascii="Times New Roman" w:hAnsi="Times New Roman" w:cs="Times New Roman"/>
          <w:sz w:val="24"/>
          <w:szCs w:val="24"/>
        </w:rPr>
        <w:t>Thum</w:t>
      </w:r>
      <w:proofErr w:type="spellEnd"/>
      <w:r w:rsidR="00B5033B" w:rsidRPr="00BF4EB6">
        <w:rPr>
          <w:rFonts w:ascii="Times New Roman" w:hAnsi="Times New Roman" w:cs="Times New Roman"/>
          <w:sz w:val="24"/>
          <w:szCs w:val="24"/>
        </w:rPr>
        <w:t xml:space="preserve"> and </w:t>
      </w:r>
      <w:proofErr w:type="spellStart"/>
      <w:r w:rsidR="00B5033B" w:rsidRPr="00BF4EB6">
        <w:rPr>
          <w:rFonts w:ascii="Times New Roman" w:hAnsi="Times New Roman" w:cs="Times New Roman"/>
          <w:sz w:val="24"/>
          <w:szCs w:val="24"/>
        </w:rPr>
        <w:t>Kuhfeld</w:t>
      </w:r>
      <w:proofErr w:type="spellEnd"/>
      <w:r w:rsidR="00B5033B" w:rsidRPr="00BF4EB6">
        <w:rPr>
          <w:rFonts w:ascii="Times New Roman" w:hAnsi="Times New Roman" w:cs="Times New Roman"/>
          <w:sz w:val="24"/>
          <w:szCs w:val="24"/>
        </w:rPr>
        <w:t xml:space="preserve"> (2020) state, “MAP Growth score scales are maintained to preserve both stability and the interval scale properties of scores (e.g., </w:t>
      </w:r>
      <w:proofErr w:type="spellStart"/>
      <w:r w:rsidR="00B5033B" w:rsidRPr="00BF4EB6">
        <w:rPr>
          <w:rFonts w:ascii="Times New Roman" w:hAnsi="Times New Roman" w:cs="Times New Roman"/>
          <w:sz w:val="24"/>
          <w:szCs w:val="24"/>
        </w:rPr>
        <w:t>Mislevy</w:t>
      </w:r>
      <w:proofErr w:type="spellEnd"/>
      <w:r w:rsidR="00B5033B" w:rsidRPr="00BF4EB6">
        <w:rPr>
          <w:rFonts w:ascii="Times New Roman" w:hAnsi="Times New Roman" w:cs="Times New Roman"/>
          <w:sz w:val="24"/>
          <w:szCs w:val="24"/>
        </w:rPr>
        <w:t>, 1987). Wang, Jiao, and Zhang (2013) and Wang, McCall, Jiao, and Harris (2013) conclude that the factorial structure of MAP Growth mathematics and reading are each unidimensional across testing terms, grades, years, and states. A recent study of MAP Growth mathematics and reading scores from Grades 3-5 students suggests that the scores possess equal-interval properties and rest on a vertical scale (Thum, 2018). Concurrent validity studies comparing MAP Growth assessments with state and consortium tests are consistently high, at about 0.8, for mathematics, reading, and science. The same studies yield classification accuracy estimates that hover above 0.8 (NWEA, 2019, Table 8.1). These findings strongly support the use of MAP Growth results to monitor student achievement and learning, across grade levels and states.” P.11-12</w:t>
      </w:r>
    </w:p>
    <w:p w14:paraId="56CBC53D" w14:textId="0285A1EB" w:rsidR="000148F2" w:rsidRDefault="00D60706" w:rsidP="00215664">
      <w:pPr>
        <w:spacing w:line="480" w:lineRule="auto"/>
      </w:pPr>
      <w:r>
        <w:rPr>
          <w:vertAlign w:val="superscript"/>
        </w:rPr>
        <w:lastRenderedPageBreak/>
        <w:t>6</w:t>
      </w:r>
      <w:r w:rsidR="000148F2">
        <w:t xml:space="preserve"> I use school covariates for the first school for each student and model them as time-invariant for theoretical and practical reasons. First, switching schools may be endogenous to the quality of and the student’s experiences at their first school; in other words, the first school may affect the probability of switching. Second, school characteristics do not vary much over time. Third, my data d</w:t>
      </w:r>
      <w:r w:rsidR="0069129F">
        <w:t>o</w:t>
      </w:r>
      <w:r w:rsidR="000148F2">
        <w:t xml:space="preserve"> not support a model that includes time-varying school-level covariates.</w:t>
      </w:r>
    </w:p>
    <w:p w14:paraId="4CE6B13E" w14:textId="5C614740" w:rsidR="0069129F" w:rsidRDefault="00D60706" w:rsidP="00215664">
      <w:pPr>
        <w:spacing w:line="480" w:lineRule="auto"/>
      </w:pPr>
      <w:r>
        <w:rPr>
          <w:vertAlign w:val="superscript"/>
        </w:rPr>
        <w:t>7</w:t>
      </w:r>
      <w:r w:rsidR="0069129F">
        <w:t xml:space="preserve"> A linear model is used because my data do not support the inclusion of </w:t>
      </w:r>
      <w:r w:rsidR="009A3A66">
        <w:t>quadratic or higher order polynomial</w:t>
      </w:r>
      <w:r w:rsidR="0069129F">
        <w:t xml:space="preserve"> terms in the model. </w:t>
      </w:r>
      <w:r w:rsidR="00255C45">
        <w:t xml:space="preserve">Using MAP Growth assessment data for a larger, broader sample, </w:t>
      </w:r>
      <w:r w:rsidR="0069129F">
        <w:t>Kuhfeld and Soland (2021)</w:t>
      </w:r>
      <w:r w:rsidR="00255C45">
        <w:t xml:space="preserve"> showed that growth estimates </w:t>
      </w:r>
      <w:r w:rsidR="009A3A66">
        <w:t xml:space="preserve">in most parts of the year </w:t>
      </w:r>
      <w:r w:rsidR="00255C45">
        <w:t xml:space="preserve">are not sensitive to functional form. Future research should investigate the sensitivity of growth estimates to functional form for students who are ELs or in dual language programs. </w:t>
      </w:r>
    </w:p>
    <w:p w14:paraId="118EA90C" w14:textId="1E46DC4D" w:rsidR="00833FE8" w:rsidRPr="00833FE8" w:rsidRDefault="00D60706" w:rsidP="00215664">
      <w:pPr>
        <w:spacing w:line="480" w:lineRule="auto"/>
      </w:pPr>
      <w:r>
        <w:rPr>
          <w:vertAlign w:val="superscript"/>
        </w:rPr>
        <w:t>8</w:t>
      </w:r>
      <w:r w:rsidR="00833FE8">
        <w:t xml:space="preserve"> Slopes are treated as fixed because (a) variations in growth rates is of secondary interest for this study and (b) the data do not support adding random effects to the growth terms.</w:t>
      </w:r>
    </w:p>
    <w:p w14:paraId="6A519DB8" w14:textId="145483F7" w:rsidR="00B301DC" w:rsidRPr="0029392B" w:rsidRDefault="0029392B" w:rsidP="00215664">
      <w:pPr>
        <w:spacing w:line="480" w:lineRule="auto"/>
        <w:jc w:val="center"/>
        <w:rPr>
          <w:rFonts w:cs="Times New Roman"/>
          <w:b/>
          <w:bCs/>
          <w:szCs w:val="24"/>
        </w:rPr>
      </w:pPr>
      <w:r>
        <w:rPr>
          <w:rFonts w:cs="Times New Roman"/>
          <w:b/>
          <w:bCs/>
          <w:szCs w:val="24"/>
        </w:rPr>
        <w:br w:type="page"/>
      </w:r>
      <w:r w:rsidR="00206086" w:rsidRPr="005D1810">
        <w:rPr>
          <w:rFonts w:cs="Times New Roman"/>
          <w:b/>
          <w:bCs/>
          <w:szCs w:val="24"/>
        </w:rPr>
        <w:lastRenderedPageBreak/>
        <w:t>References</w:t>
      </w:r>
    </w:p>
    <w:p w14:paraId="68841371" w14:textId="6FEB2BBF" w:rsidR="009B7901" w:rsidRPr="009B7901" w:rsidRDefault="009B7901" w:rsidP="00F20120">
      <w:pPr>
        <w:autoSpaceDE w:val="0"/>
        <w:autoSpaceDN w:val="0"/>
        <w:adjustRightInd w:val="0"/>
        <w:ind w:left="720" w:hanging="720"/>
        <w:rPr>
          <w:rFonts w:cs="Times New Roman"/>
          <w:szCs w:val="24"/>
        </w:rPr>
      </w:pPr>
      <w:proofErr w:type="spellStart"/>
      <w:r w:rsidRPr="009B7901">
        <w:rPr>
          <w:rFonts w:cs="Times New Roman"/>
          <w:szCs w:val="24"/>
          <w:shd w:val="clear" w:color="auto" w:fill="FFFFFF"/>
        </w:rPr>
        <w:t>Alvear</w:t>
      </w:r>
      <w:proofErr w:type="spellEnd"/>
      <w:r w:rsidRPr="009B7901">
        <w:rPr>
          <w:rFonts w:cs="Times New Roman"/>
          <w:szCs w:val="24"/>
          <w:shd w:val="clear" w:color="auto" w:fill="FFFFFF"/>
        </w:rPr>
        <w:t xml:space="preserve">, S. A. (2019). The </w:t>
      </w:r>
      <w:r>
        <w:rPr>
          <w:rFonts w:cs="Times New Roman"/>
          <w:szCs w:val="24"/>
          <w:shd w:val="clear" w:color="auto" w:fill="FFFFFF"/>
        </w:rPr>
        <w:t>a</w:t>
      </w:r>
      <w:r w:rsidRPr="009B7901">
        <w:rPr>
          <w:rFonts w:cs="Times New Roman"/>
          <w:szCs w:val="24"/>
          <w:shd w:val="clear" w:color="auto" w:fill="FFFFFF"/>
        </w:rPr>
        <w:t xml:space="preserve">dditive </w:t>
      </w:r>
      <w:r>
        <w:rPr>
          <w:rFonts w:cs="Times New Roman"/>
          <w:szCs w:val="24"/>
          <w:shd w:val="clear" w:color="auto" w:fill="FFFFFF"/>
        </w:rPr>
        <w:t>a</w:t>
      </w:r>
      <w:r w:rsidRPr="009B7901">
        <w:rPr>
          <w:rFonts w:cs="Times New Roman"/>
          <w:szCs w:val="24"/>
          <w:shd w:val="clear" w:color="auto" w:fill="FFFFFF"/>
        </w:rPr>
        <w:t xml:space="preserve">dvantage and </w:t>
      </w:r>
      <w:r>
        <w:rPr>
          <w:rFonts w:cs="Times New Roman"/>
          <w:szCs w:val="24"/>
          <w:shd w:val="clear" w:color="auto" w:fill="FFFFFF"/>
        </w:rPr>
        <w:t>b</w:t>
      </w:r>
      <w:r w:rsidRPr="009B7901">
        <w:rPr>
          <w:rFonts w:cs="Times New Roman"/>
          <w:szCs w:val="24"/>
          <w:shd w:val="clear" w:color="auto" w:fill="FFFFFF"/>
        </w:rPr>
        <w:t xml:space="preserve">ilingual </w:t>
      </w:r>
      <w:r>
        <w:rPr>
          <w:rFonts w:cs="Times New Roman"/>
          <w:szCs w:val="24"/>
          <w:shd w:val="clear" w:color="auto" w:fill="FFFFFF"/>
        </w:rPr>
        <w:t>p</w:t>
      </w:r>
      <w:r w:rsidRPr="009B7901">
        <w:rPr>
          <w:rFonts w:cs="Times New Roman"/>
          <w:szCs w:val="24"/>
          <w:shd w:val="clear" w:color="auto" w:fill="FFFFFF"/>
        </w:rPr>
        <w:t xml:space="preserve">rograms in a </w:t>
      </w:r>
      <w:r>
        <w:rPr>
          <w:rFonts w:cs="Times New Roman"/>
          <w:szCs w:val="24"/>
          <w:shd w:val="clear" w:color="auto" w:fill="FFFFFF"/>
        </w:rPr>
        <w:t>l</w:t>
      </w:r>
      <w:r w:rsidRPr="009B7901">
        <w:rPr>
          <w:rFonts w:cs="Times New Roman"/>
          <w:szCs w:val="24"/>
          <w:shd w:val="clear" w:color="auto" w:fill="FFFFFF"/>
        </w:rPr>
        <w:t xml:space="preserve">arge </w:t>
      </w:r>
      <w:r>
        <w:rPr>
          <w:rFonts w:cs="Times New Roman"/>
          <w:szCs w:val="24"/>
          <w:shd w:val="clear" w:color="auto" w:fill="FFFFFF"/>
        </w:rPr>
        <w:t>u</w:t>
      </w:r>
      <w:r w:rsidRPr="009B7901">
        <w:rPr>
          <w:rFonts w:cs="Times New Roman"/>
          <w:szCs w:val="24"/>
          <w:shd w:val="clear" w:color="auto" w:fill="FFFFFF"/>
        </w:rPr>
        <w:t xml:space="preserve">rban </w:t>
      </w:r>
      <w:r>
        <w:rPr>
          <w:rFonts w:cs="Times New Roman"/>
          <w:szCs w:val="24"/>
          <w:shd w:val="clear" w:color="auto" w:fill="FFFFFF"/>
        </w:rPr>
        <w:t>s</w:t>
      </w:r>
      <w:r w:rsidRPr="009B7901">
        <w:rPr>
          <w:rFonts w:cs="Times New Roman"/>
          <w:szCs w:val="24"/>
          <w:shd w:val="clear" w:color="auto" w:fill="FFFFFF"/>
        </w:rPr>
        <w:t xml:space="preserve">chool </w:t>
      </w:r>
      <w:r>
        <w:rPr>
          <w:rFonts w:cs="Times New Roman"/>
          <w:szCs w:val="24"/>
          <w:shd w:val="clear" w:color="auto" w:fill="FFFFFF"/>
        </w:rPr>
        <w:t>d</w:t>
      </w:r>
      <w:r w:rsidRPr="009B7901">
        <w:rPr>
          <w:rFonts w:cs="Times New Roman"/>
          <w:szCs w:val="24"/>
          <w:shd w:val="clear" w:color="auto" w:fill="FFFFFF"/>
        </w:rPr>
        <w:t>istrict. </w:t>
      </w:r>
      <w:r w:rsidRPr="009B7901">
        <w:rPr>
          <w:rFonts w:cs="Times New Roman"/>
          <w:i/>
          <w:iCs/>
          <w:szCs w:val="24"/>
          <w:shd w:val="clear" w:color="auto" w:fill="FFFFFF"/>
        </w:rPr>
        <w:t>American Educational Research Journal</w:t>
      </w:r>
      <w:r w:rsidRPr="009B7901">
        <w:rPr>
          <w:rFonts w:cs="Times New Roman"/>
          <w:szCs w:val="24"/>
          <w:shd w:val="clear" w:color="auto" w:fill="FFFFFF"/>
        </w:rPr>
        <w:t>, </w:t>
      </w:r>
      <w:r w:rsidRPr="009B7901">
        <w:rPr>
          <w:rFonts w:cs="Times New Roman"/>
          <w:i/>
          <w:iCs/>
          <w:szCs w:val="24"/>
          <w:shd w:val="clear" w:color="auto" w:fill="FFFFFF"/>
        </w:rPr>
        <w:t>56</w:t>
      </w:r>
      <w:r w:rsidRPr="009B7901">
        <w:rPr>
          <w:rFonts w:cs="Times New Roman"/>
          <w:szCs w:val="24"/>
          <w:shd w:val="clear" w:color="auto" w:fill="FFFFFF"/>
        </w:rPr>
        <w:t>(2), 477 -513. </w:t>
      </w:r>
      <w:hyperlink r:id="rId8" w:history="1">
        <w:r w:rsidRPr="009B7901">
          <w:rPr>
            <w:rStyle w:val="Hyperlink"/>
            <w:rFonts w:cs="Times New Roman"/>
            <w:color w:val="auto"/>
            <w:szCs w:val="24"/>
            <w:shd w:val="clear" w:color="auto" w:fill="FFFFFF"/>
          </w:rPr>
          <w:t>https://doi.org/10.3102/0002831218800986</w:t>
        </w:r>
      </w:hyperlink>
    </w:p>
    <w:p w14:paraId="3AAD95F8" w14:textId="1424F2D2" w:rsidR="00D17AD4" w:rsidRPr="00D17AD4" w:rsidRDefault="00D17AD4" w:rsidP="00F20120">
      <w:pPr>
        <w:autoSpaceDE w:val="0"/>
        <w:autoSpaceDN w:val="0"/>
        <w:adjustRightInd w:val="0"/>
        <w:ind w:left="720" w:hanging="720"/>
        <w:rPr>
          <w:rFonts w:cs="Times New Roman"/>
          <w:szCs w:val="24"/>
        </w:rPr>
      </w:pPr>
      <w:proofErr w:type="spellStart"/>
      <w:r w:rsidRPr="00D17AD4">
        <w:rPr>
          <w:rFonts w:cs="Times New Roman"/>
          <w:szCs w:val="24"/>
        </w:rPr>
        <w:t>Atteberry</w:t>
      </w:r>
      <w:proofErr w:type="spellEnd"/>
      <w:r w:rsidRPr="00D17AD4">
        <w:rPr>
          <w:rFonts w:cs="Times New Roman"/>
          <w:szCs w:val="24"/>
        </w:rPr>
        <w:t xml:space="preserve">, A., &amp; Mangan, D. (2020). The sensitivity of teacher value-added scores to the use of fall or spring test scores. </w:t>
      </w:r>
      <w:r w:rsidRPr="00D17AD4">
        <w:rPr>
          <w:rFonts w:cs="Times New Roman"/>
          <w:i/>
          <w:iCs/>
          <w:szCs w:val="24"/>
        </w:rPr>
        <w:t>Educational Researcher</w:t>
      </w:r>
      <w:r w:rsidRPr="00D17AD4">
        <w:rPr>
          <w:rFonts w:cs="Times New Roman"/>
          <w:szCs w:val="24"/>
        </w:rPr>
        <w:t>,</w:t>
      </w:r>
      <w:r w:rsidRPr="00D17AD4">
        <w:rPr>
          <w:rFonts w:cs="Times New Roman"/>
          <w:i/>
          <w:iCs/>
          <w:szCs w:val="24"/>
        </w:rPr>
        <w:t xml:space="preserve"> 49</w:t>
      </w:r>
      <w:r w:rsidRPr="00D17AD4">
        <w:rPr>
          <w:rFonts w:cs="Times New Roman"/>
          <w:szCs w:val="24"/>
        </w:rPr>
        <w:t>(5), 335-349. https://doi.org/10.3102/0013189X20922993</w:t>
      </w:r>
    </w:p>
    <w:p w14:paraId="32A6B2CE" w14:textId="03296D80" w:rsidR="00940146" w:rsidRPr="00940146" w:rsidRDefault="00940146" w:rsidP="00F20120">
      <w:pPr>
        <w:autoSpaceDE w:val="0"/>
        <w:autoSpaceDN w:val="0"/>
        <w:adjustRightInd w:val="0"/>
        <w:ind w:left="720" w:hanging="720"/>
        <w:rPr>
          <w:rFonts w:cs="Times New Roman"/>
          <w:szCs w:val="24"/>
        </w:rPr>
      </w:pPr>
      <w:r w:rsidRPr="00940146">
        <w:rPr>
          <w:rFonts w:cs="Times New Roman"/>
          <w:color w:val="333333"/>
          <w:szCs w:val="24"/>
          <w:shd w:val="clear" w:color="auto" w:fill="FFFFFF"/>
        </w:rPr>
        <w:t xml:space="preserve">August, D. </w:t>
      </w:r>
      <w:r>
        <w:rPr>
          <w:rFonts w:cs="Times New Roman"/>
          <w:color w:val="333333"/>
          <w:szCs w:val="24"/>
          <w:shd w:val="clear" w:color="auto" w:fill="FFFFFF"/>
        </w:rPr>
        <w:t xml:space="preserve">&amp; </w:t>
      </w:r>
      <w:r w:rsidRPr="00940146">
        <w:rPr>
          <w:rFonts w:cs="Times New Roman"/>
          <w:color w:val="333333"/>
          <w:szCs w:val="24"/>
          <w:shd w:val="clear" w:color="auto" w:fill="FFFFFF"/>
        </w:rPr>
        <w:t>Shanahan, T. (</w:t>
      </w:r>
      <w:r w:rsidRPr="00940146">
        <w:rPr>
          <w:rStyle w:val="nlmyear"/>
          <w:rFonts w:cs="Times New Roman"/>
          <w:color w:val="333333"/>
          <w:szCs w:val="24"/>
          <w:shd w:val="clear" w:color="auto" w:fill="FFFFFF"/>
        </w:rPr>
        <w:t>2006</w:t>
      </w:r>
      <w:r w:rsidRPr="00940146">
        <w:rPr>
          <w:rFonts w:cs="Times New Roman"/>
          <w:color w:val="333333"/>
          <w:szCs w:val="24"/>
          <w:shd w:val="clear" w:color="auto" w:fill="FFFFFF"/>
        </w:rPr>
        <w:t xml:space="preserve">). </w:t>
      </w:r>
      <w:r w:rsidRPr="00940146">
        <w:rPr>
          <w:rFonts w:cs="Times New Roman"/>
          <w:i/>
          <w:iCs/>
          <w:color w:val="333333"/>
          <w:szCs w:val="24"/>
          <w:shd w:val="clear" w:color="auto" w:fill="FFFFFF"/>
        </w:rPr>
        <w:t>Developing literacy in second-language learners: Report of the national literacy panel on language minority children and youth.</w:t>
      </w:r>
      <w:r w:rsidRPr="00940146">
        <w:rPr>
          <w:rStyle w:val="nlmpublisher-name"/>
          <w:rFonts w:cs="Times New Roman"/>
          <w:color w:val="333333"/>
          <w:szCs w:val="24"/>
          <w:shd w:val="clear" w:color="auto" w:fill="FFFFFF"/>
        </w:rPr>
        <w:t xml:space="preserve"> Lawrence Erlbaum Associates</w:t>
      </w:r>
      <w:r w:rsidRPr="00940146">
        <w:rPr>
          <w:rFonts w:cs="Times New Roman"/>
          <w:color w:val="333333"/>
          <w:szCs w:val="24"/>
          <w:shd w:val="clear" w:color="auto" w:fill="FFFFFF"/>
        </w:rPr>
        <w:t>.</w:t>
      </w:r>
    </w:p>
    <w:p w14:paraId="2465F19A" w14:textId="700953D5" w:rsidR="007736B1" w:rsidRPr="000A55A0" w:rsidRDefault="007736B1" w:rsidP="000A55A0">
      <w:pPr>
        <w:pStyle w:val="NoSpacing"/>
        <w:ind w:left="720" w:hanging="720"/>
        <w:rPr>
          <w:rFonts w:ascii="Times New Roman" w:hAnsi="Times New Roman" w:cs="Times New Roman"/>
          <w:sz w:val="24"/>
          <w:szCs w:val="24"/>
        </w:rPr>
      </w:pPr>
      <w:r w:rsidRPr="000A55A0">
        <w:rPr>
          <w:rFonts w:ascii="Times New Roman" w:hAnsi="Times New Roman" w:cs="Times New Roman"/>
          <w:sz w:val="24"/>
          <w:szCs w:val="24"/>
        </w:rPr>
        <w:t xml:space="preserve">Bialystok, E. (2018). Bilingual education for young children: review of the effects and consequences, </w:t>
      </w:r>
      <w:r w:rsidRPr="000A55A0">
        <w:rPr>
          <w:rFonts w:ascii="Times New Roman" w:hAnsi="Times New Roman" w:cs="Times New Roman"/>
          <w:i/>
          <w:iCs/>
          <w:sz w:val="24"/>
          <w:szCs w:val="24"/>
        </w:rPr>
        <w:t>International Journal of Bilingual Education and Bilingualism, 21</w:t>
      </w:r>
      <w:r w:rsidRPr="000A55A0">
        <w:rPr>
          <w:rFonts w:ascii="Times New Roman" w:hAnsi="Times New Roman" w:cs="Times New Roman"/>
          <w:sz w:val="24"/>
          <w:szCs w:val="24"/>
        </w:rPr>
        <w:t>(6), 666-679. DOI: 10.1080/13670050.2016.1203859</w:t>
      </w:r>
    </w:p>
    <w:p w14:paraId="012E6719" w14:textId="3BD88141" w:rsidR="00EC36C9" w:rsidRPr="003F23B4" w:rsidRDefault="003F23B4" w:rsidP="00F20120">
      <w:pPr>
        <w:shd w:val="clear" w:color="auto" w:fill="FFFFFF"/>
        <w:ind w:left="720" w:hanging="720"/>
        <w:textAlignment w:val="baseline"/>
        <w:rPr>
          <w:rFonts w:cs="Times New Roman"/>
          <w:b/>
          <w:bCs/>
          <w:szCs w:val="24"/>
        </w:rPr>
      </w:pPr>
      <w:proofErr w:type="spellStart"/>
      <w:r w:rsidRPr="003F23B4">
        <w:rPr>
          <w:rFonts w:cs="Times New Roman"/>
          <w:spacing w:val="5"/>
          <w:szCs w:val="24"/>
          <w:bdr w:val="none" w:sz="0" w:space="0" w:color="auto" w:frame="1"/>
          <w:shd w:val="clear" w:color="auto" w:fill="FFFFFF"/>
        </w:rPr>
        <w:t>Bibler</w:t>
      </w:r>
      <w:proofErr w:type="spellEnd"/>
      <w:r w:rsidRPr="003F23B4">
        <w:rPr>
          <w:rFonts w:cs="Times New Roman"/>
          <w:spacing w:val="5"/>
          <w:szCs w:val="24"/>
          <w:bdr w:val="none" w:sz="0" w:space="0" w:color="auto" w:frame="1"/>
          <w:shd w:val="clear" w:color="auto" w:fill="FFFFFF"/>
        </w:rPr>
        <w:t>, A. (2021). Dual language education and student achievement.</w:t>
      </w:r>
      <w:r w:rsidRPr="003F23B4">
        <w:rPr>
          <w:rFonts w:cs="Times New Roman"/>
          <w:i/>
          <w:iCs/>
          <w:spacing w:val="5"/>
          <w:szCs w:val="24"/>
          <w:bdr w:val="none" w:sz="0" w:space="0" w:color="auto" w:frame="1"/>
          <w:shd w:val="clear" w:color="auto" w:fill="FFFFFF"/>
        </w:rPr>
        <w:t xml:space="preserve"> Education Finance and Policy</w:t>
      </w:r>
      <w:r w:rsidRPr="003F23B4">
        <w:rPr>
          <w:rFonts w:cs="Times New Roman"/>
          <w:spacing w:val="5"/>
          <w:szCs w:val="24"/>
          <w:bdr w:val="none" w:sz="0" w:space="0" w:color="auto" w:frame="1"/>
          <w:shd w:val="clear" w:color="auto" w:fill="FFFFFF"/>
        </w:rPr>
        <w:t xml:space="preserve">, </w:t>
      </w:r>
      <w:r w:rsidRPr="003F23B4">
        <w:rPr>
          <w:rFonts w:cs="Times New Roman"/>
          <w:i/>
          <w:iCs/>
          <w:spacing w:val="5"/>
          <w:szCs w:val="24"/>
          <w:bdr w:val="none" w:sz="0" w:space="0" w:color="auto" w:frame="1"/>
          <w:shd w:val="clear" w:color="auto" w:fill="FFFFFF"/>
        </w:rPr>
        <w:t>16</w:t>
      </w:r>
      <w:r w:rsidRPr="003F23B4">
        <w:rPr>
          <w:rFonts w:cs="Times New Roman"/>
          <w:spacing w:val="5"/>
          <w:szCs w:val="24"/>
          <w:bdr w:val="none" w:sz="0" w:space="0" w:color="auto" w:frame="1"/>
          <w:shd w:val="clear" w:color="auto" w:fill="FFFFFF"/>
        </w:rPr>
        <w:t>(4), 634-658.</w:t>
      </w:r>
      <w:r w:rsidRPr="003F23B4">
        <w:rPr>
          <w:rFonts w:cs="Times New Roman"/>
          <w:szCs w:val="24"/>
        </w:rPr>
        <w:t xml:space="preserve"> </w:t>
      </w:r>
      <w:hyperlink r:id="rId9" w:tgtFrame="_blank" w:history="1">
        <w:r w:rsidR="00EC36C9" w:rsidRPr="003F23B4">
          <w:rPr>
            <w:rStyle w:val="Hyperlink"/>
            <w:rFonts w:cs="Times New Roman"/>
            <w:color w:val="auto"/>
            <w:szCs w:val="24"/>
            <w:u w:val="none"/>
            <w:bdr w:val="none" w:sz="0" w:space="0" w:color="auto" w:frame="1"/>
          </w:rPr>
          <w:t>https://doi.org/10.1162/edfp_a_00320</w:t>
        </w:r>
      </w:hyperlink>
    </w:p>
    <w:p w14:paraId="293B058C" w14:textId="77777777" w:rsidR="00845BA7" w:rsidRPr="00D17AD4" w:rsidRDefault="00845BA7" w:rsidP="00F20120">
      <w:pPr>
        <w:ind w:left="720" w:hanging="720"/>
        <w:rPr>
          <w:rFonts w:cs="Times New Roman"/>
          <w:szCs w:val="24"/>
          <w:shd w:val="clear" w:color="auto" w:fill="FFFFFF"/>
        </w:rPr>
      </w:pPr>
      <w:proofErr w:type="spellStart"/>
      <w:r w:rsidRPr="00D17AD4">
        <w:rPr>
          <w:rStyle w:val="HTMLCite"/>
          <w:rFonts w:cs="Times New Roman"/>
          <w:i w:val="0"/>
          <w:iCs w:val="0"/>
          <w:szCs w:val="24"/>
          <w:shd w:val="clear" w:color="auto" w:fill="FFFFFF"/>
        </w:rPr>
        <w:t>Castañeda</w:t>
      </w:r>
      <w:proofErr w:type="spellEnd"/>
      <w:r w:rsidRPr="00D17AD4">
        <w:rPr>
          <w:rStyle w:val="HTMLCite"/>
          <w:rFonts w:cs="Times New Roman"/>
          <w:i w:val="0"/>
          <w:iCs w:val="0"/>
          <w:szCs w:val="24"/>
          <w:shd w:val="clear" w:color="auto" w:fill="FFFFFF"/>
        </w:rPr>
        <w:t xml:space="preserve"> v. Pickard</w:t>
      </w:r>
      <w:r w:rsidRPr="00D17AD4">
        <w:rPr>
          <w:rFonts w:cs="Times New Roman"/>
          <w:i/>
          <w:iCs/>
          <w:szCs w:val="24"/>
          <w:shd w:val="clear" w:color="auto" w:fill="FFFFFF"/>
        </w:rPr>
        <w:t>,</w:t>
      </w:r>
      <w:r w:rsidRPr="00D17AD4">
        <w:rPr>
          <w:rFonts w:cs="Times New Roman"/>
          <w:szCs w:val="24"/>
          <w:shd w:val="clear" w:color="auto" w:fill="FFFFFF"/>
        </w:rPr>
        <w:t> </w:t>
      </w:r>
      <w:r w:rsidRPr="00D17AD4">
        <w:rPr>
          <w:rFonts w:cs="Times New Roman"/>
          <w:szCs w:val="24"/>
        </w:rPr>
        <w:t>648 F.2d 989</w:t>
      </w:r>
      <w:r w:rsidRPr="00D17AD4">
        <w:rPr>
          <w:rFonts w:cs="Times New Roman"/>
          <w:szCs w:val="24"/>
          <w:shd w:val="clear" w:color="auto" w:fill="FFFFFF"/>
        </w:rPr>
        <w:t>. 5th Cir. (1981).</w:t>
      </w:r>
    </w:p>
    <w:p w14:paraId="06AA8BE6" w14:textId="1C78EBC2" w:rsidR="008664A2" w:rsidRPr="00C909FB" w:rsidRDefault="008664A2" w:rsidP="00F20120">
      <w:pPr>
        <w:ind w:left="720" w:hanging="720"/>
        <w:rPr>
          <w:rFonts w:cs="Times New Roman"/>
          <w:szCs w:val="24"/>
        </w:rPr>
      </w:pPr>
      <w:r w:rsidRPr="00C909FB">
        <w:rPr>
          <w:rFonts w:cs="Times New Roman"/>
          <w:szCs w:val="24"/>
        </w:rPr>
        <w:t>Chávez-Moreno, L. (2021). Dual language as White property: Examining a secondary bilingual</w:t>
      </w:r>
      <w:r w:rsidR="00C909FB" w:rsidRPr="00C909FB">
        <w:rPr>
          <w:rFonts w:cs="Times New Roman"/>
          <w:szCs w:val="24"/>
        </w:rPr>
        <w:t>-education</w:t>
      </w:r>
      <w:r w:rsidRPr="00C909FB">
        <w:rPr>
          <w:rFonts w:cs="Times New Roman"/>
          <w:szCs w:val="24"/>
        </w:rPr>
        <w:t xml:space="preserve"> program and Latinx equity</w:t>
      </w:r>
      <w:r w:rsidR="00C909FB" w:rsidRPr="00C909FB">
        <w:rPr>
          <w:rFonts w:cs="Times New Roman"/>
          <w:szCs w:val="24"/>
        </w:rPr>
        <w:t xml:space="preserve">. </w:t>
      </w:r>
      <w:r w:rsidR="00C909FB" w:rsidRPr="00C909FB">
        <w:rPr>
          <w:rFonts w:cs="Times New Roman"/>
          <w:i/>
          <w:iCs/>
          <w:szCs w:val="24"/>
        </w:rPr>
        <w:t>American Educational Research Journal</w:t>
      </w:r>
      <w:r w:rsidR="00C909FB" w:rsidRPr="00C909FB">
        <w:rPr>
          <w:rFonts w:cs="Times New Roman"/>
          <w:szCs w:val="24"/>
        </w:rPr>
        <w:t xml:space="preserve">, </w:t>
      </w:r>
      <w:r w:rsidR="00C909FB" w:rsidRPr="00C909FB">
        <w:rPr>
          <w:rFonts w:cs="Times New Roman"/>
          <w:i/>
          <w:iCs/>
          <w:szCs w:val="24"/>
        </w:rPr>
        <w:t>58</w:t>
      </w:r>
      <w:r w:rsidR="00C909FB" w:rsidRPr="00C909FB">
        <w:rPr>
          <w:rFonts w:cs="Times New Roman"/>
          <w:szCs w:val="24"/>
        </w:rPr>
        <w:t>(6), 1107-1141. DOI: 10.3102/00028312211052508</w:t>
      </w:r>
    </w:p>
    <w:p w14:paraId="0131E3A7" w14:textId="5B5FD63B" w:rsidR="00940146" w:rsidRDefault="00B301DC" w:rsidP="00F20120">
      <w:pPr>
        <w:ind w:left="720" w:hanging="720"/>
        <w:rPr>
          <w:rFonts w:ascii="Arial" w:eastAsia="Times New Roman" w:hAnsi="Arial" w:cs="Arial"/>
          <w:color w:val="333333"/>
          <w:sz w:val="21"/>
          <w:szCs w:val="21"/>
        </w:rPr>
      </w:pPr>
      <w:r w:rsidRPr="00D17AD4">
        <w:rPr>
          <w:rFonts w:cs="Times New Roman"/>
          <w:szCs w:val="24"/>
        </w:rPr>
        <w:t xml:space="preserve">Collier, V. P. &amp; Thomas, W. P. (2017). Validating the power of bilingual schooling: Thirty-two years of large-scale, longitudinal research. </w:t>
      </w:r>
      <w:r w:rsidRPr="00D17AD4">
        <w:rPr>
          <w:i/>
          <w:iCs/>
          <w:szCs w:val="24"/>
        </w:rPr>
        <w:t>Annual Review of Applied Linguistics</w:t>
      </w:r>
      <w:r w:rsidRPr="00D17AD4">
        <w:rPr>
          <w:szCs w:val="24"/>
        </w:rPr>
        <w:t xml:space="preserve"> </w:t>
      </w:r>
      <w:r w:rsidRPr="00D17AD4">
        <w:rPr>
          <w:i/>
          <w:iCs/>
          <w:szCs w:val="24"/>
        </w:rPr>
        <w:t>(ARAL)</w:t>
      </w:r>
      <w:r w:rsidRPr="00D17AD4">
        <w:rPr>
          <w:szCs w:val="24"/>
        </w:rPr>
        <w:t xml:space="preserve"> 2017.</w:t>
      </w:r>
    </w:p>
    <w:p w14:paraId="1A421BAB" w14:textId="71F7314A" w:rsidR="00940146" w:rsidRPr="00940146" w:rsidRDefault="00940146" w:rsidP="00F20120">
      <w:pPr>
        <w:ind w:left="720" w:hanging="720"/>
        <w:rPr>
          <w:rFonts w:cs="Times New Roman"/>
          <w:szCs w:val="24"/>
        </w:rPr>
      </w:pPr>
      <w:r w:rsidRPr="00940146">
        <w:rPr>
          <w:rFonts w:eastAsia="Times New Roman" w:cs="Times New Roman"/>
          <w:color w:val="333333"/>
          <w:szCs w:val="24"/>
        </w:rPr>
        <w:t xml:space="preserve">Cummins, J. (1979). Linguistic interdependence and the educational development of bilingual children. </w:t>
      </w:r>
      <w:r w:rsidRPr="00940146">
        <w:rPr>
          <w:rFonts w:eastAsia="Times New Roman" w:cs="Times New Roman"/>
          <w:i/>
          <w:iCs/>
          <w:color w:val="333333"/>
          <w:szCs w:val="24"/>
        </w:rPr>
        <w:t>Review of Educational Research</w:t>
      </w:r>
      <w:r w:rsidRPr="00940146">
        <w:rPr>
          <w:rFonts w:eastAsia="Times New Roman" w:cs="Times New Roman"/>
          <w:color w:val="333333"/>
          <w:szCs w:val="24"/>
        </w:rPr>
        <w:t xml:space="preserve">, </w:t>
      </w:r>
      <w:r w:rsidRPr="00940146">
        <w:rPr>
          <w:rFonts w:eastAsia="Times New Roman" w:cs="Times New Roman"/>
          <w:i/>
          <w:iCs/>
          <w:color w:val="333333"/>
          <w:szCs w:val="24"/>
        </w:rPr>
        <w:t>49</w:t>
      </w:r>
      <w:r w:rsidRPr="00940146">
        <w:rPr>
          <w:rFonts w:eastAsia="Times New Roman" w:cs="Times New Roman"/>
          <w:color w:val="333333"/>
          <w:szCs w:val="24"/>
        </w:rPr>
        <w:t>, 221–251.</w:t>
      </w:r>
    </w:p>
    <w:p w14:paraId="7FDCD477" w14:textId="5D80336F" w:rsidR="00D17AD4" w:rsidRPr="00D17AD4" w:rsidRDefault="00D17AD4" w:rsidP="00F20120">
      <w:pPr>
        <w:ind w:left="720" w:hanging="720"/>
        <w:rPr>
          <w:rFonts w:cs="Times New Roman"/>
          <w:szCs w:val="24"/>
          <w:shd w:val="clear" w:color="auto" w:fill="FFFFFF"/>
        </w:rPr>
      </w:pPr>
      <w:r w:rsidRPr="00D17AD4">
        <w:rPr>
          <w:rFonts w:cs="Times New Roman"/>
          <w:szCs w:val="24"/>
          <w:shd w:val="clear" w:color="auto" w:fill="FFFFFF"/>
        </w:rPr>
        <w:t xml:space="preserve">Dual Language Schools. (2020). </w:t>
      </w:r>
      <w:r w:rsidRPr="00D17AD4">
        <w:rPr>
          <w:szCs w:val="24"/>
        </w:rPr>
        <w:t>https://duallanguageschools.org/</w:t>
      </w:r>
    </w:p>
    <w:p w14:paraId="61E3EAFA" w14:textId="17CF3FD3" w:rsidR="004C4973" w:rsidRPr="00D17AD4" w:rsidRDefault="004C4973" w:rsidP="00F20120">
      <w:pPr>
        <w:pStyle w:val="CommentText"/>
        <w:ind w:left="720" w:hanging="720"/>
        <w:rPr>
          <w:sz w:val="24"/>
          <w:szCs w:val="24"/>
        </w:rPr>
      </w:pPr>
      <w:r w:rsidRPr="00D17AD4">
        <w:rPr>
          <w:sz w:val="24"/>
          <w:szCs w:val="24"/>
        </w:rPr>
        <w:t xml:space="preserve">Fountas and Pinnell. (2020). Literacy Gradient. Retrieved from </w:t>
      </w:r>
      <w:hyperlink r:id="rId10" w:history="1">
        <w:r w:rsidRPr="00D17AD4">
          <w:rPr>
            <w:rStyle w:val="Hyperlink"/>
            <w:color w:val="auto"/>
            <w:sz w:val="24"/>
            <w:szCs w:val="24"/>
          </w:rPr>
          <w:t>https://www.fountasandpinnell.com/assessment/</w:t>
        </w:r>
      </w:hyperlink>
    </w:p>
    <w:p w14:paraId="4A262D22" w14:textId="48A413B5" w:rsidR="006B6304" w:rsidRPr="005F6C94" w:rsidRDefault="006B6304" w:rsidP="00F20120">
      <w:pPr>
        <w:autoSpaceDE w:val="0"/>
        <w:autoSpaceDN w:val="0"/>
        <w:adjustRightInd w:val="0"/>
        <w:ind w:left="720" w:hanging="720"/>
        <w:rPr>
          <w:rFonts w:cs="Times New Roman"/>
          <w:szCs w:val="24"/>
        </w:rPr>
      </w:pPr>
      <w:r w:rsidRPr="005F6C94">
        <w:rPr>
          <w:rFonts w:cs="Times New Roman"/>
          <w:szCs w:val="24"/>
        </w:rPr>
        <w:t xml:space="preserve">Garcia, E. E. (2002). Bilingualism and schooling in the United States. </w:t>
      </w:r>
      <w:r w:rsidRPr="005F6C94">
        <w:rPr>
          <w:rFonts w:cs="Times New Roman"/>
          <w:i/>
          <w:iCs/>
          <w:szCs w:val="24"/>
        </w:rPr>
        <w:t>International Journal of the Sociology of</w:t>
      </w:r>
      <w:r w:rsidR="005F6C94" w:rsidRPr="005F6C94">
        <w:rPr>
          <w:rFonts w:cs="Times New Roman"/>
          <w:i/>
          <w:iCs/>
          <w:szCs w:val="24"/>
        </w:rPr>
        <w:t xml:space="preserve"> </w:t>
      </w:r>
      <w:r w:rsidRPr="005F6C94">
        <w:rPr>
          <w:rFonts w:cs="Times New Roman"/>
          <w:i/>
          <w:iCs/>
          <w:szCs w:val="24"/>
        </w:rPr>
        <w:t>Language</w:t>
      </w:r>
      <w:r w:rsidRPr="005F6C94">
        <w:rPr>
          <w:rFonts w:cs="Times New Roman"/>
          <w:szCs w:val="24"/>
        </w:rPr>
        <w:t xml:space="preserve">, </w:t>
      </w:r>
      <w:r w:rsidRPr="005F6C94">
        <w:rPr>
          <w:rFonts w:cs="Times New Roman"/>
          <w:i/>
          <w:iCs/>
          <w:szCs w:val="24"/>
        </w:rPr>
        <w:t>155–156</w:t>
      </w:r>
      <w:r w:rsidRPr="005F6C94">
        <w:rPr>
          <w:rFonts w:cs="Times New Roman"/>
          <w:szCs w:val="24"/>
        </w:rPr>
        <w:t>, 1–92. doi:10.1515/ijsl.2002.028</w:t>
      </w:r>
    </w:p>
    <w:p w14:paraId="350E1106" w14:textId="4FE97479" w:rsidR="00D17AD4" w:rsidRPr="00D17AD4" w:rsidRDefault="00D17AD4" w:rsidP="00F20120">
      <w:pPr>
        <w:autoSpaceDE w:val="0"/>
        <w:autoSpaceDN w:val="0"/>
        <w:adjustRightInd w:val="0"/>
        <w:ind w:left="720" w:hanging="720"/>
        <w:rPr>
          <w:rFonts w:cs="Times New Roman"/>
          <w:szCs w:val="24"/>
        </w:rPr>
      </w:pPr>
      <w:r w:rsidRPr="00D17AD4">
        <w:rPr>
          <w:rFonts w:cs="Times New Roman"/>
          <w:szCs w:val="24"/>
        </w:rPr>
        <w:t xml:space="preserve">Goldenberg, C. (2008). Teaching English Language Learners: What the research does—and does not—say. </w:t>
      </w:r>
      <w:r w:rsidRPr="00D17AD4">
        <w:rPr>
          <w:rFonts w:cs="Times New Roman"/>
          <w:i/>
          <w:szCs w:val="24"/>
        </w:rPr>
        <w:t>American Educator</w:t>
      </w:r>
      <w:r w:rsidRPr="00D17AD4">
        <w:rPr>
          <w:rFonts w:cs="Times New Roman"/>
          <w:iCs/>
          <w:szCs w:val="24"/>
        </w:rPr>
        <w:t>,</w:t>
      </w:r>
      <w:r w:rsidRPr="00D17AD4">
        <w:rPr>
          <w:rFonts w:cs="Times New Roman"/>
          <w:i/>
          <w:szCs w:val="24"/>
        </w:rPr>
        <w:t xml:space="preserve"> 32</w:t>
      </w:r>
      <w:r w:rsidRPr="00D17AD4">
        <w:rPr>
          <w:rFonts w:cs="Times New Roman"/>
          <w:szCs w:val="24"/>
        </w:rPr>
        <w:t>(2), 8-44</w:t>
      </w:r>
      <w:r w:rsidRPr="00D17AD4">
        <w:rPr>
          <w:rFonts w:cs="Times New Roman"/>
          <w:i/>
          <w:szCs w:val="24"/>
        </w:rPr>
        <w:t>.</w:t>
      </w:r>
      <w:r w:rsidRPr="00D17AD4">
        <w:rPr>
          <w:rFonts w:ascii="TimesNewRomanPSMT" w:hAnsi="TimesNewRomanPSMT" w:cs="TimesNewRomanPSMT"/>
          <w:color w:val="000000"/>
          <w:szCs w:val="24"/>
        </w:rPr>
        <w:t xml:space="preserve"> </w:t>
      </w:r>
    </w:p>
    <w:p w14:paraId="1B556C9A" w14:textId="11FE4EB8" w:rsidR="00E8090D" w:rsidRPr="00D17AD4" w:rsidRDefault="00E8090D" w:rsidP="00F20120">
      <w:pPr>
        <w:autoSpaceDE w:val="0"/>
        <w:autoSpaceDN w:val="0"/>
        <w:adjustRightInd w:val="0"/>
        <w:ind w:left="720" w:hanging="720"/>
        <w:rPr>
          <w:rFonts w:cs="Times New Roman"/>
          <w:szCs w:val="24"/>
        </w:rPr>
      </w:pPr>
      <w:r w:rsidRPr="00D17AD4">
        <w:rPr>
          <w:rFonts w:cs="Times New Roman"/>
          <w:szCs w:val="24"/>
        </w:rPr>
        <w:t xml:space="preserve">Howard, E. R., Lindholm-Leary, K. J., Rogers, D., </w:t>
      </w:r>
      <w:proofErr w:type="spellStart"/>
      <w:r w:rsidRPr="00D17AD4">
        <w:rPr>
          <w:rFonts w:cs="Times New Roman"/>
          <w:szCs w:val="24"/>
        </w:rPr>
        <w:t>Olague</w:t>
      </w:r>
      <w:proofErr w:type="spellEnd"/>
      <w:r w:rsidRPr="00D17AD4">
        <w:rPr>
          <w:rFonts w:cs="Times New Roman"/>
          <w:szCs w:val="24"/>
        </w:rPr>
        <w:t xml:space="preserve">, N., Medina, J., Kennedy, B., Sugarman, J., &amp; Christian, D. (2018). </w:t>
      </w:r>
      <w:r w:rsidRPr="00D17AD4">
        <w:rPr>
          <w:rFonts w:cs="Times New Roman"/>
          <w:i/>
          <w:iCs/>
          <w:szCs w:val="24"/>
        </w:rPr>
        <w:t>Guiding Principles</w:t>
      </w:r>
      <w:r w:rsidR="00FB7A9E" w:rsidRPr="00D17AD4">
        <w:rPr>
          <w:rFonts w:cs="Times New Roman"/>
          <w:szCs w:val="24"/>
        </w:rPr>
        <w:t xml:space="preserve"> </w:t>
      </w:r>
      <w:r w:rsidRPr="00D17AD4">
        <w:rPr>
          <w:rFonts w:cs="Times New Roman"/>
          <w:i/>
          <w:iCs/>
          <w:szCs w:val="24"/>
        </w:rPr>
        <w:t xml:space="preserve">for Dual Language Education </w:t>
      </w:r>
      <w:r w:rsidRPr="00D17AD4">
        <w:rPr>
          <w:rFonts w:cs="Times New Roman"/>
          <w:szCs w:val="24"/>
        </w:rPr>
        <w:t>(3rd ed.). Center for</w:t>
      </w:r>
      <w:r w:rsidR="00FB7A9E" w:rsidRPr="00D17AD4">
        <w:rPr>
          <w:rFonts w:cs="Times New Roman"/>
          <w:szCs w:val="24"/>
        </w:rPr>
        <w:t xml:space="preserve"> </w:t>
      </w:r>
      <w:r w:rsidRPr="00D17AD4">
        <w:rPr>
          <w:rFonts w:cs="Times New Roman"/>
          <w:szCs w:val="24"/>
        </w:rPr>
        <w:t>Applied Linguistics.</w:t>
      </w:r>
    </w:p>
    <w:p w14:paraId="08F02984" w14:textId="72816C9D" w:rsidR="00BF3346" w:rsidRDefault="00BF3346" w:rsidP="00F20120">
      <w:pPr>
        <w:pStyle w:val="NoSpacing"/>
        <w:ind w:left="720" w:hanging="720"/>
        <w:rPr>
          <w:rFonts w:ascii="Times New Roman" w:hAnsi="Times New Roman" w:cs="Times New Roman"/>
          <w:color w:val="000000"/>
          <w:sz w:val="24"/>
          <w:szCs w:val="24"/>
          <w:shd w:val="clear" w:color="auto" w:fill="FFFFFF"/>
        </w:rPr>
      </w:pPr>
      <w:proofErr w:type="spellStart"/>
      <w:r w:rsidRPr="00BF3346">
        <w:rPr>
          <w:rFonts w:ascii="Times New Roman" w:hAnsi="Times New Roman" w:cs="Times New Roman"/>
          <w:color w:val="000000"/>
          <w:sz w:val="24"/>
          <w:szCs w:val="24"/>
          <w:shd w:val="clear" w:color="auto" w:fill="FFFFFF"/>
        </w:rPr>
        <w:t>Hult</w:t>
      </w:r>
      <w:proofErr w:type="spellEnd"/>
      <w:r w:rsidRPr="00BF3346">
        <w:rPr>
          <w:rFonts w:ascii="Times New Roman" w:hAnsi="Times New Roman" w:cs="Times New Roman"/>
          <w:color w:val="000000"/>
          <w:sz w:val="24"/>
          <w:szCs w:val="24"/>
          <w:shd w:val="clear" w:color="auto" w:fill="FFFFFF"/>
        </w:rPr>
        <w:t xml:space="preserve">, F. M., &amp; Hornberger, N. H. (2016). Revisiting </w:t>
      </w:r>
      <w:r>
        <w:rPr>
          <w:rFonts w:ascii="Times New Roman" w:hAnsi="Times New Roman" w:cs="Times New Roman"/>
          <w:color w:val="000000"/>
          <w:sz w:val="24"/>
          <w:szCs w:val="24"/>
          <w:shd w:val="clear" w:color="auto" w:fill="FFFFFF"/>
        </w:rPr>
        <w:t>o</w:t>
      </w:r>
      <w:r w:rsidRPr="00BF3346">
        <w:rPr>
          <w:rFonts w:ascii="Times New Roman" w:hAnsi="Times New Roman" w:cs="Times New Roman"/>
          <w:color w:val="000000"/>
          <w:sz w:val="24"/>
          <w:szCs w:val="24"/>
          <w:shd w:val="clear" w:color="auto" w:fill="FFFFFF"/>
        </w:rPr>
        <w:t xml:space="preserve">rientations in </w:t>
      </w:r>
      <w:r>
        <w:rPr>
          <w:rFonts w:ascii="Times New Roman" w:hAnsi="Times New Roman" w:cs="Times New Roman"/>
          <w:color w:val="000000"/>
          <w:sz w:val="24"/>
          <w:szCs w:val="24"/>
          <w:shd w:val="clear" w:color="auto" w:fill="FFFFFF"/>
        </w:rPr>
        <w:t>l</w:t>
      </w:r>
      <w:r w:rsidRPr="00BF3346">
        <w:rPr>
          <w:rFonts w:ascii="Times New Roman" w:hAnsi="Times New Roman" w:cs="Times New Roman"/>
          <w:color w:val="000000"/>
          <w:sz w:val="24"/>
          <w:szCs w:val="24"/>
          <w:shd w:val="clear" w:color="auto" w:fill="FFFFFF"/>
        </w:rPr>
        <w:t xml:space="preserve">anguage </w:t>
      </w:r>
      <w:r>
        <w:rPr>
          <w:rFonts w:ascii="Times New Roman" w:hAnsi="Times New Roman" w:cs="Times New Roman"/>
          <w:color w:val="000000"/>
          <w:sz w:val="24"/>
          <w:szCs w:val="24"/>
          <w:shd w:val="clear" w:color="auto" w:fill="FFFFFF"/>
        </w:rPr>
        <w:t>p</w:t>
      </w:r>
      <w:r w:rsidRPr="00BF3346">
        <w:rPr>
          <w:rFonts w:ascii="Times New Roman" w:hAnsi="Times New Roman" w:cs="Times New Roman"/>
          <w:color w:val="000000"/>
          <w:sz w:val="24"/>
          <w:szCs w:val="24"/>
          <w:shd w:val="clear" w:color="auto" w:fill="FFFFFF"/>
        </w:rPr>
        <w:t xml:space="preserve">lanning: Problem, </w:t>
      </w:r>
      <w:r>
        <w:rPr>
          <w:rFonts w:ascii="Times New Roman" w:hAnsi="Times New Roman" w:cs="Times New Roman"/>
          <w:color w:val="000000"/>
          <w:sz w:val="24"/>
          <w:szCs w:val="24"/>
          <w:shd w:val="clear" w:color="auto" w:fill="FFFFFF"/>
        </w:rPr>
        <w:t>r</w:t>
      </w:r>
      <w:r w:rsidRPr="00BF3346">
        <w:rPr>
          <w:rFonts w:ascii="Times New Roman" w:hAnsi="Times New Roman" w:cs="Times New Roman"/>
          <w:color w:val="000000"/>
          <w:sz w:val="24"/>
          <w:szCs w:val="24"/>
          <w:shd w:val="clear" w:color="auto" w:fill="FFFFFF"/>
        </w:rPr>
        <w:t xml:space="preserve">ight, and </w:t>
      </w:r>
      <w:r>
        <w:rPr>
          <w:rFonts w:ascii="Times New Roman" w:hAnsi="Times New Roman" w:cs="Times New Roman"/>
          <w:color w:val="000000"/>
          <w:sz w:val="24"/>
          <w:szCs w:val="24"/>
          <w:shd w:val="clear" w:color="auto" w:fill="FFFFFF"/>
        </w:rPr>
        <w:t>r</w:t>
      </w:r>
      <w:r w:rsidRPr="00BF3346">
        <w:rPr>
          <w:rFonts w:ascii="Times New Roman" w:hAnsi="Times New Roman" w:cs="Times New Roman"/>
          <w:color w:val="000000"/>
          <w:sz w:val="24"/>
          <w:szCs w:val="24"/>
          <w:shd w:val="clear" w:color="auto" w:fill="FFFFFF"/>
        </w:rPr>
        <w:t xml:space="preserve">esource as an </w:t>
      </w:r>
      <w:r>
        <w:rPr>
          <w:rFonts w:ascii="Times New Roman" w:hAnsi="Times New Roman" w:cs="Times New Roman"/>
          <w:color w:val="000000"/>
          <w:sz w:val="24"/>
          <w:szCs w:val="24"/>
          <w:shd w:val="clear" w:color="auto" w:fill="FFFFFF"/>
        </w:rPr>
        <w:t>a</w:t>
      </w:r>
      <w:r w:rsidRPr="00BF3346">
        <w:rPr>
          <w:rFonts w:ascii="Times New Roman" w:hAnsi="Times New Roman" w:cs="Times New Roman"/>
          <w:color w:val="000000"/>
          <w:sz w:val="24"/>
          <w:szCs w:val="24"/>
          <w:shd w:val="clear" w:color="auto" w:fill="FFFFFF"/>
        </w:rPr>
        <w:t xml:space="preserve">nalytical </w:t>
      </w:r>
      <w:r>
        <w:rPr>
          <w:rFonts w:ascii="Times New Roman" w:hAnsi="Times New Roman" w:cs="Times New Roman"/>
          <w:color w:val="000000"/>
          <w:sz w:val="24"/>
          <w:szCs w:val="24"/>
          <w:shd w:val="clear" w:color="auto" w:fill="FFFFFF"/>
        </w:rPr>
        <w:t>h</w:t>
      </w:r>
      <w:r w:rsidRPr="00BF3346">
        <w:rPr>
          <w:rFonts w:ascii="Times New Roman" w:hAnsi="Times New Roman" w:cs="Times New Roman"/>
          <w:color w:val="000000"/>
          <w:sz w:val="24"/>
          <w:szCs w:val="24"/>
          <w:shd w:val="clear" w:color="auto" w:fill="FFFFFF"/>
        </w:rPr>
        <w:t>euristic. </w:t>
      </w:r>
      <w:r w:rsidRPr="00BF3346">
        <w:rPr>
          <w:rStyle w:val="Emphasis"/>
          <w:rFonts w:ascii="Times New Roman" w:hAnsi="Times New Roman" w:cs="Times New Roman"/>
          <w:color w:val="000000"/>
          <w:sz w:val="24"/>
          <w:szCs w:val="24"/>
          <w:bdr w:val="none" w:sz="0" w:space="0" w:color="auto" w:frame="1"/>
          <w:shd w:val="clear" w:color="auto" w:fill="FFFFFF"/>
        </w:rPr>
        <w:t xml:space="preserve">The Bilingual Review/La </w:t>
      </w:r>
      <w:proofErr w:type="spellStart"/>
      <w:r w:rsidRPr="00BF3346">
        <w:rPr>
          <w:rStyle w:val="Emphasis"/>
          <w:rFonts w:ascii="Times New Roman" w:hAnsi="Times New Roman" w:cs="Times New Roman"/>
          <w:color w:val="000000"/>
          <w:sz w:val="24"/>
          <w:szCs w:val="24"/>
          <w:bdr w:val="none" w:sz="0" w:space="0" w:color="auto" w:frame="1"/>
          <w:shd w:val="clear" w:color="auto" w:fill="FFFFFF"/>
        </w:rPr>
        <w:t>Revista</w:t>
      </w:r>
      <w:proofErr w:type="spellEnd"/>
      <w:r w:rsidRPr="00BF3346">
        <w:rPr>
          <w:rStyle w:val="Emphasis"/>
          <w:rFonts w:ascii="Times New Roman" w:hAnsi="Times New Roman" w:cs="Times New Roman"/>
          <w:color w:val="000000"/>
          <w:sz w:val="24"/>
          <w:szCs w:val="24"/>
          <w:bdr w:val="none" w:sz="0" w:space="0" w:color="auto" w:frame="1"/>
          <w:shd w:val="clear" w:color="auto" w:fill="FFFFFF"/>
        </w:rPr>
        <w:t xml:space="preserve"> </w:t>
      </w:r>
      <w:proofErr w:type="spellStart"/>
      <w:r w:rsidRPr="00BF3346">
        <w:rPr>
          <w:rStyle w:val="Emphasis"/>
          <w:rFonts w:ascii="Times New Roman" w:hAnsi="Times New Roman" w:cs="Times New Roman"/>
          <w:color w:val="000000"/>
          <w:sz w:val="24"/>
          <w:szCs w:val="24"/>
          <w:bdr w:val="none" w:sz="0" w:space="0" w:color="auto" w:frame="1"/>
          <w:shd w:val="clear" w:color="auto" w:fill="FFFFFF"/>
        </w:rPr>
        <w:t>Bilingüe</w:t>
      </w:r>
      <w:proofErr w:type="spellEnd"/>
      <w:r w:rsidRPr="00BF3346">
        <w:rPr>
          <w:rStyle w:val="Emphasis"/>
          <w:rFonts w:ascii="Times New Roman" w:hAnsi="Times New Roman" w:cs="Times New Roman"/>
          <w:color w:val="000000"/>
          <w:sz w:val="24"/>
          <w:szCs w:val="24"/>
          <w:bdr w:val="none" w:sz="0" w:space="0" w:color="auto" w:frame="1"/>
          <w:shd w:val="clear" w:color="auto" w:fill="FFFFFF"/>
        </w:rPr>
        <w:t>,</w:t>
      </w:r>
      <w:r w:rsidRPr="00BF3346">
        <w:rPr>
          <w:rFonts w:ascii="Times New Roman" w:hAnsi="Times New Roman" w:cs="Times New Roman"/>
          <w:color w:val="000000"/>
          <w:sz w:val="24"/>
          <w:szCs w:val="24"/>
          <w:shd w:val="clear" w:color="auto" w:fill="FFFFFF"/>
        </w:rPr>
        <w:t> </w:t>
      </w:r>
      <w:r w:rsidRPr="00BF3346">
        <w:rPr>
          <w:rStyle w:val="Emphasis"/>
          <w:rFonts w:ascii="Times New Roman" w:hAnsi="Times New Roman" w:cs="Times New Roman"/>
          <w:color w:val="000000"/>
          <w:sz w:val="24"/>
          <w:szCs w:val="24"/>
          <w:bdr w:val="none" w:sz="0" w:space="0" w:color="auto" w:frame="1"/>
          <w:shd w:val="clear" w:color="auto" w:fill="FFFFFF"/>
        </w:rPr>
        <w:t>33</w:t>
      </w:r>
      <w:r w:rsidRPr="00BF3346">
        <w:rPr>
          <w:rFonts w:ascii="Times New Roman" w:hAnsi="Times New Roman" w:cs="Times New Roman"/>
          <w:color w:val="000000"/>
          <w:sz w:val="24"/>
          <w:szCs w:val="24"/>
          <w:shd w:val="clear" w:color="auto" w:fill="FFFFFF"/>
        </w:rPr>
        <w:t xml:space="preserve">(3), 30-49. </w:t>
      </w:r>
      <w:hyperlink r:id="rId11" w:history="1">
        <w:r w:rsidR="000A55A0" w:rsidRPr="006A49EA">
          <w:rPr>
            <w:rStyle w:val="Hyperlink"/>
            <w:rFonts w:ascii="Times New Roman" w:hAnsi="Times New Roman" w:cs="Times New Roman"/>
            <w:sz w:val="24"/>
            <w:szCs w:val="24"/>
            <w:shd w:val="clear" w:color="auto" w:fill="FFFFFF"/>
          </w:rPr>
          <w:t>https://repository.upenn.edu/gse_pubs/476</w:t>
        </w:r>
      </w:hyperlink>
    </w:p>
    <w:p w14:paraId="10D271F9" w14:textId="36FA341A" w:rsidR="000A55A0" w:rsidRPr="000A55A0" w:rsidRDefault="000A55A0" w:rsidP="000A55A0">
      <w:pPr>
        <w:pStyle w:val="NoSpacing"/>
        <w:ind w:left="720" w:hanging="720"/>
        <w:rPr>
          <w:rFonts w:ascii="Times New Roman" w:hAnsi="Times New Roman" w:cs="Times New Roman"/>
          <w:sz w:val="24"/>
          <w:szCs w:val="24"/>
        </w:rPr>
      </w:pPr>
      <w:r w:rsidRPr="000A55A0">
        <w:rPr>
          <w:rFonts w:ascii="Times New Roman" w:hAnsi="Times New Roman" w:cs="Times New Roman"/>
          <w:bCs/>
          <w:sz w:val="24"/>
          <w:szCs w:val="24"/>
        </w:rPr>
        <w:t xml:space="preserve">Johnson, A. (2022). Achievement and growth for English Learners. </w:t>
      </w:r>
      <w:r w:rsidRPr="000A55A0">
        <w:rPr>
          <w:rFonts w:ascii="Times New Roman" w:hAnsi="Times New Roman" w:cs="Times New Roman"/>
          <w:bCs/>
          <w:i/>
          <w:iCs/>
          <w:sz w:val="24"/>
          <w:szCs w:val="24"/>
        </w:rPr>
        <w:t>Educational Policy</w:t>
      </w:r>
      <w:r w:rsidRPr="000A55A0">
        <w:rPr>
          <w:rFonts w:ascii="Times New Roman" w:hAnsi="Times New Roman" w:cs="Times New Roman"/>
          <w:bCs/>
          <w:sz w:val="24"/>
          <w:szCs w:val="24"/>
        </w:rPr>
        <w:t xml:space="preserve">, </w:t>
      </w:r>
      <w:r w:rsidRPr="000A55A0">
        <w:rPr>
          <w:rFonts w:ascii="Times New Roman" w:hAnsi="Times New Roman" w:cs="Times New Roman"/>
          <w:i/>
          <w:iCs/>
          <w:color w:val="333333"/>
          <w:sz w:val="24"/>
          <w:szCs w:val="24"/>
          <w:shd w:val="clear" w:color="auto" w:fill="FFFFFF"/>
        </w:rPr>
        <w:t>37</w:t>
      </w:r>
      <w:r w:rsidRPr="000A55A0">
        <w:rPr>
          <w:rFonts w:ascii="Times New Roman" w:hAnsi="Times New Roman" w:cs="Times New Roman"/>
          <w:color w:val="333333"/>
          <w:sz w:val="24"/>
          <w:szCs w:val="24"/>
          <w:shd w:val="clear" w:color="auto" w:fill="FFFFFF"/>
        </w:rPr>
        <w:t>(4), 1044-1069. </w:t>
      </w:r>
      <w:hyperlink r:id="rId12" w:history="1">
        <w:r w:rsidRPr="000A55A0">
          <w:rPr>
            <w:rStyle w:val="Hyperlink"/>
            <w:rFonts w:ascii="Times New Roman" w:hAnsi="Times New Roman" w:cs="Times New Roman"/>
            <w:color w:val="006ACC"/>
            <w:sz w:val="24"/>
            <w:szCs w:val="24"/>
            <w:shd w:val="clear" w:color="auto" w:fill="FFFFFF"/>
          </w:rPr>
          <w:t>https://doi.org/10.1177/08959048211049419</w:t>
        </w:r>
      </w:hyperlink>
    </w:p>
    <w:p w14:paraId="4077FA08" w14:textId="69C1E5E1" w:rsidR="00D1291C" w:rsidRDefault="00D1291C" w:rsidP="00F20120">
      <w:pPr>
        <w:pStyle w:val="NoSpacing"/>
        <w:ind w:left="720" w:hanging="720"/>
        <w:rPr>
          <w:rFonts w:ascii="Times New Roman" w:hAnsi="Times New Roman" w:cs="Times New Roman"/>
          <w:bCs/>
          <w:sz w:val="24"/>
          <w:szCs w:val="24"/>
        </w:rPr>
      </w:pPr>
      <w:proofErr w:type="spellStart"/>
      <w:r w:rsidRPr="00D17AD4">
        <w:rPr>
          <w:rFonts w:ascii="Times New Roman" w:hAnsi="Times New Roman" w:cs="Times New Roman"/>
          <w:bCs/>
          <w:sz w:val="24"/>
          <w:szCs w:val="24"/>
        </w:rPr>
        <w:t>Kuhfeld</w:t>
      </w:r>
      <w:proofErr w:type="spellEnd"/>
      <w:r w:rsidRPr="00D17AD4">
        <w:rPr>
          <w:rFonts w:ascii="Times New Roman" w:hAnsi="Times New Roman" w:cs="Times New Roman"/>
          <w:bCs/>
          <w:sz w:val="24"/>
          <w:szCs w:val="24"/>
        </w:rPr>
        <w:t xml:space="preserve">, M. (2019). Surprising new evidence on summer learning loss. </w:t>
      </w:r>
      <w:r w:rsidRPr="00D17AD4">
        <w:rPr>
          <w:rFonts w:ascii="Times New Roman" w:hAnsi="Times New Roman" w:cs="Times New Roman"/>
          <w:bCs/>
          <w:i/>
          <w:iCs/>
          <w:sz w:val="24"/>
          <w:szCs w:val="24"/>
        </w:rPr>
        <w:t xml:space="preserve">Phi Delta </w:t>
      </w:r>
      <w:proofErr w:type="spellStart"/>
      <w:r w:rsidRPr="00D17AD4">
        <w:rPr>
          <w:rFonts w:ascii="Times New Roman" w:hAnsi="Times New Roman" w:cs="Times New Roman"/>
          <w:bCs/>
          <w:i/>
          <w:iCs/>
          <w:sz w:val="24"/>
          <w:szCs w:val="24"/>
        </w:rPr>
        <w:t>Kappan</w:t>
      </w:r>
      <w:proofErr w:type="spellEnd"/>
      <w:r w:rsidRPr="00D17AD4">
        <w:rPr>
          <w:rFonts w:ascii="Times New Roman" w:hAnsi="Times New Roman" w:cs="Times New Roman"/>
          <w:bCs/>
          <w:i/>
          <w:iCs/>
          <w:sz w:val="24"/>
          <w:szCs w:val="24"/>
        </w:rPr>
        <w:t>, 101</w:t>
      </w:r>
      <w:r w:rsidRPr="00D17AD4">
        <w:rPr>
          <w:rFonts w:ascii="Times New Roman" w:hAnsi="Times New Roman" w:cs="Times New Roman"/>
          <w:bCs/>
          <w:sz w:val="24"/>
          <w:szCs w:val="24"/>
        </w:rPr>
        <w:t xml:space="preserve"> (1), 25-29.</w:t>
      </w:r>
    </w:p>
    <w:p w14:paraId="25B84785" w14:textId="670435F9" w:rsidR="000952BB" w:rsidRPr="009A3A66" w:rsidRDefault="000952BB" w:rsidP="00F20120">
      <w:pPr>
        <w:pStyle w:val="NoSpacing"/>
        <w:ind w:left="720" w:hanging="720"/>
        <w:rPr>
          <w:rFonts w:ascii="Times New Roman" w:hAnsi="Times New Roman" w:cs="Times New Roman"/>
          <w:bCs/>
          <w:sz w:val="24"/>
          <w:szCs w:val="24"/>
        </w:rPr>
      </w:pPr>
      <w:r>
        <w:rPr>
          <w:rFonts w:ascii="Times New Roman" w:hAnsi="Times New Roman" w:cs="Times New Roman"/>
          <w:bCs/>
          <w:sz w:val="24"/>
          <w:szCs w:val="24"/>
        </w:rPr>
        <w:t>Kuhfeld, M. &amp; Soland, J. (2021). The learning curve: Revisiting the assumption of linear growth during the school year.</w:t>
      </w:r>
      <w:r w:rsidR="009A3A66">
        <w:rPr>
          <w:rFonts w:ascii="Times New Roman" w:hAnsi="Times New Roman" w:cs="Times New Roman"/>
          <w:bCs/>
          <w:sz w:val="24"/>
          <w:szCs w:val="24"/>
        </w:rPr>
        <w:t xml:space="preserve"> </w:t>
      </w:r>
      <w:r w:rsidR="009A3A66">
        <w:rPr>
          <w:rFonts w:ascii="Times New Roman" w:hAnsi="Times New Roman" w:cs="Times New Roman"/>
          <w:bCs/>
          <w:i/>
          <w:iCs/>
          <w:sz w:val="24"/>
          <w:szCs w:val="24"/>
        </w:rPr>
        <w:t>Journal of Research on Educational Effectiveness</w:t>
      </w:r>
      <w:r w:rsidR="009A3A66" w:rsidRPr="009A3A66">
        <w:rPr>
          <w:rFonts w:ascii="Times New Roman" w:hAnsi="Times New Roman" w:cs="Times New Roman"/>
          <w:bCs/>
          <w:sz w:val="24"/>
          <w:szCs w:val="24"/>
        </w:rPr>
        <w:t>,</w:t>
      </w:r>
      <w:r w:rsidR="009A3A66">
        <w:rPr>
          <w:rFonts w:ascii="Times New Roman" w:hAnsi="Times New Roman" w:cs="Times New Roman"/>
          <w:bCs/>
          <w:i/>
          <w:iCs/>
          <w:sz w:val="24"/>
          <w:szCs w:val="24"/>
        </w:rPr>
        <w:t xml:space="preserve"> 14</w:t>
      </w:r>
      <w:r w:rsidR="009A3A66" w:rsidRPr="009A3A66">
        <w:rPr>
          <w:rFonts w:ascii="Times New Roman" w:hAnsi="Times New Roman" w:cs="Times New Roman"/>
          <w:bCs/>
          <w:sz w:val="24"/>
          <w:szCs w:val="24"/>
        </w:rPr>
        <w:t>(1), 143-171. DOI: 10.1080/19345747.2020.1839990</w:t>
      </w:r>
    </w:p>
    <w:p w14:paraId="14BFABB4" w14:textId="19603C2A" w:rsidR="00E67397" w:rsidRPr="00D17AD4" w:rsidRDefault="00E67397" w:rsidP="00F20120">
      <w:pPr>
        <w:autoSpaceDE w:val="0"/>
        <w:autoSpaceDN w:val="0"/>
        <w:adjustRightInd w:val="0"/>
        <w:ind w:left="720" w:hanging="720"/>
        <w:rPr>
          <w:rFonts w:cs="Times New Roman"/>
          <w:szCs w:val="24"/>
        </w:rPr>
      </w:pPr>
      <w:r w:rsidRPr="00D17AD4">
        <w:rPr>
          <w:szCs w:val="24"/>
        </w:rPr>
        <w:lastRenderedPageBreak/>
        <w:t xml:space="preserve">Lindholm-Leary, K. &amp; Block, N. (2010). </w:t>
      </w:r>
      <w:r w:rsidRPr="00D17AD4">
        <w:rPr>
          <w:rFonts w:cs="Times New Roman"/>
          <w:szCs w:val="24"/>
        </w:rPr>
        <w:t xml:space="preserve">Achievement in predominantly low SES/Hispanic dual language schools. </w:t>
      </w:r>
      <w:r w:rsidRPr="00D17AD4">
        <w:rPr>
          <w:rFonts w:cs="Times New Roman"/>
          <w:i/>
          <w:iCs/>
          <w:szCs w:val="24"/>
        </w:rPr>
        <w:t>International Journal of Bilingual Education and Bilingualism, 13</w:t>
      </w:r>
      <w:r w:rsidRPr="00D17AD4">
        <w:rPr>
          <w:rFonts w:cs="Times New Roman"/>
          <w:szCs w:val="24"/>
        </w:rPr>
        <w:t>(1), 43-60. DOI: 10.1080/13670050902777546</w:t>
      </w:r>
    </w:p>
    <w:p w14:paraId="6BF5047E" w14:textId="73F590A2" w:rsidR="00E67397" w:rsidRPr="00D17AD4" w:rsidRDefault="00E67397" w:rsidP="00F20120">
      <w:pPr>
        <w:autoSpaceDE w:val="0"/>
        <w:autoSpaceDN w:val="0"/>
        <w:adjustRightInd w:val="0"/>
        <w:ind w:left="720" w:hanging="720"/>
        <w:rPr>
          <w:rFonts w:cs="Times New Roman"/>
          <w:szCs w:val="24"/>
        </w:rPr>
      </w:pPr>
      <w:r w:rsidRPr="00D17AD4">
        <w:rPr>
          <w:szCs w:val="24"/>
        </w:rPr>
        <w:t xml:space="preserve">Lindholm-Leary, K. &amp; Hernández, A. (2011). </w:t>
      </w:r>
      <w:r w:rsidRPr="00D17AD4">
        <w:rPr>
          <w:rFonts w:cs="Times New Roman"/>
          <w:szCs w:val="24"/>
        </w:rPr>
        <w:t xml:space="preserve">Achievement and language proficiency of Latino students in dual language </w:t>
      </w:r>
      <w:proofErr w:type="spellStart"/>
      <w:r w:rsidRPr="00D17AD4">
        <w:rPr>
          <w:rFonts w:cs="Times New Roman"/>
          <w:szCs w:val="24"/>
        </w:rPr>
        <w:t>programmes</w:t>
      </w:r>
      <w:proofErr w:type="spellEnd"/>
      <w:r w:rsidRPr="00D17AD4">
        <w:rPr>
          <w:rFonts w:cs="Times New Roman"/>
          <w:szCs w:val="24"/>
        </w:rPr>
        <w:t xml:space="preserve">: native English speakers, fluent English/previous ELLs, and current ELLs. </w:t>
      </w:r>
      <w:r w:rsidRPr="00D17AD4">
        <w:rPr>
          <w:rFonts w:cs="Times New Roman"/>
          <w:i/>
          <w:iCs/>
          <w:szCs w:val="24"/>
        </w:rPr>
        <w:t>Journal of Multilingual and Multicultural Development, 32</w:t>
      </w:r>
      <w:r w:rsidRPr="00D17AD4">
        <w:rPr>
          <w:rFonts w:cs="Times New Roman"/>
          <w:szCs w:val="24"/>
        </w:rPr>
        <w:t>(6), 531-545. DOI: 10.1080/01434632.2011.611596</w:t>
      </w:r>
    </w:p>
    <w:p w14:paraId="5CA3975C" w14:textId="24CE38F0" w:rsidR="008A7227" w:rsidRDefault="008A7227" w:rsidP="00F20120">
      <w:pPr>
        <w:autoSpaceDE w:val="0"/>
        <w:autoSpaceDN w:val="0"/>
        <w:adjustRightInd w:val="0"/>
        <w:ind w:left="720" w:hanging="720"/>
        <w:rPr>
          <w:rFonts w:cs="Times New Roman"/>
          <w:szCs w:val="24"/>
          <w:shd w:val="clear" w:color="auto" w:fill="FFFFFF"/>
        </w:rPr>
      </w:pPr>
      <w:bookmarkStart w:id="21" w:name="_Hlk139465532"/>
      <w:r>
        <w:rPr>
          <w:rFonts w:cs="Times New Roman"/>
          <w:szCs w:val="24"/>
          <w:shd w:val="clear" w:color="auto" w:fill="FFFFFF"/>
        </w:rPr>
        <w:t xml:space="preserve">McCormick, M. P., </w:t>
      </w:r>
      <w:proofErr w:type="spellStart"/>
      <w:r>
        <w:rPr>
          <w:rFonts w:cs="Times New Roman"/>
          <w:szCs w:val="24"/>
          <w:shd w:val="clear" w:color="auto" w:fill="FFFFFF"/>
        </w:rPr>
        <w:t>Pralica</w:t>
      </w:r>
      <w:proofErr w:type="spellEnd"/>
      <w:r>
        <w:rPr>
          <w:rFonts w:cs="Times New Roman"/>
          <w:szCs w:val="24"/>
          <w:shd w:val="clear" w:color="auto" w:fill="FFFFFF"/>
        </w:rPr>
        <w:t>, M., Guerrero-</w:t>
      </w:r>
      <w:proofErr w:type="spellStart"/>
      <w:r>
        <w:rPr>
          <w:rFonts w:cs="Times New Roman"/>
          <w:szCs w:val="24"/>
          <w:shd w:val="clear" w:color="auto" w:fill="FFFFFF"/>
        </w:rPr>
        <w:t>Rosada</w:t>
      </w:r>
      <w:proofErr w:type="spellEnd"/>
      <w:r>
        <w:rPr>
          <w:rFonts w:cs="Times New Roman"/>
          <w:szCs w:val="24"/>
          <w:shd w:val="clear" w:color="auto" w:fill="FFFFFF"/>
        </w:rPr>
        <w:t xml:space="preserve">, P., Weiland, C., Hsueh, J., </w:t>
      </w:r>
      <w:proofErr w:type="spellStart"/>
      <w:r>
        <w:rPr>
          <w:rFonts w:cs="Times New Roman"/>
          <w:szCs w:val="24"/>
          <w:shd w:val="clear" w:color="auto" w:fill="FFFFFF"/>
        </w:rPr>
        <w:t>Condliffe</w:t>
      </w:r>
      <w:proofErr w:type="spellEnd"/>
      <w:r>
        <w:rPr>
          <w:rFonts w:cs="Times New Roman"/>
          <w:szCs w:val="24"/>
          <w:shd w:val="clear" w:color="auto" w:fill="FFFFFF"/>
        </w:rPr>
        <w:t xml:space="preserve">, B., Sachs, J., &amp; Snow, C. (2021). Can center-based care reduce summer slowdown prior to kindergarten? Exploring variation by family income, race/ethnicity, and dual language learner </w:t>
      </w:r>
      <w:r w:rsidRPr="00DA17A3">
        <w:rPr>
          <w:rFonts w:cs="Times New Roman"/>
          <w:szCs w:val="24"/>
          <w:shd w:val="clear" w:color="auto" w:fill="FFFFFF"/>
        </w:rPr>
        <w:t>status.</w:t>
      </w:r>
      <w:r w:rsidR="00DA17A3" w:rsidRPr="00DA17A3">
        <w:rPr>
          <w:rFonts w:cs="Times New Roman"/>
          <w:szCs w:val="24"/>
          <w:shd w:val="clear" w:color="auto" w:fill="FFFFFF"/>
        </w:rPr>
        <w:t xml:space="preserve"> </w:t>
      </w:r>
      <w:r w:rsidR="00DA17A3" w:rsidRPr="00DA17A3">
        <w:rPr>
          <w:rFonts w:cs="Times New Roman"/>
          <w:i/>
          <w:iCs/>
          <w:szCs w:val="24"/>
          <w:shd w:val="clear" w:color="auto" w:fill="FFFFFF"/>
        </w:rPr>
        <w:t>American Educational Research Journal</w:t>
      </w:r>
      <w:r w:rsidR="00DA17A3" w:rsidRPr="00DA17A3">
        <w:rPr>
          <w:rFonts w:cs="Times New Roman"/>
          <w:szCs w:val="24"/>
          <w:shd w:val="clear" w:color="auto" w:fill="FFFFFF"/>
        </w:rPr>
        <w:t xml:space="preserve">, </w:t>
      </w:r>
      <w:r w:rsidR="00DA17A3" w:rsidRPr="00DA17A3">
        <w:rPr>
          <w:rFonts w:cs="Times New Roman"/>
          <w:i/>
          <w:iCs/>
          <w:szCs w:val="24"/>
          <w:shd w:val="clear" w:color="auto" w:fill="FFFFFF"/>
        </w:rPr>
        <w:t>58</w:t>
      </w:r>
      <w:r w:rsidR="00DA17A3" w:rsidRPr="00DA17A3">
        <w:rPr>
          <w:rFonts w:cs="Times New Roman"/>
          <w:szCs w:val="24"/>
          <w:shd w:val="clear" w:color="auto" w:fill="FFFFFF"/>
        </w:rPr>
        <w:t xml:space="preserve">(2), 420-455. </w:t>
      </w:r>
      <w:r w:rsidR="00DA17A3" w:rsidRPr="00DA17A3">
        <w:rPr>
          <w:rFonts w:cs="Times New Roman"/>
          <w:szCs w:val="24"/>
        </w:rPr>
        <w:t>DOI: 10.3102/0002831220944908</w:t>
      </w:r>
    </w:p>
    <w:p w14:paraId="1A58002B" w14:textId="336C4BC5" w:rsidR="00483708" w:rsidRDefault="00483708" w:rsidP="00F20120">
      <w:pPr>
        <w:autoSpaceDE w:val="0"/>
        <w:autoSpaceDN w:val="0"/>
        <w:adjustRightInd w:val="0"/>
        <w:ind w:left="720" w:hanging="720"/>
        <w:rPr>
          <w:rFonts w:cs="Times New Roman"/>
          <w:szCs w:val="24"/>
          <w:shd w:val="clear" w:color="auto" w:fill="FFFFFF"/>
        </w:rPr>
      </w:pPr>
      <w:r>
        <w:rPr>
          <w:rFonts w:cs="Times New Roman"/>
          <w:szCs w:val="24"/>
          <w:shd w:val="clear" w:color="auto" w:fill="FFFFFF"/>
        </w:rPr>
        <w:t xml:space="preserve">Phillips Galloway, E., Uccelli, P., Aguilar, G., &amp; Barr. C. D. (2020). Exploring the cross-linguistic contribution of Spanish and English academic language skills to English text comprehension for middle-grade dual language learners. </w:t>
      </w:r>
      <w:r w:rsidRPr="00483708">
        <w:rPr>
          <w:rFonts w:cs="Times New Roman"/>
          <w:i/>
          <w:iCs/>
          <w:szCs w:val="24"/>
          <w:shd w:val="clear" w:color="auto" w:fill="FFFFFF"/>
        </w:rPr>
        <w:t>AERA Open</w:t>
      </w:r>
      <w:r>
        <w:rPr>
          <w:rFonts w:cs="Times New Roman"/>
          <w:szCs w:val="24"/>
          <w:shd w:val="clear" w:color="auto" w:fill="FFFFFF"/>
        </w:rPr>
        <w:t xml:space="preserve">, </w:t>
      </w:r>
      <w:r w:rsidRPr="00483708">
        <w:rPr>
          <w:rFonts w:cs="Times New Roman"/>
          <w:i/>
          <w:iCs/>
          <w:szCs w:val="24"/>
          <w:shd w:val="clear" w:color="auto" w:fill="FFFFFF"/>
        </w:rPr>
        <w:t>6</w:t>
      </w:r>
      <w:r>
        <w:rPr>
          <w:rFonts w:cs="Times New Roman"/>
          <w:szCs w:val="24"/>
          <w:shd w:val="clear" w:color="auto" w:fill="FFFFFF"/>
        </w:rPr>
        <w:t>(1), 1-20.</w:t>
      </w:r>
    </w:p>
    <w:bookmarkEnd w:id="21"/>
    <w:p w14:paraId="12E16447" w14:textId="6981243C" w:rsidR="00D1291C" w:rsidRPr="00D17AD4" w:rsidRDefault="00D1291C" w:rsidP="00F20120">
      <w:pPr>
        <w:autoSpaceDE w:val="0"/>
        <w:autoSpaceDN w:val="0"/>
        <w:adjustRightInd w:val="0"/>
        <w:ind w:left="720" w:hanging="720"/>
        <w:rPr>
          <w:rFonts w:cs="Times New Roman"/>
          <w:szCs w:val="24"/>
          <w:shd w:val="clear" w:color="auto" w:fill="FFFFFF"/>
        </w:rPr>
      </w:pPr>
      <w:r w:rsidRPr="00D17AD4">
        <w:rPr>
          <w:rFonts w:cs="Times New Roman"/>
          <w:szCs w:val="24"/>
          <w:shd w:val="clear" w:color="auto" w:fill="FFFFFF"/>
        </w:rPr>
        <w:t xml:space="preserve">Quinn, D. M., </w:t>
      </w:r>
      <w:proofErr w:type="spellStart"/>
      <w:r w:rsidRPr="00D17AD4">
        <w:rPr>
          <w:rFonts w:cs="Times New Roman"/>
          <w:szCs w:val="24"/>
          <w:shd w:val="clear" w:color="auto" w:fill="FFFFFF"/>
        </w:rPr>
        <w:t>Cooc</w:t>
      </w:r>
      <w:proofErr w:type="spellEnd"/>
      <w:r w:rsidRPr="00D17AD4">
        <w:rPr>
          <w:rFonts w:cs="Times New Roman"/>
          <w:szCs w:val="24"/>
          <w:shd w:val="clear" w:color="auto" w:fill="FFFFFF"/>
        </w:rPr>
        <w:t>, N., McIntyre, J., &amp; Gomez, C. J. (2016). Seasonal dynamics of academic achievement inequality by socioeconomic status and race/ethnicity: Updating and extending past research with new national data. </w:t>
      </w:r>
      <w:r w:rsidRPr="00D17AD4">
        <w:rPr>
          <w:rFonts w:cs="Times New Roman"/>
          <w:i/>
          <w:iCs/>
          <w:szCs w:val="24"/>
          <w:shd w:val="clear" w:color="auto" w:fill="FFFFFF"/>
        </w:rPr>
        <w:t>Educational Researcher</w:t>
      </w:r>
      <w:r w:rsidRPr="00D17AD4">
        <w:rPr>
          <w:rFonts w:cs="Times New Roman"/>
          <w:szCs w:val="24"/>
          <w:shd w:val="clear" w:color="auto" w:fill="FFFFFF"/>
        </w:rPr>
        <w:t>, </w:t>
      </w:r>
      <w:r w:rsidRPr="00D17AD4">
        <w:rPr>
          <w:rFonts w:cs="Times New Roman"/>
          <w:i/>
          <w:iCs/>
          <w:szCs w:val="24"/>
          <w:shd w:val="clear" w:color="auto" w:fill="FFFFFF"/>
        </w:rPr>
        <w:t>45</w:t>
      </w:r>
      <w:r w:rsidRPr="00D17AD4">
        <w:rPr>
          <w:rFonts w:cs="Times New Roman"/>
          <w:szCs w:val="24"/>
          <w:shd w:val="clear" w:color="auto" w:fill="FFFFFF"/>
        </w:rPr>
        <w:t>, 443–453.</w:t>
      </w:r>
    </w:p>
    <w:p w14:paraId="2CABEAB8" w14:textId="4C713994" w:rsidR="00D17AD4" w:rsidRPr="00D17AD4" w:rsidRDefault="00D17AD4" w:rsidP="00F20120">
      <w:pPr>
        <w:ind w:left="720" w:hanging="720"/>
        <w:rPr>
          <w:rFonts w:cs="Times New Roman"/>
          <w:szCs w:val="24"/>
          <w:shd w:val="clear" w:color="auto" w:fill="FFFFFF"/>
        </w:rPr>
      </w:pPr>
      <w:r w:rsidRPr="00D17AD4">
        <w:rPr>
          <w:rFonts w:cs="Times New Roman"/>
          <w:szCs w:val="24"/>
          <w:shd w:val="clear" w:color="auto" w:fill="FFFFFF"/>
        </w:rPr>
        <w:t>Raudenbush, S.W., Bryk, A.S, Cheong, Y.F. &amp; Congdon, R. (2019). HLM 8 for Windows [Computer software]. Scientific Software International, Inc. </w:t>
      </w:r>
    </w:p>
    <w:p w14:paraId="40800BCD" w14:textId="4F18D751" w:rsidR="00634723" w:rsidRPr="00634723" w:rsidRDefault="00634723" w:rsidP="00F20120">
      <w:pPr>
        <w:ind w:left="720" w:hanging="720"/>
        <w:rPr>
          <w:rFonts w:cs="Times New Roman"/>
          <w:szCs w:val="24"/>
        </w:rPr>
      </w:pPr>
      <w:proofErr w:type="spellStart"/>
      <w:r w:rsidRPr="00634723">
        <w:rPr>
          <w:rStyle w:val="authors"/>
          <w:rFonts w:cs="Times New Roman"/>
          <w:color w:val="333333"/>
          <w:shd w:val="clear" w:color="auto" w:fill="FFFFFF"/>
        </w:rPr>
        <w:t>Ruíz</w:t>
      </w:r>
      <w:proofErr w:type="spellEnd"/>
      <w:r w:rsidRPr="00634723">
        <w:rPr>
          <w:rStyle w:val="authors"/>
          <w:rFonts w:cs="Times New Roman"/>
          <w:color w:val="333333"/>
          <w:shd w:val="clear" w:color="auto" w:fill="FFFFFF"/>
        </w:rPr>
        <w:t>, R.</w:t>
      </w:r>
      <w:r w:rsidRPr="00634723">
        <w:rPr>
          <w:rFonts w:cs="Times New Roman"/>
          <w:color w:val="333333"/>
          <w:shd w:val="clear" w:color="auto" w:fill="FFFFFF"/>
        </w:rPr>
        <w:t> </w:t>
      </w:r>
      <w:r w:rsidRPr="00634723">
        <w:rPr>
          <w:rStyle w:val="Date1"/>
          <w:rFonts w:cs="Times New Roman"/>
          <w:color w:val="333333"/>
          <w:shd w:val="clear" w:color="auto" w:fill="FFFFFF"/>
        </w:rPr>
        <w:t>(1984).</w:t>
      </w:r>
      <w:r w:rsidRPr="00634723">
        <w:rPr>
          <w:rFonts w:cs="Times New Roman"/>
          <w:color w:val="333333"/>
          <w:shd w:val="clear" w:color="auto" w:fill="FFFFFF"/>
        </w:rPr>
        <w:t> </w:t>
      </w:r>
      <w:r w:rsidRPr="00634723">
        <w:rPr>
          <w:rStyle w:val="arttitle"/>
          <w:rFonts w:cs="Times New Roman"/>
          <w:color w:val="333333"/>
          <w:shd w:val="clear" w:color="auto" w:fill="FFFFFF"/>
        </w:rPr>
        <w:t>Orientations in language planning.</w:t>
      </w:r>
      <w:r w:rsidRPr="00634723">
        <w:rPr>
          <w:rFonts w:cs="Times New Roman"/>
          <w:color w:val="333333"/>
          <w:shd w:val="clear" w:color="auto" w:fill="FFFFFF"/>
        </w:rPr>
        <w:t> </w:t>
      </w:r>
      <w:r w:rsidRPr="00634723">
        <w:rPr>
          <w:rStyle w:val="serialtitle"/>
          <w:rFonts w:cs="Times New Roman"/>
          <w:i/>
          <w:iCs/>
          <w:color w:val="333333"/>
          <w:shd w:val="clear" w:color="auto" w:fill="FFFFFF"/>
        </w:rPr>
        <w:t>NABE Journal</w:t>
      </w:r>
      <w:r w:rsidRPr="00634723">
        <w:rPr>
          <w:rStyle w:val="serialtitle"/>
          <w:rFonts w:cs="Times New Roman"/>
          <w:color w:val="333333"/>
          <w:shd w:val="clear" w:color="auto" w:fill="FFFFFF"/>
        </w:rPr>
        <w:t>,</w:t>
      </w:r>
      <w:r w:rsidRPr="00634723">
        <w:rPr>
          <w:rFonts w:cs="Times New Roman"/>
          <w:color w:val="333333"/>
          <w:shd w:val="clear" w:color="auto" w:fill="FFFFFF"/>
        </w:rPr>
        <w:t> </w:t>
      </w:r>
      <w:r w:rsidRPr="00634723">
        <w:rPr>
          <w:rStyle w:val="volumeissue"/>
          <w:rFonts w:cs="Times New Roman"/>
          <w:i/>
          <w:iCs/>
          <w:color w:val="333333"/>
          <w:shd w:val="clear" w:color="auto" w:fill="FFFFFF"/>
        </w:rPr>
        <w:t>8</w:t>
      </w:r>
      <w:r w:rsidRPr="00634723">
        <w:rPr>
          <w:rStyle w:val="volumeissue"/>
          <w:rFonts w:cs="Times New Roman"/>
          <w:color w:val="333333"/>
          <w:shd w:val="clear" w:color="auto" w:fill="FFFFFF"/>
        </w:rPr>
        <w:t>(2),</w:t>
      </w:r>
      <w:r w:rsidRPr="00634723">
        <w:rPr>
          <w:rFonts w:cs="Times New Roman"/>
          <w:color w:val="333333"/>
          <w:shd w:val="clear" w:color="auto" w:fill="FFFFFF"/>
        </w:rPr>
        <w:t> </w:t>
      </w:r>
      <w:r w:rsidRPr="00634723">
        <w:rPr>
          <w:rStyle w:val="pagerange"/>
          <w:rFonts w:cs="Times New Roman"/>
          <w:color w:val="333333"/>
          <w:shd w:val="clear" w:color="auto" w:fill="FFFFFF"/>
        </w:rPr>
        <w:t>15-34</w:t>
      </w:r>
      <w:r>
        <w:rPr>
          <w:rStyle w:val="pagerange"/>
          <w:rFonts w:cs="Times New Roman"/>
          <w:color w:val="333333"/>
          <w:shd w:val="clear" w:color="auto" w:fill="FFFFFF"/>
        </w:rPr>
        <w:t>.</w:t>
      </w:r>
      <w:r w:rsidRPr="00634723">
        <w:rPr>
          <w:rFonts w:cs="Times New Roman"/>
          <w:color w:val="333333"/>
          <w:shd w:val="clear" w:color="auto" w:fill="FFFFFF"/>
        </w:rPr>
        <w:t> </w:t>
      </w:r>
      <w:r w:rsidRPr="00634723">
        <w:rPr>
          <w:rStyle w:val="doilink"/>
          <w:rFonts w:cs="Times New Roman"/>
          <w:color w:val="333333"/>
          <w:shd w:val="clear" w:color="auto" w:fill="FFFFFF"/>
        </w:rPr>
        <w:t>DOI: </w:t>
      </w:r>
      <w:hyperlink r:id="rId13" w:history="1">
        <w:r w:rsidRPr="00634723">
          <w:rPr>
            <w:rStyle w:val="Hyperlink"/>
            <w:rFonts w:cs="Times New Roman"/>
            <w:color w:val="333333"/>
            <w:shd w:val="clear" w:color="auto" w:fill="FFFFFF"/>
          </w:rPr>
          <w:t>10.1080/08855072.1984.10668464</w:t>
        </w:r>
      </w:hyperlink>
    </w:p>
    <w:p w14:paraId="4135A8E1" w14:textId="3F412047" w:rsidR="00B301DC" w:rsidRPr="00D17AD4" w:rsidRDefault="00B301DC" w:rsidP="00F20120">
      <w:pPr>
        <w:ind w:left="720" w:hanging="720"/>
        <w:rPr>
          <w:rFonts w:cs="Times New Roman"/>
          <w:szCs w:val="24"/>
        </w:rPr>
      </w:pPr>
      <w:r w:rsidRPr="00D17AD4">
        <w:rPr>
          <w:rFonts w:cs="Times New Roman"/>
          <w:szCs w:val="24"/>
        </w:rPr>
        <w:t xml:space="preserve">Steele, J. L., </w:t>
      </w:r>
      <w:r w:rsidR="008F4E19" w:rsidRPr="00D17AD4">
        <w:rPr>
          <w:rFonts w:cs="Times New Roman"/>
          <w:szCs w:val="24"/>
        </w:rPr>
        <w:t xml:space="preserve">Slater, R. O., </w:t>
      </w:r>
      <w:proofErr w:type="spellStart"/>
      <w:r w:rsidR="008F4E19" w:rsidRPr="00D17AD4">
        <w:rPr>
          <w:rFonts w:cs="Times New Roman"/>
          <w:szCs w:val="24"/>
        </w:rPr>
        <w:t>Zamarro</w:t>
      </w:r>
      <w:proofErr w:type="spellEnd"/>
      <w:r w:rsidR="008F4E19" w:rsidRPr="00D17AD4">
        <w:rPr>
          <w:rFonts w:cs="Times New Roman"/>
          <w:szCs w:val="24"/>
        </w:rPr>
        <w:t xml:space="preserve">, G., Miller, T., Li, J., </w:t>
      </w:r>
      <w:proofErr w:type="spellStart"/>
      <w:r w:rsidR="008F4E19" w:rsidRPr="00D17AD4">
        <w:rPr>
          <w:rFonts w:cs="Times New Roman"/>
          <w:szCs w:val="24"/>
        </w:rPr>
        <w:t>Burkhauser</w:t>
      </w:r>
      <w:proofErr w:type="spellEnd"/>
      <w:r w:rsidR="008F4E19" w:rsidRPr="00D17AD4">
        <w:rPr>
          <w:rFonts w:cs="Times New Roman"/>
          <w:szCs w:val="24"/>
        </w:rPr>
        <w:t xml:space="preserve">, S., &amp; Bacon, M. (2017). Effects of dual-language immersion programs on student achievement: Evidence from lottery data. </w:t>
      </w:r>
      <w:r w:rsidR="008F4E19" w:rsidRPr="00D17AD4">
        <w:rPr>
          <w:rFonts w:cs="Times New Roman"/>
          <w:i/>
          <w:iCs/>
          <w:szCs w:val="24"/>
        </w:rPr>
        <w:t>American Educational Research Journal, 54</w:t>
      </w:r>
      <w:r w:rsidR="008F4E19" w:rsidRPr="00D17AD4">
        <w:rPr>
          <w:rFonts w:cs="Times New Roman"/>
          <w:szCs w:val="24"/>
        </w:rPr>
        <w:t>(1S), 282S-306S.</w:t>
      </w:r>
    </w:p>
    <w:p w14:paraId="1DD84CEB" w14:textId="397221CF" w:rsidR="008D2FBD" w:rsidRDefault="008D2FBD" w:rsidP="00F20120">
      <w:pPr>
        <w:ind w:left="720" w:hanging="720"/>
        <w:rPr>
          <w:rFonts w:cs="Times New Roman"/>
          <w:szCs w:val="24"/>
        </w:rPr>
      </w:pPr>
      <w:bookmarkStart w:id="22" w:name="_Hlk139467678"/>
      <w:proofErr w:type="spellStart"/>
      <w:r>
        <w:rPr>
          <w:rFonts w:cs="Times New Roman"/>
          <w:szCs w:val="24"/>
        </w:rPr>
        <w:t>Stoehr</w:t>
      </w:r>
      <w:proofErr w:type="spellEnd"/>
      <w:r>
        <w:rPr>
          <w:rFonts w:cs="Times New Roman"/>
          <w:szCs w:val="24"/>
        </w:rPr>
        <w:t xml:space="preserve">, K., Salazar, F., &amp; Civil, M. (2022). The power of mothers and teachers engaging in a mathematics </w:t>
      </w:r>
      <w:r w:rsidRPr="008D2FBD">
        <w:rPr>
          <w:rFonts w:cs="Times New Roman"/>
          <w:szCs w:val="24"/>
        </w:rPr>
        <w:t>bilingual collaboration. Teachers College Record, 124(5), 30-48. DOI: 10.1177/01614681221103947</w:t>
      </w:r>
      <w:r>
        <w:rPr>
          <w:rFonts w:cs="Times New Roman"/>
          <w:szCs w:val="24"/>
        </w:rPr>
        <w:t>.</w:t>
      </w:r>
    </w:p>
    <w:bookmarkEnd w:id="22"/>
    <w:p w14:paraId="71404E7C" w14:textId="784F8618" w:rsidR="00D17AD4" w:rsidRPr="00D17AD4" w:rsidRDefault="00D17AD4" w:rsidP="00F20120">
      <w:pPr>
        <w:ind w:left="720" w:hanging="720"/>
        <w:rPr>
          <w:rFonts w:cs="Times New Roman"/>
          <w:szCs w:val="24"/>
        </w:rPr>
      </w:pPr>
      <w:r w:rsidRPr="00D17AD4">
        <w:rPr>
          <w:rFonts w:cs="Times New Roman"/>
          <w:szCs w:val="24"/>
        </w:rPr>
        <w:t xml:space="preserve">Thomas, W. P. &amp; Collier, V. P. (2012). </w:t>
      </w:r>
      <w:r w:rsidRPr="00D17AD4">
        <w:rPr>
          <w:rFonts w:cs="Times New Roman"/>
          <w:i/>
          <w:iCs/>
          <w:szCs w:val="24"/>
        </w:rPr>
        <w:t>Dual language education for a transformed world</w:t>
      </w:r>
      <w:r w:rsidRPr="00D17AD4">
        <w:rPr>
          <w:rFonts w:cs="Times New Roman"/>
          <w:szCs w:val="24"/>
        </w:rPr>
        <w:t xml:space="preserve">. </w:t>
      </w:r>
      <w:proofErr w:type="spellStart"/>
      <w:r w:rsidRPr="00D17AD4">
        <w:rPr>
          <w:rFonts w:cs="Times New Roman"/>
          <w:szCs w:val="24"/>
        </w:rPr>
        <w:t>Fuerte</w:t>
      </w:r>
      <w:proofErr w:type="spellEnd"/>
      <w:r w:rsidRPr="00D17AD4">
        <w:rPr>
          <w:rFonts w:cs="Times New Roman"/>
          <w:szCs w:val="24"/>
        </w:rPr>
        <w:t xml:space="preserve"> Press.</w:t>
      </w:r>
    </w:p>
    <w:p w14:paraId="59B3E630" w14:textId="7A063AC0" w:rsidR="00D1291C" w:rsidRPr="00D17AD4" w:rsidRDefault="00D1291C" w:rsidP="00F20120">
      <w:pPr>
        <w:ind w:left="720" w:hanging="720"/>
        <w:rPr>
          <w:rFonts w:cs="Times New Roman"/>
          <w:szCs w:val="24"/>
        </w:rPr>
      </w:pPr>
      <w:r w:rsidRPr="00D17AD4">
        <w:rPr>
          <w:rFonts w:cs="Times New Roman"/>
          <w:szCs w:val="24"/>
          <w:shd w:val="clear" w:color="auto" w:fill="FFFFFF"/>
        </w:rPr>
        <w:t xml:space="preserve">Thum, Y. M. &amp; Kuhfeld, M. (2020). </w:t>
      </w:r>
      <w:r w:rsidRPr="00D17AD4">
        <w:rPr>
          <w:rFonts w:cs="Times New Roman"/>
          <w:i/>
          <w:iCs/>
          <w:szCs w:val="24"/>
          <w:shd w:val="clear" w:color="auto" w:fill="FFFFFF"/>
        </w:rPr>
        <w:t>NWEA 2020 MAP Growth norms for students and school achievement status and growth</w:t>
      </w:r>
      <w:r w:rsidRPr="00D17AD4">
        <w:rPr>
          <w:rFonts w:cs="Times New Roman"/>
          <w:szCs w:val="24"/>
          <w:shd w:val="clear" w:color="auto" w:fill="FFFFFF"/>
        </w:rPr>
        <w:t>. NWEA.</w:t>
      </w:r>
    </w:p>
    <w:p w14:paraId="1C0BD6EB" w14:textId="71631F21" w:rsidR="00D17AD4" w:rsidRPr="00D17AD4" w:rsidRDefault="00D17AD4" w:rsidP="00F20120">
      <w:pPr>
        <w:ind w:left="720" w:hanging="720"/>
        <w:outlineLvl w:val="0"/>
        <w:rPr>
          <w:rFonts w:cs="Times New Roman"/>
          <w:szCs w:val="24"/>
        </w:rPr>
      </w:pPr>
      <w:r w:rsidRPr="00D17AD4">
        <w:rPr>
          <w:rStyle w:val="Strong"/>
          <w:rFonts w:cs="Times New Roman"/>
          <w:b w:val="0"/>
          <w:bCs w:val="0"/>
          <w:szCs w:val="24"/>
          <w:shd w:val="clear" w:color="auto" w:fill="FFFFFF"/>
        </w:rPr>
        <w:t>Umansky, I.</w:t>
      </w:r>
      <w:r w:rsidRPr="00D17AD4">
        <w:rPr>
          <w:rStyle w:val="apple-converted-space"/>
          <w:rFonts w:cs="Times New Roman"/>
          <w:szCs w:val="24"/>
          <w:shd w:val="clear" w:color="auto" w:fill="FFFFFF"/>
        </w:rPr>
        <w:t> </w:t>
      </w:r>
      <w:r w:rsidRPr="00D17AD4">
        <w:rPr>
          <w:rFonts w:cs="Times New Roman"/>
          <w:szCs w:val="24"/>
          <w:shd w:val="clear" w:color="auto" w:fill="FFFFFF"/>
        </w:rPr>
        <w:t>(2016). "To Be or Not to Be EL: An Examination of the Impact of Classifying Students as English Learners."</w:t>
      </w:r>
      <w:r w:rsidRPr="00D17AD4">
        <w:rPr>
          <w:rStyle w:val="apple-converted-space"/>
          <w:rFonts w:cs="Times New Roman"/>
          <w:szCs w:val="24"/>
          <w:shd w:val="clear" w:color="auto" w:fill="FFFFFF"/>
        </w:rPr>
        <w:t> </w:t>
      </w:r>
      <w:r w:rsidRPr="00D17AD4">
        <w:rPr>
          <w:rStyle w:val="Emphasis"/>
          <w:rFonts w:cs="Times New Roman"/>
          <w:szCs w:val="24"/>
          <w:shd w:val="clear" w:color="auto" w:fill="FFFFFF"/>
        </w:rPr>
        <w:t>Educational Evaluation and Policy Analysis</w:t>
      </w:r>
      <w:r w:rsidRPr="00D17AD4">
        <w:rPr>
          <w:rFonts w:cs="Times New Roman"/>
          <w:szCs w:val="24"/>
          <w:shd w:val="clear" w:color="auto" w:fill="FFFFFF"/>
        </w:rPr>
        <w:t>, 38(4), 714-737.</w:t>
      </w:r>
      <w:r w:rsidRPr="00D17AD4">
        <w:rPr>
          <w:rFonts w:cs="Times New Roman"/>
          <w:szCs w:val="24"/>
        </w:rPr>
        <w:t xml:space="preserve"> </w:t>
      </w:r>
    </w:p>
    <w:p w14:paraId="53ADB818" w14:textId="360B413D" w:rsidR="00F13591" w:rsidRPr="00D17AD4" w:rsidRDefault="00F13591" w:rsidP="00F20120">
      <w:pPr>
        <w:autoSpaceDE w:val="0"/>
        <w:autoSpaceDN w:val="0"/>
        <w:adjustRightInd w:val="0"/>
        <w:ind w:left="720" w:hanging="720"/>
        <w:rPr>
          <w:rFonts w:cs="Times New Roman"/>
          <w:szCs w:val="24"/>
        </w:rPr>
      </w:pPr>
      <w:r w:rsidRPr="00D17AD4">
        <w:rPr>
          <w:rFonts w:cs="Times New Roman"/>
          <w:szCs w:val="24"/>
        </w:rPr>
        <w:t xml:space="preserve">Valdés, G. (2018). Analyzing the </w:t>
      </w:r>
      <w:proofErr w:type="spellStart"/>
      <w:r w:rsidRPr="00D17AD4">
        <w:rPr>
          <w:rFonts w:cs="Times New Roman"/>
          <w:szCs w:val="24"/>
        </w:rPr>
        <w:t>curricularization</w:t>
      </w:r>
      <w:proofErr w:type="spellEnd"/>
      <w:r w:rsidRPr="00D17AD4">
        <w:rPr>
          <w:rFonts w:cs="Times New Roman"/>
          <w:szCs w:val="24"/>
        </w:rPr>
        <w:t xml:space="preserve"> of language in </w:t>
      </w:r>
      <w:proofErr w:type="spellStart"/>
      <w:r w:rsidRPr="00D17AD4">
        <w:rPr>
          <w:rFonts w:cs="Times New Roman"/>
          <w:szCs w:val="24"/>
        </w:rPr>
        <w:t>twoway</w:t>
      </w:r>
      <w:proofErr w:type="spellEnd"/>
      <w:r w:rsidRPr="00D17AD4">
        <w:rPr>
          <w:rFonts w:cs="Times New Roman"/>
          <w:szCs w:val="24"/>
        </w:rPr>
        <w:t xml:space="preserve"> immersion education: Restating two cautionary notes</w:t>
      </w:r>
      <w:r w:rsidR="00E67397" w:rsidRPr="00D17AD4">
        <w:rPr>
          <w:rFonts w:cs="Times New Roman"/>
          <w:szCs w:val="24"/>
        </w:rPr>
        <w:t>.</w:t>
      </w:r>
      <w:r w:rsidRPr="00D17AD4">
        <w:rPr>
          <w:rFonts w:cs="Times New Roman"/>
          <w:szCs w:val="24"/>
        </w:rPr>
        <w:t xml:space="preserve"> </w:t>
      </w:r>
      <w:r w:rsidRPr="00D17AD4">
        <w:rPr>
          <w:rFonts w:cs="Times New Roman"/>
          <w:i/>
          <w:iCs/>
          <w:szCs w:val="24"/>
        </w:rPr>
        <w:t>Bilingual Research Journal, 41</w:t>
      </w:r>
      <w:r w:rsidRPr="00D17AD4">
        <w:rPr>
          <w:rFonts w:cs="Times New Roman"/>
          <w:szCs w:val="24"/>
        </w:rPr>
        <w:t>(4), 388-412. DOI: 10.1080/15235882.2018.1539886</w:t>
      </w:r>
    </w:p>
    <w:p w14:paraId="5E7BB31E" w14:textId="4DEAC1FE" w:rsidR="00FB7A9E" w:rsidRPr="00D17AD4" w:rsidRDefault="00B301DC" w:rsidP="00F20120">
      <w:pPr>
        <w:ind w:left="720" w:hanging="720"/>
        <w:rPr>
          <w:rFonts w:cs="Times New Roman"/>
          <w:szCs w:val="24"/>
        </w:rPr>
      </w:pPr>
      <w:r w:rsidRPr="00D17AD4">
        <w:rPr>
          <w:rFonts w:cs="Times New Roman"/>
          <w:szCs w:val="24"/>
        </w:rPr>
        <w:t xml:space="preserve">Valentino, R. A. &amp; Reardon, S. F. (2015). Effectiveness of four instructional programs designed to serve English Learners: Variation by ethnicity and initial English proficiency. </w:t>
      </w:r>
      <w:r w:rsidRPr="00D17AD4">
        <w:rPr>
          <w:rFonts w:cs="Times New Roman"/>
          <w:i/>
          <w:iCs/>
          <w:szCs w:val="24"/>
        </w:rPr>
        <w:t>Educational Evaluation and Policy Analysis, 37</w:t>
      </w:r>
      <w:r w:rsidRPr="00D17AD4">
        <w:rPr>
          <w:rFonts w:cs="Times New Roman"/>
          <w:szCs w:val="24"/>
        </w:rPr>
        <w:t>(4), 612-637.</w:t>
      </w:r>
    </w:p>
    <w:p w14:paraId="4220FE92" w14:textId="1DA7E04F" w:rsidR="00D17AD4" w:rsidRPr="00D17AD4" w:rsidRDefault="00D17AD4" w:rsidP="00F20120">
      <w:pPr>
        <w:ind w:left="720" w:hanging="720"/>
        <w:rPr>
          <w:rFonts w:cs="Times New Roman"/>
          <w:szCs w:val="24"/>
        </w:rPr>
      </w:pPr>
      <w:r w:rsidRPr="00D17AD4">
        <w:rPr>
          <w:rFonts w:cs="Times New Roman"/>
          <w:szCs w:val="24"/>
        </w:rPr>
        <w:t xml:space="preserve">Vera, E. M., Israel, M. S., Coyle, L., Cross, J., Knight-Lynn, L., </w:t>
      </w:r>
      <w:proofErr w:type="spellStart"/>
      <w:r w:rsidRPr="00D17AD4">
        <w:rPr>
          <w:rFonts w:cs="Times New Roman"/>
          <w:szCs w:val="24"/>
        </w:rPr>
        <w:t>Moallem</w:t>
      </w:r>
      <w:proofErr w:type="spellEnd"/>
      <w:r w:rsidRPr="00D17AD4">
        <w:rPr>
          <w:rFonts w:cs="Times New Roman"/>
          <w:szCs w:val="24"/>
        </w:rPr>
        <w:t xml:space="preserve">, I., </w:t>
      </w:r>
      <w:proofErr w:type="spellStart"/>
      <w:r w:rsidRPr="00D17AD4">
        <w:rPr>
          <w:rFonts w:cs="Times New Roman"/>
          <w:szCs w:val="24"/>
        </w:rPr>
        <w:t>Bartucci</w:t>
      </w:r>
      <w:proofErr w:type="spellEnd"/>
      <w:r w:rsidRPr="00D17AD4">
        <w:rPr>
          <w:rFonts w:cs="Times New Roman"/>
          <w:szCs w:val="24"/>
        </w:rPr>
        <w:t xml:space="preserve">, G., &amp; Goldberger, N. (2012). Exploring the educational involvement of parents of English Learners. </w:t>
      </w:r>
      <w:r w:rsidRPr="00D17AD4">
        <w:rPr>
          <w:rFonts w:cs="Times New Roman"/>
          <w:i/>
          <w:iCs/>
          <w:szCs w:val="24"/>
        </w:rPr>
        <w:t>School Community Journal</w:t>
      </w:r>
      <w:r w:rsidRPr="00D17AD4">
        <w:rPr>
          <w:rFonts w:cs="Times New Roman"/>
          <w:szCs w:val="24"/>
        </w:rPr>
        <w:t>,</w:t>
      </w:r>
      <w:r w:rsidRPr="00D17AD4">
        <w:rPr>
          <w:rFonts w:cs="Times New Roman"/>
          <w:i/>
          <w:iCs/>
          <w:szCs w:val="24"/>
        </w:rPr>
        <w:t xml:space="preserve"> 22</w:t>
      </w:r>
      <w:r w:rsidRPr="00D17AD4">
        <w:rPr>
          <w:rFonts w:cs="Times New Roman"/>
          <w:szCs w:val="24"/>
        </w:rPr>
        <w:t>(2), 183-202.</w:t>
      </w:r>
    </w:p>
    <w:p w14:paraId="3A2E0A85" w14:textId="77777777" w:rsidR="00D1291C" w:rsidRPr="00D17AD4" w:rsidRDefault="00D1291C" w:rsidP="00F20120">
      <w:pPr>
        <w:pStyle w:val="NoSpacing"/>
        <w:ind w:left="720" w:hanging="720"/>
        <w:rPr>
          <w:rFonts w:ascii="Times New Roman" w:hAnsi="Times New Roman" w:cs="Times New Roman"/>
          <w:sz w:val="24"/>
          <w:szCs w:val="24"/>
        </w:rPr>
      </w:pPr>
      <w:r w:rsidRPr="00D17AD4">
        <w:rPr>
          <w:rFonts w:ascii="Times New Roman" w:hAnsi="Times New Roman" w:cs="Times New Roman"/>
          <w:sz w:val="24"/>
          <w:szCs w:val="24"/>
          <w:shd w:val="clear" w:color="auto" w:fill="FFFFFF"/>
        </w:rPr>
        <w:lastRenderedPageBreak/>
        <w:t xml:space="preserve">von Hippel, P. T., &amp; </w:t>
      </w:r>
      <w:proofErr w:type="spellStart"/>
      <w:r w:rsidRPr="00D17AD4">
        <w:rPr>
          <w:rFonts w:ascii="Times New Roman" w:hAnsi="Times New Roman" w:cs="Times New Roman"/>
          <w:sz w:val="24"/>
          <w:szCs w:val="24"/>
          <w:shd w:val="clear" w:color="auto" w:fill="FFFFFF"/>
        </w:rPr>
        <w:t>Hamrock</w:t>
      </w:r>
      <w:proofErr w:type="spellEnd"/>
      <w:r w:rsidRPr="00D17AD4">
        <w:rPr>
          <w:rFonts w:ascii="Times New Roman" w:hAnsi="Times New Roman" w:cs="Times New Roman"/>
          <w:sz w:val="24"/>
          <w:szCs w:val="24"/>
          <w:shd w:val="clear" w:color="auto" w:fill="FFFFFF"/>
        </w:rPr>
        <w:t xml:space="preserve">, C. (2019). Do test score gaps grow before, during, or between the school years? Measurement artifacts and what we can know </w:t>
      </w:r>
      <w:proofErr w:type="gramStart"/>
      <w:r w:rsidRPr="00D17AD4">
        <w:rPr>
          <w:rFonts w:ascii="Times New Roman" w:hAnsi="Times New Roman" w:cs="Times New Roman"/>
          <w:sz w:val="24"/>
          <w:szCs w:val="24"/>
          <w:shd w:val="clear" w:color="auto" w:fill="FFFFFF"/>
        </w:rPr>
        <w:t>in spite of</w:t>
      </w:r>
      <w:proofErr w:type="gramEnd"/>
      <w:r w:rsidRPr="00D17AD4">
        <w:rPr>
          <w:rFonts w:ascii="Times New Roman" w:hAnsi="Times New Roman" w:cs="Times New Roman"/>
          <w:sz w:val="24"/>
          <w:szCs w:val="24"/>
          <w:shd w:val="clear" w:color="auto" w:fill="FFFFFF"/>
        </w:rPr>
        <w:t xml:space="preserve"> them. </w:t>
      </w:r>
      <w:r w:rsidRPr="00D17AD4">
        <w:rPr>
          <w:rFonts w:ascii="Times New Roman" w:hAnsi="Times New Roman" w:cs="Times New Roman"/>
          <w:i/>
          <w:iCs/>
          <w:sz w:val="24"/>
          <w:szCs w:val="24"/>
          <w:shd w:val="clear" w:color="auto" w:fill="FFFFFF"/>
        </w:rPr>
        <w:t>Sociological Science, 6, </w:t>
      </w:r>
      <w:r w:rsidRPr="00D17AD4">
        <w:rPr>
          <w:rFonts w:ascii="Times New Roman" w:hAnsi="Times New Roman" w:cs="Times New Roman"/>
          <w:sz w:val="24"/>
          <w:szCs w:val="24"/>
          <w:shd w:val="clear" w:color="auto" w:fill="FFFFFF"/>
        </w:rPr>
        <w:t>43–80.</w:t>
      </w:r>
    </w:p>
    <w:p w14:paraId="13565315" w14:textId="77777777" w:rsidR="00D1291C" w:rsidRPr="00D17AD4" w:rsidRDefault="00D1291C" w:rsidP="00F20120">
      <w:pPr>
        <w:pStyle w:val="NoSpacing"/>
        <w:ind w:left="720" w:hanging="720"/>
        <w:rPr>
          <w:rFonts w:ascii="Times New Roman" w:hAnsi="Times New Roman" w:cs="Times New Roman"/>
          <w:sz w:val="24"/>
          <w:szCs w:val="24"/>
        </w:rPr>
      </w:pPr>
      <w:r w:rsidRPr="00D17AD4">
        <w:rPr>
          <w:rFonts w:ascii="Times New Roman" w:hAnsi="Times New Roman" w:cs="Times New Roman"/>
          <w:sz w:val="24"/>
          <w:szCs w:val="24"/>
        </w:rPr>
        <w:t xml:space="preserve">von Hippel, P. T., Workman, J., &amp; Downey, D. B. (2018). Inequality in reading and math skills forms mainly before kindergarten: A replication, and partial correction, of “Are schools the great equalizer?” </w:t>
      </w:r>
      <w:r w:rsidRPr="00D17AD4">
        <w:rPr>
          <w:rFonts w:ascii="Times New Roman" w:hAnsi="Times New Roman" w:cs="Times New Roman"/>
          <w:i/>
          <w:sz w:val="24"/>
          <w:szCs w:val="24"/>
        </w:rPr>
        <w:t>Sociology of Education, 91</w:t>
      </w:r>
      <w:r w:rsidRPr="00D17AD4">
        <w:rPr>
          <w:rFonts w:ascii="Times New Roman" w:hAnsi="Times New Roman" w:cs="Times New Roman"/>
          <w:sz w:val="24"/>
          <w:szCs w:val="24"/>
        </w:rPr>
        <w:t>(4), 323-357.</w:t>
      </w:r>
    </w:p>
    <w:p w14:paraId="36B389AE" w14:textId="77777777" w:rsidR="00FB7A9E" w:rsidRPr="00D17AD4" w:rsidRDefault="00FB7A9E" w:rsidP="00F20120">
      <w:pPr>
        <w:rPr>
          <w:szCs w:val="24"/>
        </w:rPr>
      </w:pPr>
    </w:p>
    <w:p w14:paraId="0FB65812" w14:textId="29282A3D" w:rsidR="00FB7A9E" w:rsidRDefault="00DE65D6" w:rsidP="00F20120">
      <w:bookmarkStart w:id="23" w:name="_Hlk45011859"/>
      <w:r>
        <w:br w:type="page"/>
      </w:r>
      <w:r w:rsidR="00407A84">
        <w:lastRenderedPageBreak/>
        <w:t>Table 1. Sample Characteristics</w:t>
      </w:r>
    </w:p>
    <w:p w14:paraId="53D85D17" w14:textId="6660814D" w:rsidR="00407A84" w:rsidRDefault="00407A84" w:rsidP="004B52F3"/>
    <w:tbl>
      <w:tblPr>
        <w:tblW w:w="8680" w:type="dxa"/>
        <w:tblLook w:val="04A0" w:firstRow="1" w:lastRow="0" w:firstColumn="1" w:lastColumn="0" w:noHBand="0" w:noVBand="1"/>
      </w:tblPr>
      <w:tblGrid>
        <w:gridCol w:w="3800"/>
        <w:gridCol w:w="842"/>
        <w:gridCol w:w="658"/>
        <w:gridCol w:w="954"/>
        <w:gridCol w:w="746"/>
        <w:gridCol w:w="943"/>
        <w:gridCol w:w="737"/>
      </w:tblGrid>
      <w:tr w:rsidR="00B6351D" w:rsidRPr="00B6351D" w14:paraId="11693315" w14:textId="77777777" w:rsidTr="00B6351D">
        <w:trPr>
          <w:trHeight w:val="255"/>
        </w:trPr>
        <w:tc>
          <w:tcPr>
            <w:tcW w:w="3800" w:type="dxa"/>
            <w:tcBorders>
              <w:top w:val="nil"/>
              <w:left w:val="nil"/>
              <w:bottom w:val="nil"/>
              <w:right w:val="nil"/>
            </w:tcBorders>
            <w:shd w:val="clear" w:color="auto" w:fill="auto"/>
            <w:noWrap/>
            <w:vAlign w:val="bottom"/>
            <w:hideMark/>
          </w:tcPr>
          <w:p w14:paraId="304C6393" w14:textId="77777777" w:rsidR="00B6351D" w:rsidRPr="00B6351D" w:rsidRDefault="00B6351D" w:rsidP="00B6351D">
            <w:pPr>
              <w:rPr>
                <w:rFonts w:eastAsia="Times New Roman" w:cs="Times New Roman"/>
                <w:szCs w:val="24"/>
              </w:rPr>
            </w:pPr>
          </w:p>
        </w:tc>
        <w:tc>
          <w:tcPr>
            <w:tcW w:w="1500" w:type="dxa"/>
            <w:gridSpan w:val="2"/>
            <w:tcBorders>
              <w:top w:val="nil"/>
              <w:left w:val="nil"/>
              <w:bottom w:val="nil"/>
              <w:right w:val="nil"/>
            </w:tcBorders>
            <w:shd w:val="clear" w:color="auto" w:fill="auto"/>
            <w:noWrap/>
            <w:vAlign w:val="bottom"/>
            <w:hideMark/>
          </w:tcPr>
          <w:p w14:paraId="7D94C5F5"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DL (N=9,973)</w:t>
            </w:r>
          </w:p>
        </w:tc>
        <w:tc>
          <w:tcPr>
            <w:tcW w:w="1700" w:type="dxa"/>
            <w:gridSpan w:val="2"/>
            <w:tcBorders>
              <w:top w:val="nil"/>
              <w:left w:val="nil"/>
              <w:bottom w:val="nil"/>
              <w:right w:val="nil"/>
            </w:tcBorders>
            <w:shd w:val="clear" w:color="auto" w:fill="auto"/>
            <w:noWrap/>
            <w:vAlign w:val="bottom"/>
            <w:hideMark/>
          </w:tcPr>
          <w:p w14:paraId="4F7B33C0"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Non-DL (N=4,604)</w:t>
            </w:r>
          </w:p>
        </w:tc>
        <w:tc>
          <w:tcPr>
            <w:tcW w:w="1680" w:type="dxa"/>
            <w:gridSpan w:val="2"/>
            <w:tcBorders>
              <w:top w:val="nil"/>
              <w:left w:val="nil"/>
              <w:bottom w:val="nil"/>
              <w:right w:val="nil"/>
            </w:tcBorders>
            <w:shd w:val="clear" w:color="auto" w:fill="auto"/>
            <w:noWrap/>
            <w:vAlign w:val="bottom"/>
            <w:hideMark/>
          </w:tcPr>
          <w:p w14:paraId="447D2E62"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Total (N=14,577)</w:t>
            </w:r>
          </w:p>
        </w:tc>
      </w:tr>
      <w:tr w:rsidR="00B6351D" w:rsidRPr="00B6351D" w14:paraId="382BE5DA" w14:textId="77777777" w:rsidTr="00B6351D">
        <w:trPr>
          <w:trHeight w:val="255"/>
        </w:trPr>
        <w:tc>
          <w:tcPr>
            <w:tcW w:w="3800" w:type="dxa"/>
            <w:tcBorders>
              <w:top w:val="nil"/>
              <w:left w:val="nil"/>
              <w:bottom w:val="single" w:sz="4" w:space="0" w:color="auto"/>
              <w:right w:val="nil"/>
            </w:tcBorders>
            <w:shd w:val="clear" w:color="auto" w:fill="auto"/>
            <w:noWrap/>
            <w:vAlign w:val="bottom"/>
            <w:hideMark/>
          </w:tcPr>
          <w:p w14:paraId="0BD95911"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 </w:t>
            </w:r>
          </w:p>
        </w:tc>
        <w:tc>
          <w:tcPr>
            <w:tcW w:w="842" w:type="dxa"/>
            <w:tcBorders>
              <w:top w:val="nil"/>
              <w:left w:val="nil"/>
              <w:bottom w:val="single" w:sz="4" w:space="0" w:color="auto"/>
              <w:right w:val="nil"/>
            </w:tcBorders>
            <w:shd w:val="clear" w:color="auto" w:fill="auto"/>
            <w:noWrap/>
            <w:vAlign w:val="bottom"/>
            <w:hideMark/>
          </w:tcPr>
          <w:p w14:paraId="2C3A89A3"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Mean</w:t>
            </w:r>
          </w:p>
        </w:tc>
        <w:tc>
          <w:tcPr>
            <w:tcW w:w="658" w:type="dxa"/>
            <w:tcBorders>
              <w:top w:val="nil"/>
              <w:left w:val="nil"/>
              <w:bottom w:val="single" w:sz="4" w:space="0" w:color="auto"/>
              <w:right w:val="nil"/>
            </w:tcBorders>
            <w:shd w:val="clear" w:color="auto" w:fill="auto"/>
            <w:noWrap/>
            <w:vAlign w:val="bottom"/>
            <w:hideMark/>
          </w:tcPr>
          <w:p w14:paraId="5CBF0F59"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SD</w:t>
            </w:r>
          </w:p>
        </w:tc>
        <w:tc>
          <w:tcPr>
            <w:tcW w:w="954" w:type="dxa"/>
            <w:tcBorders>
              <w:top w:val="nil"/>
              <w:left w:val="nil"/>
              <w:bottom w:val="single" w:sz="4" w:space="0" w:color="auto"/>
              <w:right w:val="nil"/>
            </w:tcBorders>
            <w:shd w:val="clear" w:color="auto" w:fill="auto"/>
            <w:noWrap/>
            <w:vAlign w:val="bottom"/>
            <w:hideMark/>
          </w:tcPr>
          <w:p w14:paraId="28BCC112"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Mean</w:t>
            </w:r>
          </w:p>
        </w:tc>
        <w:tc>
          <w:tcPr>
            <w:tcW w:w="746" w:type="dxa"/>
            <w:tcBorders>
              <w:top w:val="nil"/>
              <w:left w:val="nil"/>
              <w:bottom w:val="single" w:sz="4" w:space="0" w:color="auto"/>
              <w:right w:val="nil"/>
            </w:tcBorders>
            <w:shd w:val="clear" w:color="auto" w:fill="auto"/>
            <w:noWrap/>
            <w:vAlign w:val="bottom"/>
            <w:hideMark/>
          </w:tcPr>
          <w:p w14:paraId="6C478D0E"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SD</w:t>
            </w:r>
          </w:p>
        </w:tc>
        <w:tc>
          <w:tcPr>
            <w:tcW w:w="943" w:type="dxa"/>
            <w:tcBorders>
              <w:top w:val="nil"/>
              <w:left w:val="nil"/>
              <w:bottom w:val="single" w:sz="4" w:space="0" w:color="auto"/>
              <w:right w:val="nil"/>
            </w:tcBorders>
            <w:shd w:val="clear" w:color="auto" w:fill="auto"/>
            <w:noWrap/>
            <w:vAlign w:val="bottom"/>
            <w:hideMark/>
          </w:tcPr>
          <w:p w14:paraId="0FFB30CC"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Mean</w:t>
            </w:r>
          </w:p>
        </w:tc>
        <w:tc>
          <w:tcPr>
            <w:tcW w:w="737" w:type="dxa"/>
            <w:tcBorders>
              <w:top w:val="nil"/>
              <w:left w:val="nil"/>
              <w:bottom w:val="single" w:sz="4" w:space="0" w:color="auto"/>
              <w:right w:val="nil"/>
            </w:tcBorders>
            <w:shd w:val="clear" w:color="auto" w:fill="auto"/>
            <w:noWrap/>
            <w:vAlign w:val="bottom"/>
            <w:hideMark/>
          </w:tcPr>
          <w:p w14:paraId="328BCC5D"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SD</w:t>
            </w:r>
          </w:p>
        </w:tc>
      </w:tr>
      <w:tr w:rsidR="00B6351D" w:rsidRPr="00B6351D" w14:paraId="491BDF71" w14:textId="77777777" w:rsidTr="00B6351D">
        <w:trPr>
          <w:trHeight w:val="255"/>
        </w:trPr>
        <w:tc>
          <w:tcPr>
            <w:tcW w:w="3800" w:type="dxa"/>
            <w:tcBorders>
              <w:top w:val="nil"/>
              <w:left w:val="nil"/>
              <w:bottom w:val="nil"/>
              <w:right w:val="nil"/>
            </w:tcBorders>
            <w:shd w:val="clear" w:color="auto" w:fill="auto"/>
            <w:noWrap/>
            <w:vAlign w:val="bottom"/>
            <w:hideMark/>
          </w:tcPr>
          <w:p w14:paraId="071D9C6A" w14:textId="77777777" w:rsidR="00B6351D" w:rsidRPr="00B6351D" w:rsidRDefault="00B6351D" w:rsidP="00B6351D">
            <w:pPr>
              <w:rPr>
                <w:rFonts w:eastAsia="Times New Roman" w:cs="Times New Roman"/>
                <w:b/>
                <w:bCs/>
                <w:color w:val="000000"/>
                <w:sz w:val="20"/>
                <w:szCs w:val="20"/>
              </w:rPr>
            </w:pPr>
            <w:r w:rsidRPr="00B6351D">
              <w:rPr>
                <w:rFonts w:eastAsia="Times New Roman" w:cs="Times New Roman"/>
                <w:b/>
                <w:bCs/>
                <w:color w:val="000000"/>
                <w:sz w:val="20"/>
                <w:szCs w:val="20"/>
              </w:rPr>
              <w:t>Student Characteristics</w:t>
            </w:r>
          </w:p>
        </w:tc>
        <w:tc>
          <w:tcPr>
            <w:tcW w:w="842" w:type="dxa"/>
            <w:tcBorders>
              <w:top w:val="nil"/>
              <w:left w:val="nil"/>
              <w:bottom w:val="nil"/>
              <w:right w:val="nil"/>
            </w:tcBorders>
            <w:shd w:val="clear" w:color="auto" w:fill="auto"/>
            <w:noWrap/>
            <w:vAlign w:val="bottom"/>
            <w:hideMark/>
          </w:tcPr>
          <w:p w14:paraId="1606352C" w14:textId="77777777" w:rsidR="00B6351D" w:rsidRPr="00B6351D" w:rsidRDefault="00B6351D" w:rsidP="00B6351D">
            <w:pPr>
              <w:rPr>
                <w:rFonts w:eastAsia="Times New Roman" w:cs="Times New Roman"/>
                <w:b/>
                <w:bCs/>
                <w:color w:val="000000"/>
                <w:sz w:val="20"/>
                <w:szCs w:val="20"/>
              </w:rPr>
            </w:pPr>
          </w:p>
        </w:tc>
        <w:tc>
          <w:tcPr>
            <w:tcW w:w="658" w:type="dxa"/>
            <w:tcBorders>
              <w:top w:val="nil"/>
              <w:left w:val="nil"/>
              <w:bottom w:val="nil"/>
              <w:right w:val="nil"/>
            </w:tcBorders>
            <w:shd w:val="clear" w:color="auto" w:fill="auto"/>
            <w:noWrap/>
            <w:vAlign w:val="bottom"/>
            <w:hideMark/>
          </w:tcPr>
          <w:p w14:paraId="0732A856" w14:textId="77777777" w:rsidR="00B6351D" w:rsidRPr="00B6351D" w:rsidRDefault="00B6351D" w:rsidP="00B6351D">
            <w:pPr>
              <w:jc w:val="center"/>
              <w:rPr>
                <w:rFonts w:eastAsia="Times New Roman" w:cs="Times New Roman"/>
                <w:sz w:val="20"/>
                <w:szCs w:val="20"/>
              </w:rPr>
            </w:pPr>
          </w:p>
        </w:tc>
        <w:tc>
          <w:tcPr>
            <w:tcW w:w="954" w:type="dxa"/>
            <w:tcBorders>
              <w:top w:val="nil"/>
              <w:left w:val="nil"/>
              <w:bottom w:val="nil"/>
              <w:right w:val="nil"/>
            </w:tcBorders>
            <w:shd w:val="clear" w:color="auto" w:fill="auto"/>
            <w:noWrap/>
            <w:vAlign w:val="bottom"/>
            <w:hideMark/>
          </w:tcPr>
          <w:p w14:paraId="3D70AC6E" w14:textId="77777777" w:rsidR="00B6351D" w:rsidRPr="00B6351D" w:rsidRDefault="00B6351D" w:rsidP="00B6351D">
            <w:pPr>
              <w:jc w:val="center"/>
              <w:rPr>
                <w:rFonts w:eastAsia="Times New Roman" w:cs="Times New Roman"/>
                <w:sz w:val="20"/>
                <w:szCs w:val="20"/>
              </w:rPr>
            </w:pPr>
          </w:p>
        </w:tc>
        <w:tc>
          <w:tcPr>
            <w:tcW w:w="746" w:type="dxa"/>
            <w:tcBorders>
              <w:top w:val="nil"/>
              <w:left w:val="nil"/>
              <w:bottom w:val="nil"/>
              <w:right w:val="nil"/>
            </w:tcBorders>
            <w:shd w:val="clear" w:color="auto" w:fill="auto"/>
            <w:noWrap/>
            <w:vAlign w:val="bottom"/>
            <w:hideMark/>
          </w:tcPr>
          <w:p w14:paraId="2693D2DA" w14:textId="77777777" w:rsidR="00B6351D" w:rsidRPr="00B6351D" w:rsidRDefault="00B6351D" w:rsidP="00B6351D">
            <w:pPr>
              <w:jc w:val="center"/>
              <w:rPr>
                <w:rFonts w:eastAsia="Times New Roman" w:cs="Times New Roman"/>
                <w:sz w:val="20"/>
                <w:szCs w:val="20"/>
              </w:rPr>
            </w:pPr>
          </w:p>
        </w:tc>
        <w:tc>
          <w:tcPr>
            <w:tcW w:w="943" w:type="dxa"/>
            <w:tcBorders>
              <w:top w:val="nil"/>
              <w:left w:val="nil"/>
              <w:bottom w:val="nil"/>
              <w:right w:val="nil"/>
            </w:tcBorders>
            <w:shd w:val="clear" w:color="auto" w:fill="auto"/>
            <w:noWrap/>
            <w:vAlign w:val="bottom"/>
            <w:hideMark/>
          </w:tcPr>
          <w:p w14:paraId="100CB556" w14:textId="77777777" w:rsidR="00B6351D" w:rsidRPr="00B6351D" w:rsidRDefault="00B6351D" w:rsidP="00B6351D">
            <w:pPr>
              <w:jc w:val="center"/>
              <w:rPr>
                <w:rFonts w:eastAsia="Times New Roman" w:cs="Times New Roman"/>
                <w:sz w:val="20"/>
                <w:szCs w:val="20"/>
              </w:rPr>
            </w:pPr>
          </w:p>
        </w:tc>
        <w:tc>
          <w:tcPr>
            <w:tcW w:w="737" w:type="dxa"/>
            <w:tcBorders>
              <w:top w:val="nil"/>
              <w:left w:val="nil"/>
              <w:bottom w:val="nil"/>
              <w:right w:val="nil"/>
            </w:tcBorders>
            <w:shd w:val="clear" w:color="auto" w:fill="auto"/>
            <w:noWrap/>
            <w:vAlign w:val="bottom"/>
            <w:hideMark/>
          </w:tcPr>
          <w:p w14:paraId="52956A4D" w14:textId="77777777" w:rsidR="00B6351D" w:rsidRPr="00B6351D" w:rsidRDefault="00B6351D" w:rsidP="00B6351D">
            <w:pPr>
              <w:jc w:val="center"/>
              <w:rPr>
                <w:rFonts w:eastAsia="Times New Roman" w:cs="Times New Roman"/>
                <w:sz w:val="20"/>
                <w:szCs w:val="20"/>
              </w:rPr>
            </w:pPr>
          </w:p>
        </w:tc>
      </w:tr>
      <w:tr w:rsidR="00B6351D" w:rsidRPr="00B6351D" w14:paraId="5F3C0050" w14:textId="77777777" w:rsidTr="00B6351D">
        <w:trPr>
          <w:trHeight w:val="255"/>
        </w:trPr>
        <w:tc>
          <w:tcPr>
            <w:tcW w:w="3800" w:type="dxa"/>
            <w:tcBorders>
              <w:top w:val="nil"/>
              <w:left w:val="nil"/>
              <w:bottom w:val="nil"/>
              <w:right w:val="nil"/>
            </w:tcBorders>
            <w:shd w:val="clear" w:color="auto" w:fill="auto"/>
            <w:noWrap/>
            <w:vAlign w:val="bottom"/>
            <w:hideMark/>
          </w:tcPr>
          <w:p w14:paraId="4D57D93A"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Female</w:t>
            </w:r>
          </w:p>
        </w:tc>
        <w:tc>
          <w:tcPr>
            <w:tcW w:w="842" w:type="dxa"/>
            <w:tcBorders>
              <w:top w:val="nil"/>
              <w:left w:val="nil"/>
              <w:bottom w:val="nil"/>
              <w:right w:val="nil"/>
            </w:tcBorders>
            <w:shd w:val="clear" w:color="auto" w:fill="auto"/>
            <w:noWrap/>
            <w:vAlign w:val="bottom"/>
            <w:hideMark/>
          </w:tcPr>
          <w:p w14:paraId="3E35647B"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0.49</w:t>
            </w:r>
          </w:p>
        </w:tc>
        <w:tc>
          <w:tcPr>
            <w:tcW w:w="658" w:type="dxa"/>
            <w:tcBorders>
              <w:top w:val="nil"/>
              <w:left w:val="nil"/>
              <w:bottom w:val="nil"/>
              <w:right w:val="nil"/>
            </w:tcBorders>
            <w:shd w:val="clear" w:color="auto" w:fill="auto"/>
            <w:noWrap/>
            <w:vAlign w:val="bottom"/>
            <w:hideMark/>
          </w:tcPr>
          <w:p w14:paraId="215C976E"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0.50</w:t>
            </w:r>
          </w:p>
        </w:tc>
        <w:tc>
          <w:tcPr>
            <w:tcW w:w="954" w:type="dxa"/>
            <w:tcBorders>
              <w:top w:val="nil"/>
              <w:left w:val="nil"/>
              <w:bottom w:val="nil"/>
              <w:right w:val="nil"/>
            </w:tcBorders>
            <w:shd w:val="clear" w:color="auto" w:fill="auto"/>
            <w:noWrap/>
            <w:vAlign w:val="bottom"/>
            <w:hideMark/>
          </w:tcPr>
          <w:p w14:paraId="782A1B25"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0.50</w:t>
            </w:r>
          </w:p>
        </w:tc>
        <w:tc>
          <w:tcPr>
            <w:tcW w:w="746" w:type="dxa"/>
            <w:tcBorders>
              <w:top w:val="nil"/>
              <w:left w:val="nil"/>
              <w:bottom w:val="nil"/>
              <w:right w:val="nil"/>
            </w:tcBorders>
            <w:shd w:val="clear" w:color="auto" w:fill="auto"/>
            <w:noWrap/>
            <w:vAlign w:val="bottom"/>
            <w:hideMark/>
          </w:tcPr>
          <w:p w14:paraId="02603F86"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0.50</w:t>
            </w:r>
          </w:p>
        </w:tc>
        <w:tc>
          <w:tcPr>
            <w:tcW w:w="943" w:type="dxa"/>
            <w:tcBorders>
              <w:top w:val="nil"/>
              <w:left w:val="nil"/>
              <w:bottom w:val="nil"/>
              <w:right w:val="nil"/>
            </w:tcBorders>
            <w:shd w:val="clear" w:color="auto" w:fill="auto"/>
            <w:noWrap/>
            <w:vAlign w:val="bottom"/>
            <w:hideMark/>
          </w:tcPr>
          <w:p w14:paraId="4171AC81"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0.49</w:t>
            </w:r>
          </w:p>
        </w:tc>
        <w:tc>
          <w:tcPr>
            <w:tcW w:w="737" w:type="dxa"/>
            <w:tcBorders>
              <w:top w:val="nil"/>
              <w:left w:val="nil"/>
              <w:bottom w:val="nil"/>
              <w:right w:val="nil"/>
            </w:tcBorders>
            <w:shd w:val="clear" w:color="auto" w:fill="auto"/>
            <w:noWrap/>
            <w:vAlign w:val="bottom"/>
            <w:hideMark/>
          </w:tcPr>
          <w:p w14:paraId="40F3ACE1"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0.50</w:t>
            </w:r>
          </w:p>
        </w:tc>
      </w:tr>
      <w:tr w:rsidR="00B6351D" w:rsidRPr="00B6351D" w14:paraId="5115ECB1" w14:textId="77777777" w:rsidTr="00B6351D">
        <w:trPr>
          <w:trHeight w:val="255"/>
        </w:trPr>
        <w:tc>
          <w:tcPr>
            <w:tcW w:w="3800" w:type="dxa"/>
            <w:tcBorders>
              <w:top w:val="nil"/>
              <w:left w:val="nil"/>
              <w:bottom w:val="nil"/>
              <w:right w:val="nil"/>
            </w:tcBorders>
            <w:shd w:val="clear" w:color="auto" w:fill="auto"/>
            <w:noWrap/>
            <w:vAlign w:val="bottom"/>
            <w:hideMark/>
          </w:tcPr>
          <w:p w14:paraId="1BE4EF55"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Ever-EL</w:t>
            </w:r>
          </w:p>
        </w:tc>
        <w:tc>
          <w:tcPr>
            <w:tcW w:w="842" w:type="dxa"/>
            <w:tcBorders>
              <w:top w:val="nil"/>
              <w:left w:val="nil"/>
              <w:bottom w:val="nil"/>
              <w:right w:val="nil"/>
            </w:tcBorders>
            <w:shd w:val="clear" w:color="auto" w:fill="auto"/>
            <w:noWrap/>
            <w:vAlign w:val="bottom"/>
            <w:hideMark/>
          </w:tcPr>
          <w:p w14:paraId="38BE436E"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0.94</w:t>
            </w:r>
          </w:p>
        </w:tc>
        <w:tc>
          <w:tcPr>
            <w:tcW w:w="658" w:type="dxa"/>
            <w:tcBorders>
              <w:top w:val="nil"/>
              <w:left w:val="nil"/>
              <w:bottom w:val="nil"/>
              <w:right w:val="nil"/>
            </w:tcBorders>
            <w:shd w:val="clear" w:color="auto" w:fill="auto"/>
            <w:noWrap/>
            <w:vAlign w:val="bottom"/>
            <w:hideMark/>
          </w:tcPr>
          <w:p w14:paraId="762DAB99"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0.25</w:t>
            </w:r>
          </w:p>
        </w:tc>
        <w:tc>
          <w:tcPr>
            <w:tcW w:w="954" w:type="dxa"/>
            <w:tcBorders>
              <w:top w:val="nil"/>
              <w:left w:val="nil"/>
              <w:bottom w:val="nil"/>
              <w:right w:val="nil"/>
            </w:tcBorders>
            <w:shd w:val="clear" w:color="auto" w:fill="auto"/>
            <w:noWrap/>
            <w:vAlign w:val="bottom"/>
            <w:hideMark/>
          </w:tcPr>
          <w:p w14:paraId="511D0837"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0.38</w:t>
            </w:r>
          </w:p>
        </w:tc>
        <w:tc>
          <w:tcPr>
            <w:tcW w:w="746" w:type="dxa"/>
            <w:tcBorders>
              <w:top w:val="nil"/>
              <w:left w:val="nil"/>
              <w:bottom w:val="nil"/>
              <w:right w:val="nil"/>
            </w:tcBorders>
            <w:shd w:val="clear" w:color="auto" w:fill="auto"/>
            <w:noWrap/>
            <w:vAlign w:val="bottom"/>
            <w:hideMark/>
          </w:tcPr>
          <w:p w14:paraId="61D0F4BA"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0.48</w:t>
            </w:r>
          </w:p>
        </w:tc>
        <w:tc>
          <w:tcPr>
            <w:tcW w:w="943" w:type="dxa"/>
            <w:tcBorders>
              <w:top w:val="nil"/>
              <w:left w:val="nil"/>
              <w:bottom w:val="nil"/>
              <w:right w:val="nil"/>
            </w:tcBorders>
            <w:shd w:val="clear" w:color="auto" w:fill="auto"/>
            <w:noWrap/>
            <w:vAlign w:val="bottom"/>
            <w:hideMark/>
          </w:tcPr>
          <w:p w14:paraId="2849801A"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0.76</w:t>
            </w:r>
          </w:p>
        </w:tc>
        <w:tc>
          <w:tcPr>
            <w:tcW w:w="737" w:type="dxa"/>
            <w:tcBorders>
              <w:top w:val="nil"/>
              <w:left w:val="nil"/>
              <w:bottom w:val="nil"/>
              <w:right w:val="nil"/>
            </w:tcBorders>
            <w:shd w:val="clear" w:color="auto" w:fill="auto"/>
            <w:noWrap/>
            <w:vAlign w:val="bottom"/>
            <w:hideMark/>
          </w:tcPr>
          <w:p w14:paraId="26C43AF1"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0.43</w:t>
            </w:r>
          </w:p>
        </w:tc>
      </w:tr>
      <w:tr w:rsidR="00B6351D" w:rsidRPr="00B6351D" w14:paraId="719B3FD2" w14:textId="77777777" w:rsidTr="00B6351D">
        <w:trPr>
          <w:trHeight w:val="255"/>
        </w:trPr>
        <w:tc>
          <w:tcPr>
            <w:tcW w:w="3800" w:type="dxa"/>
            <w:tcBorders>
              <w:top w:val="nil"/>
              <w:left w:val="nil"/>
              <w:bottom w:val="nil"/>
              <w:right w:val="nil"/>
            </w:tcBorders>
            <w:shd w:val="clear" w:color="auto" w:fill="auto"/>
            <w:noWrap/>
            <w:vAlign w:val="bottom"/>
            <w:hideMark/>
          </w:tcPr>
          <w:p w14:paraId="51262488"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Ever-FRPL</w:t>
            </w:r>
          </w:p>
        </w:tc>
        <w:tc>
          <w:tcPr>
            <w:tcW w:w="842" w:type="dxa"/>
            <w:tcBorders>
              <w:top w:val="nil"/>
              <w:left w:val="nil"/>
              <w:bottom w:val="nil"/>
              <w:right w:val="nil"/>
            </w:tcBorders>
            <w:shd w:val="clear" w:color="auto" w:fill="auto"/>
            <w:noWrap/>
            <w:vAlign w:val="bottom"/>
            <w:hideMark/>
          </w:tcPr>
          <w:p w14:paraId="3F545444"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0.96</w:t>
            </w:r>
          </w:p>
        </w:tc>
        <w:tc>
          <w:tcPr>
            <w:tcW w:w="658" w:type="dxa"/>
            <w:tcBorders>
              <w:top w:val="nil"/>
              <w:left w:val="nil"/>
              <w:bottom w:val="nil"/>
              <w:right w:val="nil"/>
            </w:tcBorders>
            <w:shd w:val="clear" w:color="auto" w:fill="auto"/>
            <w:noWrap/>
            <w:vAlign w:val="bottom"/>
            <w:hideMark/>
          </w:tcPr>
          <w:p w14:paraId="21318CE5"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0.20</w:t>
            </w:r>
          </w:p>
        </w:tc>
        <w:tc>
          <w:tcPr>
            <w:tcW w:w="954" w:type="dxa"/>
            <w:tcBorders>
              <w:top w:val="nil"/>
              <w:left w:val="nil"/>
              <w:bottom w:val="nil"/>
              <w:right w:val="nil"/>
            </w:tcBorders>
            <w:shd w:val="clear" w:color="auto" w:fill="auto"/>
            <w:noWrap/>
            <w:vAlign w:val="bottom"/>
            <w:hideMark/>
          </w:tcPr>
          <w:p w14:paraId="04F6FF04"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0.83</w:t>
            </w:r>
          </w:p>
        </w:tc>
        <w:tc>
          <w:tcPr>
            <w:tcW w:w="746" w:type="dxa"/>
            <w:tcBorders>
              <w:top w:val="nil"/>
              <w:left w:val="nil"/>
              <w:bottom w:val="nil"/>
              <w:right w:val="nil"/>
            </w:tcBorders>
            <w:shd w:val="clear" w:color="auto" w:fill="auto"/>
            <w:noWrap/>
            <w:vAlign w:val="bottom"/>
            <w:hideMark/>
          </w:tcPr>
          <w:p w14:paraId="12A1FD6B"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0.38</w:t>
            </w:r>
          </w:p>
        </w:tc>
        <w:tc>
          <w:tcPr>
            <w:tcW w:w="943" w:type="dxa"/>
            <w:tcBorders>
              <w:top w:val="nil"/>
              <w:left w:val="nil"/>
              <w:bottom w:val="nil"/>
              <w:right w:val="nil"/>
            </w:tcBorders>
            <w:shd w:val="clear" w:color="auto" w:fill="auto"/>
            <w:noWrap/>
            <w:vAlign w:val="bottom"/>
            <w:hideMark/>
          </w:tcPr>
          <w:p w14:paraId="6B83B7DA"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0.92</w:t>
            </w:r>
          </w:p>
        </w:tc>
        <w:tc>
          <w:tcPr>
            <w:tcW w:w="737" w:type="dxa"/>
            <w:tcBorders>
              <w:top w:val="nil"/>
              <w:left w:val="nil"/>
              <w:bottom w:val="nil"/>
              <w:right w:val="nil"/>
            </w:tcBorders>
            <w:shd w:val="clear" w:color="auto" w:fill="auto"/>
            <w:noWrap/>
            <w:vAlign w:val="bottom"/>
            <w:hideMark/>
          </w:tcPr>
          <w:p w14:paraId="37311910"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0.28</w:t>
            </w:r>
          </w:p>
        </w:tc>
      </w:tr>
      <w:tr w:rsidR="00B6351D" w:rsidRPr="00B6351D" w14:paraId="715440F7" w14:textId="77777777" w:rsidTr="00B6351D">
        <w:trPr>
          <w:trHeight w:val="255"/>
        </w:trPr>
        <w:tc>
          <w:tcPr>
            <w:tcW w:w="3800" w:type="dxa"/>
            <w:tcBorders>
              <w:top w:val="nil"/>
              <w:left w:val="nil"/>
              <w:bottom w:val="nil"/>
              <w:right w:val="nil"/>
            </w:tcBorders>
            <w:shd w:val="clear" w:color="auto" w:fill="auto"/>
            <w:noWrap/>
            <w:vAlign w:val="bottom"/>
            <w:hideMark/>
          </w:tcPr>
          <w:p w14:paraId="6BEC404A" w14:textId="77777777" w:rsidR="00B6351D" w:rsidRPr="00B6351D" w:rsidRDefault="00B6351D" w:rsidP="00B6351D">
            <w:pPr>
              <w:rPr>
                <w:rFonts w:eastAsia="Times New Roman" w:cs="Times New Roman"/>
                <w:color w:val="000000"/>
                <w:sz w:val="20"/>
                <w:szCs w:val="20"/>
              </w:rPr>
            </w:pPr>
            <w:proofErr w:type="gramStart"/>
            <w:r w:rsidRPr="00B6351D">
              <w:rPr>
                <w:rFonts w:eastAsia="Times New Roman" w:cs="Times New Roman"/>
                <w:color w:val="000000"/>
                <w:sz w:val="20"/>
                <w:szCs w:val="20"/>
              </w:rPr>
              <w:t>Ever-SPED</w:t>
            </w:r>
            <w:proofErr w:type="gramEnd"/>
          </w:p>
        </w:tc>
        <w:tc>
          <w:tcPr>
            <w:tcW w:w="842" w:type="dxa"/>
            <w:tcBorders>
              <w:top w:val="nil"/>
              <w:left w:val="nil"/>
              <w:bottom w:val="nil"/>
              <w:right w:val="nil"/>
            </w:tcBorders>
            <w:shd w:val="clear" w:color="auto" w:fill="auto"/>
            <w:noWrap/>
            <w:vAlign w:val="bottom"/>
            <w:hideMark/>
          </w:tcPr>
          <w:p w14:paraId="616B5164"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0.14</w:t>
            </w:r>
          </w:p>
        </w:tc>
        <w:tc>
          <w:tcPr>
            <w:tcW w:w="658" w:type="dxa"/>
            <w:tcBorders>
              <w:top w:val="nil"/>
              <w:left w:val="nil"/>
              <w:bottom w:val="nil"/>
              <w:right w:val="nil"/>
            </w:tcBorders>
            <w:shd w:val="clear" w:color="auto" w:fill="auto"/>
            <w:noWrap/>
            <w:vAlign w:val="bottom"/>
            <w:hideMark/>
          </w:tcPr>
          <w:p w14:paraId="6D1E4291"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0.35</w:t>
            </w:r>
          </w:p>
        </w:tc>
        <w:tc>
          <w:tcPr>
            <w:tcW w:w="954" w:type="dxa"/>
            <w:tcBorders>
              <w:top w:val="nil"/>
              <w:left w:val="nil"/>
              <w:bottom w:val="nil"/>
              <w:right w:val="nil"/>
            </w:tcBorders>
            <w:shd w:val="clear" w:color="auto" w:fill="auto"/>
            <w:noWrap/>
            <w:vAlign w:val="bottom"/>
            <w:hideMark/>
          </w:tcPr>
          <w:p w14:paraId="3CEC9B54"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0.19</w:t>
            </w:r>
          </w:p>
        </w:tc>
        <w:tc>
          <w:tcPr>
            <w:tcW w:w="746" w:type="dxa"/>
            <w:tcBorders>
              <w:top w:val="nil"/>
              <w:left w:val="nil"/>
              <w:bottom w:val="nil"/>
              <w:right w:val="nil"/>
            </w:tcBorders>
            <w:shd w:val="clear" w:color="auto" w:fill="auto"/>
            <w:noWrap/>
            <w:vAlign w:val="bottom"/>
            <w:hideMark/>
          </w:tcPr>
          <w:p w14:paraId="5C0FB9A9"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0.39</w:t>
            </w:r>
          </w:p>
        </w:tc>
        <w:tc>
          <w:tcPr>
            <w:tcW w:w="943" w:type="dxa"/>
            <w:tcBorders>
              <w:top w:val="nil"/>
              <w:left w:val="nil"/>
              <w:bottom w:val="nil"/>
              <w:right w:val="nil"/>
            </w:tcBorders>
            <w:shd w:val="clear" w:color="auto" w:fill="auto"/>
            <w:noWrap/>
            <w:vAlign w:val="bottom"/>
            <w:hideMark/>
          </w:tcPr>
          <w:p w14:paraId="6252618F"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0.16</w:t>
            </w:r>
          </w:p>
        </w:tc>
        <w:tc>
          <w:tcPr>
            <w:tcW w:w="737" w:type="dxa"/>
            <w:tcBorders>
              <w:top w:val="nil"/>
              <w:left w:val="nil"/>
              <w:bottom w:val="nil"/>
              <w:right w:val="nil"/>
            </w:tcBorders>
            <w:shd w:val="clear" w:color="auto" w:fill="auto"/>
            <w:noWrap/>
            <w:vAlign w:val="bottom"/>
            <w:hideMark/>
          </w:tcPr>
          <w:p w14:paraId="0D758AA3"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0.36</w:t>
            </w:r>
          </w:p>
        </w:tc>
      </w:tr>
      <w:tr w:rsidR="00B6351D" w:rsidRPr="00B6351D" w14:paraId="3596086B" w14:textId="77777777" w:rsidTr="00B6351D">
        <w:trPr>
          <w:trHeight w:val="255"/>
        </w:trPr>
        <w:tc>
          <w:tcPr>
            <w:tcW w:w="3800" w:type="dxa"/>
            <w:tcBorders>
              <w:top w:val="nil"/>
              <w:left w:val="nil"/>
              <w:bottom w:val="nil"/>
              <w:right w:val="nil"/>
            </w:tcBorders>
            <w:shd w:val="clear" w:color="auto" w:fill="auto"/>
            <w:noWrap/>
            <w:vAlign w:val="bottom"/>
            <w:hideMark/>
          </w:tcPr>
          <w:p w14:paraId="484D34F2"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Refused EL Service K or G1 (unconditional)</w:t>
            </w:r>
          </w:p>
        </w:tc>
        <w:tc>
          <w:tcPr>
            <w:tcW w:w="842" w:type="dxa"/>
            <w:tcBorders>
              <w:top w:val="nil"/>
              <w:left w:val="nil"/>
              <w:bottom w:val="nil"/>
              <w:right w:val="nil"/>
            </w:tcBorders>
            <w:shd w:val="clear" w:color="auto" w:fill="auto"/>
            <w:noWrap/>
            <w:vAlign w:val="bottom"/>
            <w:hideMark/>
          </w:tcPr>
          <w:p w14:paraId="54F5136F"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0.05</w:t>
            </w:r>
          </w:p>
        </w:tc>
        <w:tc>
          <w:tcPr>
            <w:tcW w:w="658" w:type="dxa"/>
            <w:tcBorders>
              <w:top w:val="nil"/>
              <w:left w:val="nil"/>
              <w:bottom w:val="nil"/>
              <w:right w:val="nil"/>
            </w:tcBorders>
            <w:shd w:val="clear" w:color="auto" w:fill="auto"/>
            <w:noWrap/>
            <w:vAlign w:val="bottom"/>
            <w:hideMark/>
          </w:tcPr>
          <w:p w14:paraId="58F77C43"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0.22</w:t>
            </w:r>
          </w:p>
        </w:tc>
        <w:tc>
          <w:tcPr>
            <w:tcW w:w="954" w:type="dxa"/>
            <w:tcBorders>
              <w:top w:val="nil"/>
              <w:left w:val="nil"/>
              <w:bottom w:val="nil"/>
              <w:right w:val="nil"/>
            </w:tcBorders>
            <w:shd w:val="clear" w:color="auto" w:fill="auto"/>
            <w:noWrap/>
            <w:vAlign w:val="bottom"/>
            <w:hideMark/>
          </w:tcPr>
          <w:p w14:paraId="2967089B"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0.26</w:t>
            </w:r>
          </w:p>
        </w:tc>
        <w:tc>
          <w:tcPr>
            <w:tcW w:w="746" w:type="dxa"/>
            <w:tcBorders>
              <w:top w:val="nil"/>
              <w:left w:val="nil"/>
              <w:bottom w:val="nil"/>
              <w:right w:val="nil"/>
            </w:tcBorders>
            <w:shd w:val="clear" w:color="auto" w:fill="auto"/>
            <w:noWrap/>
            <w:vAlign w:val="bottom"/>
            <w:hideMark/>
          </w:tcPr>
          <w:p w14:paraId="70C1FC38"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0.44</w:t>
            </w:r>
          </w:p>
        </w:tc>
        <w:tc>
          <w:tcPr>
            <w:tcW w:w="943" w:type="dxa"/>
            <w:tcBorders>
              <w:top w:val="nil"/>
              <w:left w:val="nil"/>
              <w:bottom w:val="nil"/>
              <w:right w:val="nil"/>
            </w:tcBorders>
            <w:shd w:val="clear" w:color="auto" w:fill="auto"/>
            <w:noWrap/>
            <w:vAlign w:val="bottom"/>
            <w:hideMark/>
          </w:tcPr>
          <w:p w14:paraId="5CF5EF59"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0.12</w:t>
            </w:r>
          </w:p>
        </w:tc>
        <w:tc>
          <w:tcPr>
            <w:tcW w:w="737" w:type="dxa"/>
            <w:tcBorders>
              <w:top w:val="nil"/>
              <w:left w:val="nil"/>
              <w:bottom w:val="nil"/>
              <w:right w:val="nil"/>
            </w:tcBorders>
            <w:shd w:val="clear" w:color="auto" w:fill="auto"/>
            <w:noWrap/>
            <w:vAlign w:val="bottom"/>
            <w:hideMark/>
          </w:tcPr>
          <w:p w14:paraId="61EBFEAC"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0.32</w:t>
            </w:r>
          </w:p>
        </w:tc>
      </w:tr>
      <w:tr w:rsidR="00B6351D" w:rsidRPr="00B6351D" w14:paraId="089E14A4" w14:textId="77777777" w:rsidTr="00B6351D">
        <w:trPr>
          <w:trHeight w:val="255"/>
        </w:trPr>
        <w:tc>
          <w:tcPr>
            <w:tcW w:w="3800" w:type="dxa"/>
            <w:tcBorders>
              <w:top w:val="nil"/>
              <w:left w:val="nil"/>
              <w:bottom w:val="nil"/>
              <w:right w:val="nil"/>
            </w:tcBorders>
            <w:shd w:val="clear" w:color="auto" w:fill="auto"/>
            <w:noWrap/>
            <w:vAlign w:val="bottom"/>
            <w:hideMark/>
          </w:tcPr>
          <w:p w14:paraId="57CDB4FB"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Refused EL Service K or G1 (cond. Ever-EL)</w:t>
            </w:r>
          </w:p>
        </w:tc>
        <w:tc>
          <w:tcPr>
            <w:tcW w:w="842" w:type="dxa"/>
            <w:tcBorders>
              <w:top w:val="nil"/>
              <w:left w:val="nil"/>
              <w:bottom w:val="nil"/>
              <w:right w:val="nil"/>
            </w:tcBorders>
            <w:shd w:val="clear" w:color="auto" w:fill="auto"/>
            <w:noWrap/>
            <w:vAlign w:val="bottom"/>
            <w:hideMark/>
          </w:tcPr>
          <w:p w14:paraId="09A4DF4C"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0.05</w:t>
            </w:r>
          </w:p>
        </w:tc>
        <w:tc>
          <w:tcPr>
            <w:tcW w:w="658" w:type="dxa"/>
            <w:tcBorders>
              <w:top w:val="nil"/>
              <w:left w:val="nil"/>
              <w:bottom w:val="nil"/>
              <w:right w:val="nil"/>
            </w:tcBorders>
            <w:shd w:val="clear" w:color="auto" w:fill="auto"/>
            <w:noWrap/>
            <w:vAlign w:val="bottom"/>
            <w:hideMark/>
          </w:tcPr>
          <w:p w14:paraId="15171F7C"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0.22</w:t>
            </w:r>
          </w:p>
        </w:tc>
        <w:tc>
          <w:tcPr>
            <w:tcW w:w="954" w:type="dxa"/>
            <w:tcBorders>
              <w:top w:val="nil"/>
              <w:left w:val="nil"/>
              <w:bottom w:val="nil"/>
              <w:right w:val="nil"/>
            </w:tcBorders>
            <w:shd w:val="clear" w:color="auto" w:fill="auto"/>
            <w:noWrap/>
            <w:vAlign w:val="bottom"/>
            <w:hideMark/>
          </w:tcPr>
          <w:p w14:paraId="331F865B"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0.66</w:t>
            </w:r>
          </w:p>
        </w:tc>
        <w:tc>
          <w:tcPr>
            <w:tcW w:w="746" w:type="dxa"/>
            <w:tcBorders>
              <w:top w:val="nil"/>
              <w:left w:val="nil"/>
              <w:bottom w:val="nil"/>
              <w:right w:val="nil"/>
            </w:tcBorders>
            <w:shd w:val="clear" w:color="auto" w:fill="auto"/>
            <w:noWrap/>
            <w:vAlign w:val="bottom"/>
            <w:hideMark/>
          </w:tcPr>
          <w:p w14:paraId="5B720E46"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0.47</w:t>
            </w:r>
          </w:p>
        </w:tc>
        <w:tc>
          <w:tcPr>
            <w:tcW w:w="943" w:type="dxa"/>
            <w:tcBorders>
              <w:top w:val="nil"/>
              <w:left w:val="nil"/>
              <w:bottom w:val="nil"/>
              <w:right w:val="nil"/>
            </w:tcBorders>
            <w:shd w:val="clear" w:color="auto" w:fill="auto"/>
            <w:noWrap/>
            <w:vAlign w:val="bottom"/>
            <w:hideMark/>
          </w:tcPr>
          <w:p w14:paraId="419A7CA1"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0.15</w:t>
            </w:r>
          </w:p>
        </w:tc>
        <w:tc>
          <w:tcPr>
            <w:tcW w:w="737" w:type="dxa"/>
            <w:tcBorders>
              <w:top w:val="nil"/>
              <w:left w:val="nil"/>
              <w:bottom w:val="nil"/>
              <w:right w:val="nil"/>
            </w:tcBorders>
            <w:shd w:val="clear" w:color="auto" w:fill="auto"/>
            <w:noWrap/>
            <w:vAlign w:val="bottom"/>
            <w:hideMark/>
          </w:tcPr>
          <w:p w14:paraId="5EAC073A"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0.36</w:t>
            </w:r>
          </w:p>
        </w:tc>
      </w:tr>
      <w:tr w:rsidR="00B6351D" w:rsidRPr="00B6351D" w14:paraId="72C8E165" w14:textId="77777777" w:rsidTr="00B6351D">
        <w:trPr>
          <w:trHeight w:val="255"/>
        </w:trPr>
        <w:tc>
          <w:tcPr>
            <w:tcW w:w="3800" w:type="dxa"/>
            <w:tcBorders>
              <w:top w:val="nil"/>
              <w:left w:val="nil"/>
              <w:bottom w:val="nil"/>
              <w:right w:val="nil"/>
            </w:tcBorders>
            <w:shd w:val="clear" w:color="auto" w:fill="auto"/>
            <w:noWrap/>
            <w:vAlign w:val="bottom"/>
            <w:hideMark/>
          </w:tcPr>
          <w:p w14:paraId="338A7F84" w14:textId="77777777" w:rsidR="00B6351D" w:rsidRPr="00B6351D" w:rsidRDefault="00B6351D" w:rsidP="00B6351D">
            <w:pPr>
              <w:jc w:val="center"/>
              <w:rPr>
                <w:rFonts w:eastAsia="Times New Roman" w:cs="Times New Roman"/>
                <w:color w:val="000000"/>
                <w:sz w:val="20"/>
                <w:szCs w:val="20"/>
              </w:rPr>
            </w:pPr>
          </w:p>
        </w:tc>
        <w:tc>
          <w:tcPr>
            <w:tcW w:w="842" w:type="dxa"/>
            <w:tcBorders>
              <w:top w:val="nil"/>
              <w:left w:val="nil"/>
              <w:bottom w:val="nil"/>
              <w:right w:val="nil"/>
            </w:tcBorders>
            <w:shd w:val="clear" w:color="auto" w:fill="auto"/>
            <w:noWrap/>
            <w:vAlign w:val="bottom"/>
            <w:hideMark/>
          </w:tcPr>
          <w:p w14:paraId="634ABDAC" w14:textId="77777777" w:rsidR="00B6351D" w:rsidRPr="00B6351D" w:rsidRDefault="00B6351D" w:rsidP="00B6351D">
            <w:pPr>
              <w:rPr>
                <w:rFonts w:eastAsia="Times New Roman" w:cs="Times New Roman"/>
                <w:sz w:val="20"/>
                <w:szCs w:val="20"/>
              </w:rPr>
            </w:pPr>
          </w:p>
        </w:tc>
        <w:tc>
          <w:tcPr>
            <w:tcW w:w="658" w:type="dxa"/>
            <w:tcBorders>
              <w:top w:val="nil"/>
              <w:left w:val="nil"/>
              <w:bottom w:val="nil"/>
              <w:right w:val="nil"/>
            </w:tcBorders>
            <w:shd w:val="clear" w:color="auto" w:fill="auto"/>
            <w:noWrap/>
            <w:vAlign w:val="bottom"/>
            <w:hideMark/>
          </w:tcPr>
          <w:p w14:paraId="455B5DB4" w14:textId="77777777" w:rsidR="00B6351D" w:rsidRPr="00B6351D" w:rsidRDefault="00B6351D" w:rsidP="00B6351D">
            <w:pPr>
              <w:rPr>
                <w:rFonts w:eastAsia="Times New Roman" w:cs="Times New Roman"/>
                <w:sz w:val="20"/>
                <w:szCs w:val="20"/>
              </w:rPr>
            </w:pPr>
          </w:p>
        </w:tc>
        <w:tc>
          <w:tcPr>
            <w:tcW w:w="954" w:type="dxa"/>
            <w:tcBorders>
              <w:top w:val="nil"/>
              <w:left w:val="nil"/>
              <w:bottom w:val="nil"/>
              <w:right w:val="nil"/>
            </w:tcBorders>
            <w:shd w:val="clear" w:color="auto" w:fill="auto"/>
            <w:noWrap/>
            <w:vAlign w:val="bottom"/>
            <w:hideMark/>
          </w:tcPr>
          <w:p w14:paraId="5D26A3A5" w14:textId="77777777" w:rsidR="00B6351D" w:rsidRPr="00B6351D" w:rsidRDefault="00B6351D" w:rsidP="00B6351D">
            <w:pPr>
              <w:rPr>
                <w:rFonts w:eastAsia="Times New Roman" w:cs="Times New Roman"/>
                <w:sz w:val="20"/>
                <w:szCs w:val="20"/>
              </w:rPr>
            </w:pPr>
          </w:p>
        </w:tc>
        <w:tc>
          <w:tcPr>
            <w:tcW w:w="746" w:type="dxa"/>
            <w:tcBorders>
              <w:top w:val="nil"/>
              <w:left w:val="nil"/>
              <w:bottom w:val="nil"/>
              <w:right w:val="nil"/>
            </w:tcBorders>
            <w:shd w:val="clear" w:color="auto" w:fill="auto"/>
            <w:noWrap/>
            <w:vAlign w:val="bottom"/>
            <w:hideMark/>
          </w:tcPr>
          <w:p w14:paraId="2E60E84E" w14:textId="77777777" w:rsidR="00B6351D" w:rsidRPr="00B6351D" w:rsidRDefault="00B6351D" w:rsidP="00B6351D">
            <w:pPr>
              <w:rPr>
                <w:rFonts w:eastAsia="Times New Roman" w:cs="Times New Roman"/>
                <w:sz w:val="20"/>
                <w:szCs w:val="20"/>
              </w:rPr>
            </w:pPr>
          </w:p>
        </w:tc>
        <w:tc>
          <w:tcPr>
            <w:tcW w:w="943" w:type="dxa"/>
            <w:tcBorders>
              <w:top w:val="nil"/>
              <w:left w:val="nil"/>
              <w:bottom w:val="nil"/>
              <w:right w:val="nil"/>
            </w:tcBorders>
            <w:shd w:val="clear" w:color="auto" w:fill="auto"/>
            <w:noWrap/>
            <w:vAlign w:val="bottom"/>
            <w:hideMark/>
          </w:tcPr>
          <w:p w14:paraId="56BCB95F" w14:textId="77777777" w:rsidR="00B6351D" w:rsidRPr="00B6351D" w:rsidRDefault="00B6351D" w:rsidP="00B6351D">
            <w:pPr>
              <w:rPr>
                <w:rFonts w:eastAsia="Times New Roman" w:cs="Times New Roman"/>
                <w:sz w:val="20"/>
                <w:szCs w:val="20"/>
              </w:rPr>
            </w:pPr>
          </w:p>
        </w:tc>
        <w:tc>
          <w:tcPr>
            <w:tcW w:w="737" w:type="dxa"/>
            <w:tcBorders>
              <w:top w:val="nil"/>
              <w:left w:val="nil"/>
              <w:bottom w:val="nil"/>
              <w:right w:val="nil"/>
            </w:tcBorders>
            <w:shd w:val="clear" w:color="auto" w:fill="auto"/>
            <w:noWrap/>
            <w:vAlign w:val="bottom"/>
            <w:hideMark/>
          </w:tcPr>
          <w:p w14:paraId="212064D4" w14:textId="77777777" w:rsidR="00B6351D" w:rsidRPr="00B6351D" w:rsidRDefault="00B6351D" w:rsidP="00B6351D">
            <w:pPr>
              <w:rPr>
                <w:rFonts w:eastAsia="Times New Roman" w:cs="Times New Roman"/>
                <w:sz w:val="20"/>
                <w:szCs w:val="20"/>
              </w:rPr>
            </w:pPr>
          </w:p>
        </w:tc>
      </w:tr>
      <w:tr w:rsidR="00B6351D" w:rsidRPr="00B6351D" w14:paraId="7050F15B" w14:textId="77777777" w:rsidTr="00B6351D">
        <w:trPr>
          <w:trHeight w:val="255"/>
        </w:trPr>
        <w:tc>
          <w:tcPr>
            <w:tcW w:w="3800" w:type="dxa"/>
            <w:tcBorders>
              <w:top w:val="nil"/>
              <w:left w:val="nil"/>
              <w:bottom w:val="nil"/>
              <w:right w:val="nil"/>
            </w:tcBorders>
            <w:shd w:val="clear" w:color="auto" w:fill="auto"/>
            <w:noWrap/>
            <w:vAlign w:val="bottom"/>
            <w:hideMark/>
          </w:tcPr>
          <w:p w14:paraId="1F7BCB5E" w14:textId="77777777" w:rsidR="00B6351D" w:rsidRPr="00B6351D" w:rsidRDefault="00B6351D" w:rsidP="00B6351D">
            <w:pPr>
              <w:rPr>
                <w:rFonts w:eastAsia="Times New Roman" w:cs="Times New Roman"/>
                <w:b/>
                <w:bCs/>
                <w:color w:val="000000"/>
                <w:sz w:val="20"/>
                <w:szCs w:val="20"/>
              </w:rPr>
            </w:pPr>
            <w:r w:rsidRPr="00B6351D">
              <w:rPr>
                <w:rFonts w:eastAsia="Times New Roman" w:cs="Times New Roman"/>
                <w:b/>
                <w:bCs/>
                <w:color w:val="000000"/>
                <w:sz w:val="20"/>
                <w:szCs w:val="20"/>
              </w:rPr>
              <w:t>School Characteristics</w:t>
            </w:r>
          </w:p>
        </w:tc>
        <w:tc>
          <w:tcPr>
            <w:tcW w:w="842" w:type="dxa"/>
            <w:tcBorders>
              <w:top w:val="nil"/>
              <w:left w:val="nil"/>
              <w:bottom w:val="nil"/>
              <w:right w:val="nil"/>
            </w:tcBorders>
            <w:shd w:val="clear" w:color="auto" w:fill="auto"/>
            <w:noWrap/>
            <w:vAlign w:val="bottom"/>
            <w:hideMark/>
          </w:tcPr>
          <w:p w14:paraId="6B35895F" w14:textId="77777777" w:rsidR="00B6351D" w:rsidRPr="00B6351D" w:rsidRDefault="00B6351D" w:rsidP="00B6351D">
            <w:pPr>
              <w:rPr>
                <w:rFonts w:eastAsia="Times New Roman" w:cs="Times New Roman"/>
                <w:b/>
                <w:bCs/>
                <w:color w:val="000000"/>
                <w:sz w:val="20"/>
                <w:szCs w:val="20"/>
              </w:rPr>
            </w:pPr>
          </w:p>
        </w:tc>
        <w:tc>
          <w:tcPr>
            <w:tcW w:w="658" w:type="dxa"/>
            <w:tcBorders>
              <w:top w:val="nil"/>
              <w:left w:val="nil"/>
              <w:bottom w:val="nil"/>
              <w:right w:val="nil"/>
            </w:tcBorders>
            <w:shd w:val="clear" w:color="auto" w:fill="auto"/>
            <w:noWrap/>
            <w:vAlign w:val="bottom"/>
            <w:hideMark/>
          </w:tcPr>
          <w:p w14:paraId="7FE3F280" w14:textId="77777777" w:rsidR="00B6351D" w:rsidRPr="00B6351D" w:rsidRDefault="00B6351D" w:rsidP="00B6351D">
            <w:pPr>
              <w:jc w:val="center"/>
              <w:rPr>
                <w:rFonts w:eastAsia="Times New Roman" w:cs="Times New Roman"/>
                <w:sz w:val="20"/>
                <w:szCs w:val="20"/>
              </w:rPr>
            </w:pPr>
          </w:p>
        </w:tc>
        <w:tc>
          <w:tcPr>
            <w:tcW w:w="954" w:type="dxa"/>
            <w:tcBorders>
              <w:top w:val="nil"/>
              <w:left w:val="nil"/>
              <w:bottom w:val="nil"/>
              <w:right w:val="nil"/>
            </w:tcBorders>
            <w:shd w:val="clear" w:color="auto" w:fill="auto"/>
            <w:noWrap/>
            <w:vAlign w:val="bottom"/>
            <w:hideMark/>
          </w:tcPr>
          <w:p w14:paraId="66DB1567" w14:textId="77777777" w:rsidR="00B6351D" w:rsidRPr="00B6351D" w:rsidRDefault="00B6351D" w:rsidP="00B6351D">
            <w:pPr>
              <w:jc w:val="center"/>
              <w:rPr>
                <w:rFonts w:eastAsia="Times New Roman" w:cs="Times New Roman"/>
                <w:sz w:val="20"/>
                <w:szCs w:val="20"/>
              </w:rPr>
            </w:pPr>
          </w:p>
        </w:tc>
        <w:tc>
          <w:tcPr>
            <w:tcW w:w="746" w:type="dxa"/>
            <w:tcBorders>
              <w:top w:val="nil"/>
              <w:left w:val="nil"/>
              <w:bottom w:val="nil"/>
              <w:right w:val="nil"/>
            </w:tcBorders>
            <w:shd w:val="clear" w:color="auto" w:fill="auto"/>
            <w:noWrap/>
            <w:vAlign w:val="bottom"/>
            <w:hideMark/>
          </w:tcPr>
          <w:p w14:paraId="7DD108D3" w14:textId="77777777" w:rsidR="00B6351D" w:rsidRPr="00B6351D" w:rsidRDefault="00B6351D" w:rsidP="00B6351D">
            <w:pPr>
              <w:rPr>
                <w:rFonts w:eastAsia="Times New Roman" w:cs="Times New Roman"/>
                <w:sz w:val="20"/>
                <w:szCs w:val="20"/>
              </w:rPr>
            </w:pPr>
          </w:p>
        </w:tc>
        <w:tc>
          <w:tcPr>
            <w:tcW w:w="943" w:type="dxa"/>
            <w:tcBorders>
              <w:top w:val="nil"/>
              <w:left w:val="nil"/>
              <w:bottom w:val="nil"/>
              <w:right w:val="nil"/>
            </w:tcBorders>
            <w:shd w:val="clear" w:color="auto" w:fill="auto"/>
            <w:noWrap/>
            <w:vAlign w:val="bottom"/>
            <w:hideMark/>
          </w:tcPr>
          <w:p w14:paraId="574C82E2" w14:textId="77777777" w:rsidR="00B6351D" w:rsidRPr="00B6351D" w:rsidRDefault="00B6351D" w:rsidP="00B6351D">
            <w:pPr>
              <w:rPr>
                <w:rFonts w:eastAsia="Times New Roman" w:cs="Times New Roman"/>
                <w:sz w:val="20"/>
                <w:szCs w:val="20"/>
              </w:rPr>
            </w:pPr>
          </w:p>
        </w:tc>
        <w:tc>
          <w:tcPr>
            <w:tcW w:w="737" w:type="dxa"/>
            <w:tcBorders>
              <w:top w:val="nil"/>
              <w:left w:val="nil"/>
              <w:bottom w:val="nil"/>
              <w:right w:val="nil"/>
            </w:tcBorders>
            <w:shd w:val="clear" w:color="auto" w:fill="auto"/>
            <w:noWrap/>
            <w:vAlign w:val="bottom"/>
            <w:hideMark/>
          </w:tcPr>
          <w:p w14:paraId="2D45F83C" w14:textId="77777777" w:rsidR="00B6351D" w:rsidRPr="00B6351D" w:rsidRDefault="00B6351D" w:rsidP="00B6351D">
            <w:pPr>
              <w:rPr>
                <w:rFonts w:eastAsia="Times New Roman" w:cs="Times New Roman"/>
                <w:sz w:val="20"/>
                <w:szCs w:val="20"/>
              </w:rPr>
            </w:pPr>
          </w:p>
        </w:tc>
      </w:tr>
      <w:tr w:rsidR="00B6351D" w:rsidRPr="00B6351D" w14:paraId="49EAF41C" w14:textId="77777777" w:rsidTr="00B6351D">
        <w:trPr>
          <w:trHeight w:val="255"/>
        </w:trPr>
        <w:tc>
          <w:tcPr>
            <w:tcW w:w="3800" w:type="dxa"/>
            <w:tcBorders>
              <w:top w:val="nil"/>
              <w:left w:val="nil"/>
              <w:bottom w:val="nil"/>
              <w:right w:val="nil"/>
            </w:tcBorders>
            <w:shd w:val="clear" w:color="auto" w:fill="auto"/>
            <w:noWrap/>
            <w:vAlign w:val="bottom"/>
            <w:hideMark/>
          </w:tcPr>
          <w:p w14:paraId="6C482EE9"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 Female</w:t>
            </w:r>
          </w:p>
        </w:tc>
        <w:tc>
          <w:tcPr>
            <w:tcW w:w="842" w:type="dxa"/>
            <w:tcBorders>
              <w:top w:val="nil"/>
              <w:left w:val="nil"/>
              <w:bottom w:val="nil"/>
              <w:right w:val="nil"/>
            </w:tcBorders>
            <w:shd w:val="clear" w:color="auto" w:fill="auto"/>
            <w:noWrap/>
            <w:vAlign w:val="bottom"/>
            <w:hideMark/>
          </w:tcPr>
          <w:p w14:paraId="283C8E6B"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0.49</w:t>
            </w:r>
          </w:p>
        </w:tc>
        <w:tc>
          <w:tcPr>
            <w:tcW w:w="658" w:type="dxa"/>
            <w:tcBorders>
              <w:top w:val="nil"/>
              <w:left w:val="nil"/>
              <w:bottom w:val="nil"/>
              <w:right w:val="nil"/>
            </w:tcBorders>
            <w:shd w:val="clear" w:color="auto" w:fill="auto"/>
            <w:noWrap/>
            <w:vAlign w:val="bottom"/>
            <w:hideMark/>
          </w:tcPr>
          <w:p w14:paraId="36305665"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0.02</w:t>
            </w:r>
          </w:p>
        </w:tc>
        <w:tc>
          <w:tcPr>
            <w:tcW w:w="954" w:type="dxa"/>
            <w:tcBorders>
              <w:top w:val="nil"/>
              <w:left w:val="nil"/>
              <w:bottom w:val="nil"/>
              <w:right w:val="nil"/>
            </w:tcBorders>
            <w:shd w:val="clear" w:color="auto" w:fill="auto"/>
            <w:noWrap/>
            <w:vAlign w:val="bottom"/>
            <w:hideMark/>
          </w:tcPr>
          <w:p w14:paraId="776F2B04"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0.49</w:t>
            </w:r>
          </w:p>
        </w:tc>
        <w:tc>
          <w:tcPr>
            <w:tcW w:w="746" w:type="dxa"/>
            <w:tcBorders>
              <w:top w:val="nil"/>
              <w:left w:val="nil"/>
              <w:bottom w:val="nil"/>
              <w:right w:val="nil"/>
            </w:tcBorders>
            <w:shd w:val="clear" w:color="auto" w:fill="auto"/>
            <w:noWrap/>
            <w:vAlign w:val="bottom"/>
            <w:hideMark/>
          </w:tcPr>
          <w:p w14:paraId="7ED23FD8"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0.02</w:t>
            </w:r>
          </w:p>
        </w:tc>
        <w:tc>
          <w:tcPr>
            <w:tcW w:w="943" w:type="dxa"/>
            <w:tcBorders>
              <w:top w:val="nil"/>
              <w:left w:val="nil"/>
              <w:bottom w:val="nil"/>
              <w:right w:val="nil"/>
            </w:tcBorders>
            <w:shd w:val="clear" w:color="auto" w:fill="auto"/>
            <w:noWrap/>
            <w:vAlign w:val="bottom"/>
            <w:hideMark/>
          </w:tcPr>
          <w:p w14:paraId="62E84A5C"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0.49</w:t>
            </w:r>
          </w:p>
        </w:tc>
        <w:tc>
          <w:tcPr>
            <w:tcW w:w="737" w:type="dxa"/>
            <w:tcBorders>
              <w:top w:val="nil"/>
              <w:left w:val="nil"/>
              <w:bottom w:val="nil"/>
              <w:right w:val="nil"/>
            </w:tcBorders>
            <w:shd w:val="clear" w:color="auto" w:fill="auto"/>
            <w:noWrap/>
            <w:vAlign w:val="bottom"/>
            <w:hideMark/>
          </w:tcPr>
          <w:p w14:paraId="0479A63C"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0.02</w:t>
            </w:r>
          </w:p>
        </w:tc>
      </w:tr>
      <w:tr w:rsidR="00B6351D" w:rsidRPr="00B6351D" w14:paraId="3200CDD2" w14:textId="77777777" w:rsidTr="00B6351D">
        <w:trPr>
          <w:trHeight w:val="255"/>
        </w:trPr>
        <w:tc>
          <w:tcPr>
            <w:tcW w:w="3800" w:type="dxa"/>
            <w:tcBorders>
              <w:top w:val="nil"/>
              <w:left w:val="nil"/>
              <w:bottom w:val="nil"/>
              <w:right w:val="nil"/>
            </w:tcBorders>
            <w:shd w:val="clear" w:color="auto" w:fill="auto"/>
            <w:noWrap/>
            <w:vAlign w:val="bottom"/>
            <w:hideMark/>
          </w:tcPr>
          <w:p w14:paraId="55A3A55F"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 EL</w:t>
            </w:r>
          </w:p>
        </w:tc>
        <w:tc>
          <w:tcPr>
            <w:tcW w:w="842" w:type="dxa"/>
            <w:tcBorders>
              <w:top w:val="nil"/>
              <w:left w:val="nil"/>
              <w:bottom w:val="nil"/>
              <w:right w:val="nil"/>
            </w:tcBorders>
            <w:shd w:val="clear" w:color="auto" w:fill="auto"/>
            <w:noWrap/>
            <w:vAlign w:val="bottom"/>
            <w:hideMark/>
          </w:tcPr>
          <w:p w14:paraId="020C0721"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0.29</w:t>
            </w:r>
          </w:p>
        </w:tc>
        <w:tc>
          <w:tcPr>
            <w:tcW w:w="658" w:type="dxa"/>
            <w:tcBorders>
              <w:top w:val="nil"/>
              <w:left w:val="nil"/>
              <w:bottom w:val="nil"/>
              <w:right w:val="nil"/>
            </w:tcBorders>
            <w:shd w:val="clear" w:color="auto" w:fill="auto"/>
            <w:noWrap/>
            <w:vAlign w:val="bottom"/>
            <w:hideMark/>
          </w:tcPr>
          <w:p w14:paraId="227A39C2"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0.15</w:t>
            </w:r>
          </w:p>
        </w:tc>
        <w:tc>
          <w:tcPr>
            <w:tcW w:w="954" w:type="dxa"/>
            <w:tcBorders>
              <w:top w:val="nil"/>
              <w:left w:val="nil"/>
              <w:bottom w:val="nil"/>
              <w:right w:val="nil"/>
            </w:tcBorders>
            <w:shd w:val="clear" w:color="auto" w:fill="auto"/>
            <w:noWrap/>
            <w:vAlign w:val="bottom"/>
            <w:hideMark/>
          </w:tcPr>
          <w:p w14:paraId="460686DE"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0.22</w:t>
            </w:r>
          </w:p>
        </w:tc>
        <w:tc>
          <w:tcPr>
            <w:tcW w:w="746" w:type="dxa"/>
            <w:tcBorders>
              <w:top w:val="nil"/>
              <w:left w:val="nil"/>
              <w:bottom w:val="nil"/>
              <w:right w:val="nil"/>
            </w:tcBorders>
            <w:shd w:val="clear" w:color="auto" w:fill="auto"/>
            <w:noWrap/>
            <w:vAlign w:val="bottom"/>
            <w:hideMark/>
          </w:tcPr>
          <w:p w14:paraId="0370D6C2"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0.16</w:t>
            </w:r>
          </w:p>
        </w:tc>
        <w:tc>
          <w:tcPr>
            <w:tcW w:w="943" w:type="dxa"/>
            <w:tcBorders>
              <w:top w:val="nil"/>
              <w:left w:val="nil"/>
              <w:bottom w:val="nil"/>
              <w:right w:val="nil"/>
            </w:tcBorders>
            <w:shd w:val="clear" w:color="auto" w:fill="auto"/>
            <w:noWrap/>
            <w:vAlign w:val="bottom"/>
            <w:hideMark/>
          </w:tcPr>
          <w:p w14:paraId="1AEB775E"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0.27</w:t>
            </w:r>
          </w:p>
        </w:tc>
        <w:tc>
          <w:tcPr>
            <w:tcW w:w="737" w:type="dxa"/>
            <w:tcBorders>
              <w:top w:val="nil"/>
              <w:left w:val="nil"/>
              <w:bottom w:val="nil"/>
              <w:right w:val="nil"/>
            </w:tcBorders>
            <w:shd w:val="clear" w:color="auto" w:fill="auto"/>
            <w:noWrap/>
            <w:vAlign w:val="bottom"/>
            <w:hideMark/>
          </w:tcPr>
          <w:p w14:paraId="564F0F0A"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0.15</w:t>
            </w:r>
          </w:p>
        </w:tc>
      </w:tr>
      <w:tr w:rsidR="00B6351D" w:rsidRPr="00B6351D" w14:paraId="00AA9CE4" w14:textId="77777777" w:rsidTr="00B6351D">
        <w:trPr>
          <w:trHeight w:val="255"/>
        </w:trPr>
        <w:tc>
          <w:tcPr>
            <w:tcW w:w="3800" w:type="dxa"/>
            <w:tcBorders>
              <w:top w:val="nil"/>
              <w:left w:val="nil"/>
              <w:bottom w:val="nil"/>
              <w:right w:val="nil"/>
            </w:tcBorders>
            <w:shd w:val="clear" w:color="auto" w:fill="auto"/>
            <w:noWrap/>
            <w:vAlign w:val="bottom"/>
            <w:hideMark/>
          </w:tcPr>
          <w:p w14:paraId="63E4CD4D"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 FRPL</w:t>
            </w:r>
          </w:p>
        </w:tc>
        <w:tc>
          <w:tcPr>
            <w:tcW w:w="842" w:type="dxa"/>
            <w:tcBorders>
              <w:top w:val="nil"/>
              <w:left w:val="nil"/>
              <w:bottom w:val="nil"/>
              <w:right w:val="nil"/>
            </w:tcBorders>
            <w:shd w:val="clear" w:color="auto" w:fill="auto"/>
            <w:noWrap/>
            <w:vAlign w:val="bottom"/>
            <w:hideMark/>
          </w:tcPr>
          <w:p w14:paraId="5BA4DEE9"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0.75</w:t>
            </w:r>
          </w:p>
        </w:tc>
        <w:tc>
          <w:tcPr>
            <w:tcW w:w="658" w:type="dxa"/>
            <w:tcBorders>
              <w:top w:val="nil"/>
              <w:left w:val="nil"/>
              <w:bottom w:val="nil"/>
              <w:right w:val="nil"/>
            </w:tcBorders>
            <w:shd w:val="clear" w:color="auto" w:fill="auto"/>
            <w:noWrap/>
            <w:vAlign w:val="bottom"/>
            <w:hideMark/>
          </w:tcPr>
          <w:p w14:paraId="5F08659D"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0.16</w:t>
            </w:r>
          </w:p>
        </w:tc>
        <w:tc>
          <w:tcPr>
            <w:tcW w:w="954" w:type="dxa"/>
            <w:tcBorders>
              <w:top w:val="nil"/>
              <w:left w:val="nil"/>
              <w:bottom w:val="nil"/>
              <w:right w:val="nil"/>
            </w:tcBorders>
            <w:shd w:val="clear" w:color="auto" w:fill="auto"/>
            <w:noWrap/>
            <w:vAlign w:val="bottom"/>
            <w:hideMark/>
          </w:tcPr>
          <w:p w14:paraId="602F1120"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0.61</w:t>
            </w:r>
          </w:p>
        </w:tc>
        <w:tc>
          <w:tcPr>
            <w:tcW w:w="746" w:type="dxa"/>
            <w:tcBorders>
              <w:top w:val="nil"/>
              <w:left w:val="nil"/>
              <w:bottom w:val="nil"/>
              <w:right w:val="nil"/>
            </w:tcBorders>
            <w:shd w:val="clear" w:color="auto" w:fill="auto"/>
            <w:noWrap/>
            <w:vAlign w:val="bottom"/>
            <w:hideMark/>
          </w:tcPr>
          <w:p w14:paraId="08B0D158"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0.24</w:t>
            </w:r>
          </w:p>
        </w:tc>
        <w:tc>
          <w:tcPr>
            <w:tcW w:w="943" w:type="dxa"/>
            <w:tcBorders>
              <w:top w:val="nil"/>
              <w:left w:val="nil"/>
              <w:bottom w:val="nil"/>
              <w:right w:val="nil"/>
            </w:tcBorders>
            <w:shd w:val="clear" w:color="auto" w:fill="auto"/>
            <w:noWrap/>
            <w:vAlign w:val="bottom"/>
            <w:hideMark/>
          </w:tcPr>
          <w:p w14:paraId="025BD2D9"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0.71</w:t>
            </w:r>
          </w:p>
        </w:tc>
        <w:tc>
          <w:tcPr>
            <w:tcW w:w="737" w:type="dxa"/>
            <w:tcBorders>
              <w:top w:val="nil"/>
              <w:left w:val="nil"/>
              <w:bottom w:val="nil"/>
              <w:right w:val="nil"/>
            </w:tcBorders>
            <w:shd w:val="clear" w:color="auto" w:fill="auto"/>
            <w:noWrap/>
            <w:vAlign w:val="bottom"/>
            <w:hideMark/>
          </w:tcPr>
          <w:p w14:paraId="17B472F3"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0.20</w:t>
            </w:r>
          </w:p>
        </w:tc>
      </w:tr>
      <w:tr w:rsidR="00B6351D" w:rsidRPr="00B6351D" w14:paraId="01F7730D" w14:textId="77777777" w:rsidTr="00B6351D">
        <w:trPr>
          <w:trHeight w:val="255"/>
        </w:trPr>
        <w:tc>
          <w:tcPr>
            <w:tcW w:w="3800" w:type="dxa"/>
            <w:tcBorders>
              <w:top w:val="nil"/>
              <w:left w:val="nil"/>
              <w:bottom w:val="single" w:sz="4" w:space="0" w:color="auto"/>
              <w:right w:val="nil"/>
            </w:tcBorders>
            <w:shd w:val="clear" w:color="auto" w:fill="auto"/>
            <w:noWrap/>
            <w:vAlign w:val="bottom"/>
            <w:hideMark/>
          </w:tcPr>
          <w:p w14:paraId="2C517B52" w14:textId="77777777"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 SPED</w:t>
            </w:r>
          </w:p>
        </w:tc>
        <w:tc>
          <w:tcPr>
            <w:tcW w:w="842" w:type="dxa"/>
            <w:tcBorders>
              <w:top w:val="nil"/>
              <w:left w:val="nil"/>
              <w:bottom w:val="single" w:sz="4" w:space="0" w:color="auto"/>
              <w:right w:val="nil"/>
            </w:tcBorders>
            <w:shd w:val="clear" w:color="auto" w:fill="auto"/>
            <w:noWrap/>
            <w:vAlign w:val="bottom"/>
            <w:hideMark/>
          </w:tcPr>
          <w:p w14:paraId="4CF4BDE0"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0.11</w:t>
            </w:r>
          </w:p>
        </w:tc>
        <w:tc>
          <w:tcPr>
            <w:tcW w:w="658" w:type="dxa"/>
            <w:tcBorders>
              <w:top w:val="nil"/>
              <w:left w:val="nil"/>
              <w:bottom w:val="single" w:sz="4" w:space="0" w:color="auto"/>
              <w:right w:val="nil"/>
            </w:tcBorders>
            <w:shd w:val="clear" w:color="auto" w:fill="auto"/>
            <w:noWrap/>
            <w:vAlign w:val="bottom"/>
            <w:hideMark/>
          </w:tcPr>
          <w:p w14:paraId="64250B7C"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0.04</w:t>
            </w:r>
          </w:p>
        </w:tc>
        <w:tc>
          <w:tcPr>
            <w:tcW w:w="954" w:type="dxa"/>
            <w:tcBorders>
              <w:top w:val="nil"/>
              <w:left w:val="nil"/>
              <w:bottom w:val="single" w:sz="4" w:space="0" w:color="auto"/>
              <w:right w:val="nil"/>
            </w:tcBorders>
            <w:shd w:val="clear" w:color="auto" w:fill="auto"/>
            <w:noWrap/>
            <w:vAlign w:val="bottom"/>
            <w:hideMark/>
          </w:tcPr>
          <w:p w14:paraId="7C3672C1"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0.11</w:t>
            </w:r>
          </w:p>
        </w:tc>
        <w:tc>
          <w:tcPr>
            <w:tcW w:w="746" w:type="dxa"/>
            <w:tcBorders>
              <w:top w:val="nil"/>
              <w:left w:val="nil"/>
              <w:bottom w:val="single" w:sz="4" w:space="0" w:color="auto"/>
              <w:right w:val="nil"/>
            </w:tcBorders>
            <w:shd w:val="clear" w:color="auto" w:fill="auto"/>
            <w:noWrap/>
            <w:vAlign w:val="bottom"/>
            <w:hideMark/>
          </w:tcPr>
          <w:p w14:paraId="4FDD46BB"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0.04</w:t>
            </w:r>
          </w:p>
        </w:tc>
        <w:tc>
          <w:tcPr>
            <w:tcW w:w="943" w:type="dxa"/>
            <w:tcBorders>
              <w:top w:val="nil"/>
              <w:left w:val="nil"/>
              <w:bottom w:val="single" w:sz="4" w:space="0" w:color="auto"/>
              <w:right w:val="nil"/>
            </w:tcBorders>
            <w:shd w:val="clear" w:color="auto" w:fill="auto"/>
            <w:noWrap/>
            <w:vAlign w:val="bottom"/>
            <w:hideMark/>
          </w:tcPr>
          <w:p w14:paraId="76EF4E12"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0.11</w:t>
            </w:r>
          </w:p>
        </w:tc>
        <w:tc>
          <w:tcPr>
            <w:tcW w:w="737" w:type="dxa"/>
            <w:tcBorders>
              <w:top w:val="nil"/>
              <w:left w:val="nil"/>
              <w:bottom w:val="single" w:sz="4" w:space="0" w:color="auto"/>
              <w:right w:val="nil"/>
            </w:tcBorders>
            <w:shd w:val="clear" w:color="auto" w:fill="auto"/>
            <w:noWrap/>
            <w:vAlign w:val="bottom"/>
            <w:hideMark/>
          </w:tcPr>
          <w:p w14:paraId="5592F615" w14:textId="77777777" w:rsidR="00B6351D" w:rsidRPr="00B6351D" w:rsidRDefault="00B6351D" w:rsidP="00B6351D">
            <w:pPr>
              <w:jc w:val="center"/>
              <w:rPr>
                <w:rFonts w:eastAsia="Times New Roman" w:cs="Times New Roman"/>
                <w:color w:val="000000"/>
                <w:sz w:val="20"/>
                <w:szCs w:val="20"/>
              </w:rPr>
            </w:pPr>
            <w:r w:rsidRPr="00B6351D">
              <w:rPr>
                <w:rFonts w:eastAsia="Times New Roman" w:cs="Times New Roman"/>
                <w:color w:val="000000"/>
                <w:sz w:val="20"/>
                <w:szCs w:val="20"/>
              </w:rPr>
              <w:t>0.04</w:t>
            </w:r>
          </w:p>
        </w:tc>
      </w:tr>
      <w:tr w:rsidR="00B6351D" w:rsidRPr="00B6351D" w14:paraId="24CDA89C" w14:textId="77777777" w:rsidTr="00B6351D">
        <w:trPr>
          <w:trHeight w:val="675"/>
        </w:trPr>
        <w:tc>
          <w:tcPr>
            <w:tcW w:w="8680" w:type="dxa"/>
            <w:gridSpan w:val="7"/>
            <w:tcBorders>
              <w:top w:val="single" w:sz="4" w:space="0" w:color="auto"/>
              <w:left w:val="nil"/>
              <w:bottom w:val="nil"/>
              <w:right w:val="nil"/>
            </w:tcBorders>
            <w:shd w:val="clear" w:color="auto" w:fill="auto"/>
            <w:hideMark/>
          </w:tcPr>
          <w:p w14:paraId="0D057106" w14:textId="602D303B" w:rsidR="00B6351D" w:rsidRPr="00B6351D" w:rsidRDefault="00B6351D" w:rsidP="00B6351D">
            <w:pPr>
              <w:rPr>
                <w:rFonts w:eastAsia="Times New Roman" w:cs="Times New Roman"/>
                <w:color w:val="000000"/>
                <w:sz w:val="20"/>
                <w:szCs w:val="20"/>
              </w:rPr>
            </w:pPr>
            <w:r w:rsidRPr="00B6351D">
              <w:rPr>
                <w:rFonts w:eastAsia="Times New Roman" w:cs="Times New Roman"/>
                <w:color w:val="000000"/>
                <w:sz w:val="20"/>
                <w:szCs w:val="20"/>
              </w:rPr>
              <w:t xml:space="preserve">Notes: DL = </w:t>
            </w:r>
            <w:r>
              <w:rPr>
                <w:rFonts w:eastAsia="Times New Roman" w:cs="Times New Roman"/>
                <w:color w:val="000000"/>
                <w:sz w:val="20"/>
                <w:szCs w:val="20"/>
              </w:rPr>
              <w:t xml:space="preserve">ever enrolled in </w:t>
            </w:r>
            <w:r w:rsidRPr="00B6351D">
              <w:rPr>
                <w:rFonts w:eastAsia="Times New Roman" w:cs="Times New Roman"/>
                <w:color w:val="000000"/>
                <w:sz w:val="20"/>
                <w:szCs w:val="20"/>
              </w:rPr>
              <w:t>dual language</w:t>
            </w:r>
            <w:r>
              <w:rPr>
                <w:rFonts w:eastAsia="Times New Roman" w:cs="Times New Roman"/>
                <w:color w:val="000000"/>
                <w:sz w:val="20"/>
                <w:szCs w:val="20"/>
              </w:rPr>
              <w:t xml:space="preserve"> program</w:t>
            </w:r>
            <w:r w:rsidRPr="00B6351D">
              <w:rPr>
                <w:rFonts w:eastAsia="Times New Roman" w:cs="Times New Roman"/>
                <w:color w:val="000000"/>
                <w:sz w:val="20"/>
                <w:szCs w:val="20"/>
              </w:rPr>
              <w:t xml:space="preserve">. </w:t>
            </w:r>
            <w:r>
              <w:rPr>
                <w:rFonts w:eastAsia="Times New Roman" w:cs="Times New Roman"/>
                <w:color w:val="000000"/>
                <w:sz w:val="20"/>
                <w:szCs w:val="20"/>
              </w:rPr>
              <w:t xml:space="preserve">Non-DL = never enrolled in dual language program. </w:t>
            </w:r>
            <w:r w:rsidRPr="00B6351D">
              <w:rPr>
                <w:rFonts w:eastAsia="Times New Roman" w:cs="Times New Roman"/>
                <w:color w:val="000000"/>
                <w:sz w:val="20"/>
                <w:szCs w:val="20"/>
              </w:rPr>
              <w:t>SD = standard deviation. EL= English Learner. FRPL = free or reduced-price lunch. SPED= special education. K = kindergarten. G1 = grade 1.</w:t>
            </w:r>
            <w:r>
              <w:rPr>
                <w:rFonts w:eastAsia="Times New Roman" w:cs="Times New Roman"/>
                <w:color w:val="000000"/>
                <w:sz w:val="20"/>
                <w:szCs w:val="20"/>
              </w:rPr>
              <w:t xml:space="preserve"> </w:t>
            </w:r>
            <w:r w:rsidRPr="00261857">
              <w:rPr>
                <w:rFonts w:eastAsia="Times New Roman" w:cs="Times New Roman"/>
                <w:color w:val="000000"/>
                <w:sz w:val="20"/>
                <w:szCs w:val="20"/>
              </w:rPr>
              <w:t>Sample includes students whose reported race/ethnicity was Hispanic and who took MAP Growth math or reading assessments between 20</w:t>
            </w:r>
            <w:r>
              <w:rPr>
                <w:rFonts w:eastAsia="Times New Roman" w:cs="Times New Roman"/>
                <w:color w:val="000000"/>
                <w:sz w:val="20"/>
                <w:szCs w:val="20"/>
              </w:rPr>
              <w:t>11-12</w:t>
            </w:r>
            <w:r w:rsidRPr="00261857">
              <w:rPr>
                <w:rFonts w:eastAsia="Times New Roman" w:cs="Times New Roman"/>
                <w:color w:val="000000"/>
                <w:sz w:val="20"/>
                <w:szCs w:val="20"/>
              </w:rPr>
              <w:t xml:space="preserve"> and </w:t>
            </w:r>
            <w:r w:rsidR="001527A0">
              <w:rPr>
                <w:rFonts w:eastAsia="Times New Roman" w:cs="Times New Roman"/>
                <w:color w:val="000000"/>
                <w:sz w:val="20"/>
                <w:szCs w:val="20"/>
              </w:rPr>
              <w:t>winter 2020</w:t>
            </w:r>
            <w:r w:rsidRPr="00261857">
              <w:rPr>
                <w:rFonts w:eastAsia="Times New Roman" w:cs="Times New Roman"/>
                <w:color w:val="000000"/>
                <w:sz w:val="20"/>
                <w:szCs w:val="20"/>
              </w:rPr>
              <w:t xml:space="preserve">. Ever-EL indicates having ever been eligible for EL services while enrolled in the district. Ever-FRPL indicates having ever been eligible for free or reduced-price lunch services. </w:t>
            </w:r>
            <w:proofErr w:type="gramStart"/>
            <w:r w:rsidRPr="00261857">
              <w:rPr>
                <w:rFonts w:eastAsia="Times New Roman" w:cs="Times New Roman"/>
                <w:color w:val="000000"/>
                <w:sz w:val="20"/>
                <w:szCs w:val="20"/>
              </w:rPr>
              <w:t>Ever-SPED</w:t>
            </w:r>
            <w:proofErr w:type="gramEnd"/>
            <w:r w:rsidRPr="00261857">
              <w:rPr>
                <w:rFonts w:eastAsia="Times New Roman" w:cs="Times New Roman"/>
                <w:color w:val="000000"/>
                <w:sz w:val="20"/>
                <w:szCs w:val="20"/>
              </w:rPr>
              <w:t xml:space="preserve"> indicates having ever been eligible for Special Education services. Refused EL Service K or G1 indicates having been eligible for but refused to receive EL service during kindergarten or 1</w:t>
            </w:r>
            <w:r w:rsidRPr="00261857">
              <w:rPr>
                <w:rFonts w:eastAsia="Times New Roman" w:cs="Times New Roman"/>
                <w:color w:val="000000"/>
                <w:sz w:val="20"/>
                <w:szCs w:val="20"/>
                <w:vertAlign w:val="superscript"/>
              </w:rPr>
              <w:t>st</w:t>
            </w:r>
            <w:r w:rsidRPr="00261857">
              <w:rPr>
                <w:rFonts w:eastAsia="Times New Roman" w:cs="Times New Roman"/>
                <w:color w:val="000000"/>
                <w:sz w:val="20"/>
                <w:szCs w:val="20"/>
              </w:rPr>
              <w:t xml:space="preserve"> grade.</w:t>
            </w:r>
          </w:p>
        </w:tc>
      </w:tr>
    </w:tbl>
    <w:p w14:paraId="1F4D5472" w14:textId="77777777" w:rsidR="00B6351D" w:rsidRDefault="00B6351D" w:rsidP="004B52F3"/>
    <w:p w14:paraId="5044EBAA" w14:textId="77777777" w:rsidR="00407A84" w:rsidRDefault="00407A84" w:rsidP="004B52F3"/>
    <w:p w14:paraId="1888FDB2" w14:textId="77777777" w:rsidR="00261857" w:rsidRDefault="00261857" w:rsidP="004B52F3">
      <w:r>
        <w:br w:type="page"/>
      </w:r>
    </w:p>
    <w:p w14:paraId="3FFA4DD4" w14:textId="5A7AEC34" w:rsidR="00DC7146" w:rsidRDefault="00407A84" w:rsidP="004B52F3">
      <w:r>
        <w:lastRenderedPageBreak/>
        <w:t>Table 2.</w:t>
      </w:r>
      <w:r w:rsidR="00F66CAB">
        <w:t xml:space="preserve"> </w:t>
      </w:r>
      <w:r w:rsidR="00DC7146">
        <w:t>Number of Students in Sample by 2</w:t>
      </w:r>
      <w:r w:rsidR="00DC7146" w:rsidRPr="00DC7146">
        <w:rPr>
          <w:vertAlign w:val="superscript"/>
        </w:rPr>
        <w:t>nd</w:t>
      </w:r>
      <w:r w:rsidR="00DC7146">
        <w:t xml:space="preserve"> Grade Cohort and Grades Tested</w:t>
      </w:r>
    </w:p>
    <w:p w14:paraId="1453116E" w14:textId="77777777" w:rsidR="00DC7146" w:rsidRDefault="00DC7146" w:rsidP="004B52F3"/>
    <w:tbl>
      <w:tblPr>
        <w:tblW w:w="7960" w:type="dxa"/>
        <w:tblLook w:val="04A0" w:firstRow="1" w:lastRow="0" w:firstColumn="1" w:lastColumn="0" w:noHBand="0" w:noVBand="1"/>
      </w:tblPr>
      <w:tblGrid>
        <w:gridCol w:w="2080"/>
        <w:gridCol w:w="840"/>
        <w:gridCol w:w="840"/>
        <w:gridCol w:w="840"/>
        <w:gridCol w:w="840"/>
        <w:gridCol w:w="840"/>
        <w:gridCol w:w="840"/>
        <w:gridCol w:w="840"/>
      </w:tblGrid>
      <w:tr w:rsidR="00DC7146" w:rsidRPr="00DC7146" w14:paraId="314046C4" w14:textId="77777777" w:rsidTr="00C8452B">
        <w:trPr>
          <w:trHeight w:val="255"/>
        </w:trPr>
        <w:tc>
          <w:tcPr>
            <w:tcW w:w="2080" w:type="dxa"/>
            <w:tcBorders>
              <w:top w:val="nil"/>
              <w:left w:val="nil"/>
              <w:bottom w:val="single" w:sz="4" w:space="0" w:color="auto"/>
              <w:right w:val="nil"/>
            </w:tcBorders>
            <w:shd w:val="clear" w:color="auto" w:fill="auto"/>
            <w:noWrap/>
            <w:vAlign w:val="center"/>
            <w:hideMark/>
          </w:tcPr>
          <w:p w14:paraId="51E35218" w14:textId="77777777" w:rsidR="00DC7146" w:rsidRPr="00DC7146" w:rsidRDefault="00DC7146" w:rsidP="00DC7146">
            <w:pPr>
              <w:rPr>
                <w:rFonts w:eastAsia="Times New Roman" w:cs="Times New Roman"/>
                <w:szCs w:val="24"/>
              </w:rPr>
            </w:pPr>
          </w:p>
        </w:tc>
        <w:tc>
          <w:tcPr>
            <w:tcW w:w="5880" w:type="dxa"/>
            <w:gridSpan w:val="7"/>
            <w:tcBorders>
              <w:top w:val="nil"/>
              <w:left w:val="nil"/>
              <w:bottom w:val="nil"/>
              <w:right w:val="nil"/>
            </w:tcBorders>
            <w:shd w:val="clear" w:color="auto" w:fill="auto"/>
            <w:noWrap/>
            <w:vAlign w:val="center"/>
            <w:hideMark/>
          </w:tcPr>
          <w:p w14:paraId="18D151EA" w14:textId="77777777" w:rsidR="00DC7146" w:rsidRPr="00DC7146" w:rsidRDefault="00DC7146" w:rsidP="00DC7146">
            <w:pPr>
              <w:jc w:val="center"/>
              <w:rPr>
                <w:rFonts w:eastAsia="Times New Roman" w:cs="Times New Roman"/>
                <w:color w:val="000000"/>
                <w:sz w:val="20"/>
                <w:szCs w:val="20"/>
              </w:rPr>
            </w:pPr>
            <w:r w:rsidRPr="00DC7146">
              <w:rPr>
                <w:rFonts w:eastAsia="Times New Roman" w:cs="Times New Roman"/>
                <w:color w:val="000000"/>
                <w:sz w:val="20"/>
                <w:szCs w:val="20"/>
              </w:rPr>
              <w:t>Grades Tested</w:t>
            </w:r>
          </w:p>
        </w:tc>
      </w:tr>
      <w:tr w:rsidR="00DC7146" w:rsidRPr="00DC7146" w14:paraId="7902F53C" w14:textId="77777777" w:rsidTr="00C8452B">
        <w:trPr>
          <w:trHeight w:val="255"/>
        </w:trPr>
        <w:tc>
          <w:tcPr>
            <w:tcW w:w="2080" w:type="dxa"/>
            <w:tcBorders>
              <w:top w:val="single" w:sz="4" w:space="0" w:color="auto"/>
              <w:bottom w:val="single" w:sz="4" w:space="0" w:color="auto"/>
            </w:tcBorders>
            <w:shd w:val="clear" w:color="auto" w:fill="auto"/>
            <w:noWrap/>
            <w:vAlign w:val="center"/>
            <w:hideMark/>
          </w:tcPr>
          <w:p w14:paraId="09E78EFE"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2nd Grade Cohort (Fall)</w:t>
            </w:r>
          </w:p>
        </w:tc>
        <w:tc>
          <w:tcPr>
            <w:tcW w:w="840" w:type="dxa"/>
            <w:tcBorders>
              <w:top w:val="single" w:sz="4" w:space="0" w:color="auto"/>
              <w:left w:val="nil"/>
              <w:bottom w:val="single" w:sz="4" w:space="0" w:color="auto"/>
              <w:right w:val="nil"/>
            </w:tcBorders>
            <w:shd w:val="clear" w:color="auto" w:fill="auto"/>
            <w:noWrap/>
            <w:vAlign w:val="center"/>
            <w:hideMark/>
          </w:tcPr>
          <w:p w14:paraId="13656C2F" w14:textId="77777777" w:rsidR="00DC7146" w:rsidRPr="00DC7146" w:rsidRDefault="00DC7146" w:rsidP="00DC7146">
            <w:pPr>
              <w:jc w:val="center"/>
              <w:rPr>
                <w:rFonts w:eastAsia="Times New Roman" w:cs="Times New Roman"/>
                <w:color w:val="000000"/>
                <w:sz w:val="20"/>
                <w:szCs w:val="20"/>
              </w:rPr>
            </w:pPr>
            <w:r w:rsidRPr="00DC7146">
              <w:rPr>
                <w:rFonts w:eastAsia="Times New Roman" w:cs="Times New Roman"/>
                <w:color w:val="000000"/>
                <w:sz w:val="20"/>
                <w:szCs w:val="20"/>
              </w:rPr>
              <w:t>2</w:t>
            </w:r>
          </w:p>
        </w:tc>
        <w:tc>
          <w:tcPr>
            <w:tcW w:w="840" w:type="dxa"/>
            <w:tcBorders>
              <w:top w:val="single" w:sz="4" w:space="0" w:color="auto"/>
              <w:left w:val="nil"/>
              <w:bottom w:val="single" w:sz="4" w:space="0" w:color="auto"/>
              <w:right w:val="nil"/>
            </w:tcBorders>
            <w:shd w:val="clear" w:color="auto" w:fill="auto"/>
            <w:noWrap/>
            <w:vAlign w:val="center"/>
            <w:hideMark/>
          </w:tcPr>
          <w:p w14:paraId="34F40C9C" w14:textId="77777777" w:rsidR="00DC7146" w:rsidRPr="00DC7146" w:rsidRDefault="00DC7146" w:rsidP="00DC7146">
            <w:pPr>
              <w:jc w:val="center"/>
              <w:rPr>
                <w:rFonts w:eastAsia="Times New Roman" w:cs="Times New Roman"/>
                <w:color w:val="000000"/>
                <w:sz w:val="20"/>
                <w:szCs w:val="20"/>
              </w:rPr>
            </w:pPr>
            <w:r w:rsidRPr="00DC7146">
              <w:rPr>
                <w:rFonts w:eastAsia="Times New Roman" w:cs="Times New Roman"/>
                <w:color w:val="000000"/>
                <w:sz w:val="20"/>
                <w:szCs w:val="20"/>
              </w:rPr>
              <w:t>3</w:t>
            </w:r>
          </w:p>
        </w:tc>
        <w:tc>
          <w:tcPr>
            <w:tcW w:w="840" w:type="dxa"/>
            <w:tcBorders>
              <w:top w:val="single" w:sz="4" w:space="0" w:color="auto"/>
              <w:left w:val="nil"/>
              <w:bottom w:val="single" w:sz="4" w:space="0" w:color="auto"/>
              <w:right w:val="nil"/>
            </w:tcBorders>
            <w:shd w:val="clear" w:color="auto" w:fill="auto"/>
            <w:noWrap/>
            <w:vAlign w:val="center"/>
            <w:hideMark/>
          </w:tcPr>
          <w:p w14:paraId="119485BB" w14:textId="77777777" w:rsidR="00DC7146" w:rsidRPr="00DC7146" w:rsidRDefault="00DC7146" w:rsidP="00DC7146">
            <w:pPr>
              <w:jc w:val="center"/>
              <w:rPr>
                <w:rFonts w:eastAsia="Times New Roman" w:cs="Times New Roman"/>
                <w:color w:val="000000"/>
                <w:sz w:val="20"/>
                <w:szCs w:val="20"/>
              </w:rPr>
            </w:pPr>
            <w:r w:rsidRPr="00DC7146">
              <w:rPr>
                <w:rFonts w:eastAsia="Times New Roman" w:cs="Times New Roman"/>
                <w:color w:val="000000"/>
                <w:sz w:val="20"/>
                <w:szCs w:val="20"/>
              </w:rPr>
              <w:t>4</w:t>
            </w:r>
          </w:p>
        </w:tc>
        <w:tc>
          <w:tcPr>
            <w:tcW w:w="840" w:type="dxa"/>
            <w:tcBorders>
              <w:top w:val="single" w:sz="4" w:space="0" w:color="auto"/>
              <w:left w:val="nil"/>
              <w:bottom w:val="single" w:sz="4" w:space="0" w:color="auto"/>
              <w:right w:val="nil"/>
            </w:tcBorders>
            <w:shd w:val="clear" w:color="auto" w:fill="auto"/>
            <w:noWrap/>
            <w:vAlign w:val="center"/>
            <w:hideMark/>
          </w:tcPr>
          <w:p w14:paraId="09DB0E3C" w14:textId="77777777" w:rsidR="00DC7146" w:rsidRPr="00DC7146" w:rsidRDefault="00DC7146" w:rsidP="00DC7146">
            <w:pPr>
              <w:jc w:val="center"/>
              <w:rPr>
                <w:rFonts w:eastAsia="Times New Roman" w:cs="Times New Roman"/>
                <w:color w:val="000000"/>
                <w:sz w:val="20"/>
                <w:szCs w:val="20"/>
              </w:rPr>
            </w:pPr>
            <w:r w:rsidRPr="00DC7146">
              <w:rPr>
                <w:rFonts w:eastAsia="Times New Roman" w:cs="Times New Roman"/>
                <w:color w:val="000000"/>
                <w:sz w:val="20"/>
                <w:szCs w:val="20"/>
              </w:rPr>
              <w:t>5</w:t>
            </w:r>
          </w:p>
        </w:tc>
        <w:tc>
          <w:tcPr>
            <w:tcW w:w="840" w:type="dxa"/>
            <w:tcBorders>
              <w:top w:val="single" w:sz="4" w:space="0" w:color="auto"/>
              <w:left w:val="nil"/>
              <w:bottom w:val="single" w:sz="4" w:space="0" w:color="auto"/>
              <w:right w:val="nil"/>
            </w:tcBorders>
            <w:shd w:val="clear" w:color="auto" w:fill="auto"/>
            <w:noWrap/>
            <w:vAlign w:val="center"/>
            <w:hideMark/>
          </w:tcPr>
          <w:p w14:paraId="33BDC939" w14:textId="77777777" w:rsidR="00DC7146" w:rsidRPr="00DC7146" w:rsidRDefault="00DC7146" w:rsidP="00DC7146">
            <w:pPr>
              <w:jc w:val="center"/>
              <w:rPr>
                <w:rFonts w:eastAsia="Times New Roman" w:cs="Times New Roman"/>
                <w:color w:val="000000"/>
                <w:sz w:val="20"/>
                <w:szCs w:val="20"/>
              </w:rPr>
            </w:pPr>
            <w:r w:rsidRPr="00DC7146">
              <w:rPr>
                <w:rFonts w:eastAsia="Times New Roman" w:cs="Times New Roman"/>
                <w:color w:val="000000"/>
                <w:sz w:val="20"/>
                <w:szCs w:val="20"/>
              </w:rPr>
              <w:t>6</w:t>
            </w:r>
          </w:p>
        </w:tc>
        <w:tc>
          <w:tcPr>
            <w:tcW w:w="840" w:type="dxa"/>
            <w:tcBorders>
              <w:top w:val="single" w:sz="4" w:space="0" w:color="auto"/>
              <w:left w:val="nil"/>
              <w:bottom w:val="single" w:sz="4" w:space="0" w:color="auto"/>
              <w:right w:val="nil"/>
            </w:tcBorders>
            <w:shd w:val="clear" w:color="auto" w:fill="auto"/>
            <w:noWrap/>
            <w:vAlign w:val="center"/>
            <w:hideMark/>
          </w:tcPr>
          <w:p w14:paraId="12DD56BE" w14:textId="77777777" w:rsidR="00DC7146" w:rsidRPr="00DC7146" w:rsidRDefault="00DC7146" w:rsidP="00DC7146">
            <w:pPr>
              <w:jc w:val="center"/>
              <w:rPr>
                <w:rFonts w:eastAsia="Times New Roman" w:cs="Times New Roman"/>
                <w:color w:val="000000"/>
                <w:sz w:val="20"/>
                <w:szCs w:val="20"/>
              </w:rPr>
            </w:pPr>
            <w:r w:rsidRPr="00DC7146">
              <w:rPr>
                <w:rFonts w:eastAsia="Times New Roman" w:cs="Times New Roman"/>
                <w:color w:val="000000"/>
                <w:sz w:val="20"/>
                <w:szCs w:val="20"/>
              </w:rPr>
              <w:t>7</w:t>
            </w:r>
          </w:p>
        </w:tc>
        <w:tc>
          <w:tcPr>
            <w:tcW w:w="840" w:type="dxa"/>
            <w:tcBorders>
              <w:top w:val="single" w:sz="4" w:space="0" w:color="auto"/>
              <w:left w:val="nil"/>
              <w:bottom w:val="single" w:sz="4" w:space="0" w:color="auto"/>
              <w:right w:val="nil"/>
            </w:tcBorders>
            <w:shd w:val="clear" w:color="auto" w:fill="auto"/>
            <w:noWrap/>
            <w:vAlign w:val="center"/>
            <w:hideMark/>
          </w:tcPr>
          <w:p w14:paraId="505571FE" w14:textId="77777777" w:rsidR="00DC7146" w:rsidRPr="00DC7146" w:rsidRDefault="00DC7146" w:rsidP="00DC7146">
            <w:pPr>
              <w:jc w:val="center"/>
              <w:rPr>
                <w:rFonts w:eastAsia="Times New Roman" w:cs="Times New Roman"/>
                <w:color w:val="000000"/>
                <w:sz w:val="20"/>
                <w:szCs w:val="20"/>
              </w:rPr>
            </w:pPr>
            <w:r w:rsidRPr="00DC7146">
              <w:rPr>
                <w:rFonts w:eastAsia="Times New Roman" w:cs="Times New Roman"/>
                <w:color w:val="000000"/>
                <w:sz w:val="20"/>
                <w:szCs w:val="20"/>
              </w:rPr>
              <w:t>8</w:t>
            </w:r>
          </w:p>
        </w:tc>
      </w:tr>
      <w:tr w:rsidR="00DC7146" w:rsidRPr="00DC7146" w14:paraId="278374B3" w14:textId="77777777" w:rsidTr="00C8452B">
        <w:trPr>
          <w:trHeight w:val="255"/>
        </w:trPr>
        <w:tc>
          <w:tcPr>
            <w:tcW w:w="2080" w:type="dxa"/>
            <w:tcBorders>
              <w:top w:val="single" w:sz="4" w:space="0" w:color="auto"/>
              <w:bottom w:val="nil"/>
            </w:tcBorders>
            <w:shd w:val="clear" w:color="auto" w:fill="auto"/>
            <w:noWrap/>
            <w:vAlign w:val="center"/>
            <w:hideMark/>
          </w:tcPr>
          <w:p w14:paraId="01870872"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2011</w:t>
            </w:r>
          </w:p>
        </w:tc>
        <w:tc>
          <w:tcPr>
            <w:tcW w:w="840" w:type="dxa"/>
            <w:tcBorders>
              <w:top w:val="nil"/>
              <w:left w:val="nil"/>
              <w:bottom w:val="nil"/>
              <w:right w:val="nil"/>
            </w:tcBorders>
            <w:shd w:val="clear" w:color="auto" w:fill="auto"/>
            <w:noWrap/>
            <w:vAlign w:val="bottom"/>
            <w:hideMark/>
          </w:tcPr>
          <w:p w14:paraId="345BA474"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1,676</w:t>
            </w:r>
          </w:p>
        </w:tc>
        <w:tc>
          <w:tcPr>
            <w:tcW w:w="840" w:type="dxa"/>
            <w:tcBorders>
              <w:top w:val="nil"/>
              <w:left w:val="nil"/>
              <w:bottom w:val="nil"/>
              <w:right w:val="nil"/>
            </w:tcBorders>
            <w:shd w:val="clear" w:color="auto" w:fill="auto"/>
            <w:noWrap/>
            <w:vAlign w:val="bottom"/>
            <w:hideMark/>
          </w:tcPr>
          <w:p w14:paraId="3AC0C1F8"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1,684</w:t>
            </w:r>
          </w:p>
        </w:tc>
        <w:tc>
          <w:tcPr>
            <w:tcW w:w="840" w:type="dxa"/>
            <w:tcBorders>
              <w:top w:val="nil"/>
              <w:left w:val="nil"/>
              <w:bottom w:val="nil"/>
              <w:right w:val="nil"/>
            </w:tcBorders>
            <w:shd w:val="clear" w:color="auto" w:fill="auto"/>
            <w:noWrap/>
            <w:vAlign w:val="bottom"/>
            <w:hideMark/>
          </w:tcPr>
          <w:p w14:paraId="0FDE258B"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1,649</w:t>
            </w:r>
          </w:p>
        </w:tc>
        <w:tc>
          <w:tcPr>
            <w:tcW w:w="840" w:type="dxa"/>
            <w:tcBorders>
              <w:top w:val="nil"/>
              <w:left w:val="nil"/>
              <w:bottom w:val="nil"/>
              <w:right w:val="nil"/>
            </w:tcBorders>
            <w:shd w:val="clear" w:color="auto" w:fill="auto"/>
            <w:noWrap/>
            <w:vAlign w:val="bottom"/>
            <w:hideMark/>
          </w:tcPr>
          <w:p w14:paraId="58530A94"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1,653</w:t>
            </w:r>
          </w:p>
        </w:tc>
        <w:tc>
          <w:tcPr>
            <w:tcW w:w="840" w:type="dxa"/>
            <w:tcBorders>
              <w:top w:val="nil"/>
              <w:left w:val="nil"/>
              <w:bottom w:val="nil"/>
              <w:right w:val="nil"/>
            </w:tcBorders>
            <w:shd w:val="clear" w:color="auto" w:fill="auto"/>
            <w:noWrap/>
            <w:vAlign w:val="bottom"/>
            <w:hideMark/>
          </w:tcPr>
          <w:p w14:paraId="04C9BBBE"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1,685</w:t>
            </w:r>
          </w:p>
        </w:tc>
        <w:tc>
          <w:tcPr>
            <w:tcW w:w="840" w:type="dxa"/>
            <w:tcBorders>
              <w:top w:val="nil"/>
              <w:left w:val="nil"/>
              <w:bottom w:val="nil"/>
              <w:right w:val="nil"/>
            </w:tcBorders>
            <w:shd w:val="clear" w:color="auto" w:fill="auto"/>
            <w:noWrap/>
            <w:vAlign w:val="bottom"/>
            <w:hideMark/>
          </w:tcPr>
          <w:p w14:paraId="4A3411AF"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1,680</w:t>
            </w:r>
          </w:p>
        </w:tc>
        <w:tc>
          <w:tcPr>
            <w:tcW w:w="840" w:type="dxa"/>
            <w:tcBorders>
              <w:top w:val="nil"/>
              <w:left w:val="nil"/>
              <w:bottom w:val="nil"/>
              <w:right w:val="nil"/>
            </w:tcBorders>
            <w:shd w:val="clear" w:color="auto" w:fill="auto"/>
            <w:noWrap/>
            <w:vAlign w:val="bottom"/>
            <w:hideMark/>
          </w:tcPr>
          <w:p w14:paraId="4A97401D"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1,660</w:t>
            </w:r>
          </w:p>
        </w:tc>
      </w:tr>
      <w:tr w:rsidR="00DC7146" w:rsidRPr="00DC7146" w14:paraId="3DFB0A90" w14:textId="77777777" w:rsidTr="00C8452B">
        <w:trPr>
          <w:trHeight w:val="255"/>
        </w:trPr>
        <w:tc>
          <w:tcPr>
            <w:tcW w:w="2080" w:type="dxa"/>
            <w:tcBorders>
              <w:top w:val="nil"/>
              <w:bottom w:val="nil"/>
            </w:tcBorders>
            <w:shd w:val="clear" w:color="auto" w:fill="auto"/>
            <w:noWrap/>
            <w:vAlign w:val="center"/>
            <w:hideMark/>
          </w:tcPr>
          <w:p w14:paraId="7920BA89"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2012</w:t>
            </w:r>
          </w:p>
        </w:tc>
        <w:tc>
          <w:tcPr>
            <w:tcW w:w="840" w:type="dxa"/>
            <w:tcBorders>
              <w:top w:val="nil"/>
              <w:left w:val="nil"/>
              <w:bottom w:val="nil"/>
              <w:right w:val="nil"/>
            </w:tcBorders>
            <w:shd w:val="clear" w:color="auto" w:fill="auto"/>
            <w:noWrap/>
            <w:vAlign w:val="bottom"/>
            <w:hideMark/>
          </w:tcPr>
          <w:p w14:paraId="77A10CDB"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1,642</w:t>
            </w:r>
          </w:p>
        </w:tc>
        <w:tc>
          <w:tcPr>
            <w:tcW w:w="840" w:type="dxa"/>
            <w:tcBorders>
              <w:top w:val="nil"/>
              <w:left w:val="nil"/>
              <w:bottom w:val="nil"/>
              <w:right w:val="nil"/>
            </w:tcBorders>
            <w:shd w:val="clear" w:color="auto" w:fill="auto"/>
            <w:noWrap/>
            <w:vAlign w:val="bottom"/>
            <w:hideMark/>
          </w:tcPr>
          <w:p w14:paraId="78772DC2"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1,616</w:t>
            </w:r>
          </w:p>
        </w:tc>
        <w:tc>
          <w:tcPr>
            <w:tcW w:w="840" w:type="dxa"/>
            <w:tcBorders>
              <w:top w:val="nil"/>
              <w:left w:val="nil"/>
              <w:bottom w:val="nil"/>
              <w:right w:val="nil"/>
            </w:tcBorders>
            <w:shd w:val="clear" w:color="auto" w:fill="auto"/>
            <w:noWrap/>
            <w:vAlign w:val="bottom"/>
            <w:hideMark/>
          </w:tcPr>
          <w:p w14:paraId="0F236397"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1,591</w:t>
            </w:r>
          </w:p>
        </w:tc>
        <w:tc>
          <w:tcPr>
            <w:tcW w:w="840" w:type="dxa"/>
            <w:tcBorders>
              <w:top w:val="nil"/>
              <w:left w:val="nil"/>
              <w:bottom w:val="nil"/>
              <w:right w:val="nil"/>
            </w:tcBorders>
            <w:shd w:val="clear" w:color="auto" w:fill="auto"/>
            <w:noWrap/>
            <w:vAlign w:val="bottom"/>
            <w:hideMark/>
          </w:tcPr>
          <w:p w14:paraId="5BB051EC"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1,628</w:t>
            </w:r>
          </w:p>
        </w:tc>
        <w:tc>
          <w:tcPr>
            <w:tcW w:w="840" w:type="dxa"/>
            <w:tcBorders>
              <w:top w:val="nil"/>
              <w:left w:val="nil"/>
              <w:bottom w:val="nil"/>
              <w:right w:val="nil"/>
            </w:tcBorders>
            <w:shd w:val="clear" w:color="auto" w:fill="auto"/>
            <w:noWrap/>
            <w:vAlign w:val="bottom"/>
            <w:hideMark/>
          </w:tcPr>
          <w:p w14:paraId="1643C22C"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1,643</w:t>
            </w:r>
          </w:p>
        </w:tc>
        <w:tc>
          <w:tcPr>
            <w:tcW w:w="840" w:type="dxa"/>
            <w:tcBorders>
              <w:top w:val="nil"/>
              <w:left w:val="nil"/>
              <w:bottom w:val="nil"/>
              <w:right w:val="nil"/>
            </w:tcBorders>
            <w:shd w:val="clear" w:color="auto" w:fill="auto"/>
            <w:noWrap/>
            <w:vAlign w:val="bottom"/>
            <w:hideMark/>
          </w:tcPr>
          <w:p w14:paraId="407CD9FE"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1,638</w:t>
            </w:r>
          </w:p>
        </w:tc>
        <w:tc>
          <w:tcPr>
            <w:tcW w:w="840" w:type="dxa"/>
            <w:tcBorders>
              <w:top w:val="nil"/>
              <w:left w:val="nil"/>
              <w:bottom w:val="nil"/>
              <w:right w:val="nil"/>
            </w:tcBorders>
            <w:shd w:val="clear" w:color="auto" w:fill="auto"/>
            <w:noWrap/>
            <w:vAlign w:val="bottom"/>
            <w:hideMark/>
          </w:tcPr>
          <w:p w14:paraId="10C3AE1B"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1,611</w:t>
            </w:r>
          </w:p>
        </w:tc>
      </w:tr>
      <w:tr w:rsidR="00DC7146" w:rsidRPr="00DC7146" w14:paraId="7D054869" w14:textId="77777777" w:rsidTr="00C8452B">
        <w:trPr>
          <w:trHeight w:val="255"/>
        </w:trPr>
        <w:tc>
          <w:tcPr>
            <w:tcW w:w="2080" w:type="dxa"/>
            <w:tcBorders>
              <w:top w:val="nil"/>
              <w:bottom w:val="nil"/>
            </w:tcBorders>
            <w:shd w:val="clear" w:color="auto" w:fill="auto"/>
            <w:noWrap/>
            <w:vAlign w:val="center"/>
            <w:hideMark/>
          </w:tcPr>
          <w:p w14:paraId="62D11E76"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2013</w:t>
            </w:r>
          </w:p>
        </w:tc>
        <w:tc>
          <w:tcPr>
            <w:tcW w:w="840" w:type="dxa"/>
            <w:tcBorders>
              <w:top w:val="nil"/>
              <w:left w:val="nil"/>
              <w:bottom w:val="nil"/>
              <w:right w:val="nil"/>
            </w:tcBorders>
            <w:shd w:val="clear" w:color="auto" w:fill="auto"/>
            <w:noWrap/>
            <w:vAlign w:val="bottom"/>
            <w:hideMark/>
          </w:tcPr>
          <w:p w14:paraId="0B8A8124"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1,636</w:t>
            </w:r>
          </w:p>
        </w:tc>
        <w:tc>
          <w:tcPr>
            <w:tcW w:w="840" w:type="dxa"/>
            <w:tcBorders>
              <w:top w:val="nil"/>
              <w:left w:val="nil"/>
              <w:bottom w:val="nil"/>
              <w:right w:val="nil"/>
            </w:tcBorders>
            <w:shd w:val="clear" w:color="auto" w:fill="auto"/>
            <w:noWrap/>
            <w:vAlign w:val="bottom"/>
            <w:hideMark/>
          </w:tcPr>
          <w:p w14:paraId="5B89079C"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1,619</w:t>
            </w:r>
          </w:p>
        </w:tc>
        <w:tc>
          <w:tcPr>
            <w:tcW w:w="840" w:type="dxa"/>
            <w:tcBorders>
              <w:top w:val="nil"/>
              <w:left w:val="nil"/>
              <w:bottom w:val="nil"/>
              <w:right w:val="nil"/>
            </w:tcBorders>
            <w:shd w:val="clear" w:color="auto" w:fill="auto"/>
            <w:noWrap/>
            <w:vAlign w:val="bottom"/>
            <w:hideMark/>
          </w:tcPr>
          <w:p w14:paraId="32F5DB17"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1,649</w:t>
            </w:r>
          </w:p>
        </w:tc>
        <w:tc>
          <w:tcPr>
            <w:tcW w:w="840" w:type="dxa"/>
            <w:tcBorders>
              <w:top w:val="nil"/>
              <w:left w:val="nil"/>
              <w:bottom w:val="nil"/>
              <w:right w:val="nil"/>
            </w:tcBorders>
            <w:shd w:val="clear" w:color="auto" w:fill="auto"/>
            <w:noWrap/>
            <w:vAlign w:val="bottom"/>
            <w:hideMark/>
          </w:tcPr>
          <w:p w14:paraId="1CE2DF05"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1,665</w:t>
            </w:r>
          </w:p>
        </w:tc>
        <w:tc>
          <w:tcPr>
            <w:tcW w:w="840" w:type="dxa"/>
            <w:tcBorders>
              <w:top w:val="nil"/>
              <w:left w:val="nil"/>
              <w:bottom w:val="nil"/>
              <w:right w:val="nil"/>
            </w:tcBorders>
            <w:shd w:val="clear" w:color="auto" w:fill="auto"/>
            <w:noWrap/>
            <w:vAlign w:val="bottom"/>
            <w:hideMark/>
          </w:tcPr>
          <w:p w14:paraId="4692783D"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1,678</w:t>
            </w:r>
          </w:p>
        </w:tc>
        <w:tc>
          <w:tcPr>
            <w:tcW w:w="840" w:type="dxa"/>
            <w:tcBorders>
              <w:top w:val="nil"/>
              <w:left w:val="nil"/>
              <w:bottom w:val="nil"/>
              <w:right w:val="nil"/>
            </w:tcBorders>
            <w:shd w:val="clear" w:color="auto" w:fill="auto"/>
            <w:noWrap/>
            <w:vAlign w:val="bottom"/>
            <w:hideMark/>
          </w:tcPr>
          <w:p w14:paraId="7C1BA98D"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1,670</w:t>
            </w:r>
          </w:p>
        </w:tc>
        <w:tc>
          <w:tcPr>
            <w:tcW w:w="840" w:type="dxa"/>
            <w:tcBorders>
              <w:top w:val="nil"/>
              <w:left w:val="nil"/>
              <w:bottom w:val="nil"/>
              <w:right w:val="nil"/>
            </w:tcBorders>
            <w:shd w:val="clear" w:color="auto" w:fill="auto"/>
            <w:noWrap/>
            <w:vAlign w:val="bottom"/>
            <w:hideMark/>
          </w:tcPr>
          <w:p w14:paraId="4C448DEB"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1,572</w:t>
            </w:r>
          </w:p>
        </w:tc>
      </w:tr>
      <w:tr w:rsidR="00DC7146" w:rsidRPr="00DC7146" w14:paraId="455751BA" w14:textId="77777777" w:rsidTr="00C8452B">
        <w:trPr>
          <w:trHeight w:val="255"/>
        </w:trPr>
        <w:tc>
          <w:tcPr>
            <w:tcW w:w="2080" w:type="dxa"/>
            <w:tcBorders>
              <w:top w:val="nil"/>
              <w:bottom w:val="nil"/>
            </w:tcBorders>
            <w:shd w:val="clear" w:color="auto" w:fill="auto"/>
            <w:noWrap/>
            <w:vAlign w:val="center"/>
            <w:hideMark/>
          </w:tcPr>
          <w:p w14:paraId="4EB7CE64"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2014</w:t>
            </w:r>
          </w:p>
        </w:tc>
        <w:tc>
          <w:tcPr>
            <w:tcW w:w="840" w:type="dxa"/>
            <w:tcBorders>
              <w:top w:val="nil"/>
              <w:left w:val="nil"/>
              <w:bottom w:val="nil"/>
              <w:right w:val="nil"/>
            </w:tcBorders>
            <w:shd w:val="clear" w:color="auto" w:fill="auto"/>
            <w:noWrap/>
            <w:vAlign w:val="bottom"/>
            <w:hideMark/>
          </w:tcPr>
          <w:p w14:paraId="7C75C20B"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1,597</w:t>
            </w:r>
          </w:p>
        </w:tc>
        <w:tc>
          <w:tcPr>
            <w:tcW w:w="840" w:type="dxa"/>
            <w:tcBorders>
              <w:top w:val="nil"/>
              <w:left w:val="nil"/>
              <w:bottom w:val="nil"/>
              <w:right w:val="nil"/>
            </w:tcBorders>
            <w:shd w:val="clear" w:color="auto" w:fill="auto"/>
            <w:noWrap/>
            <w:vAlign w:val="bottom"/>
            <w:hideMark/>
          </w:tcPr>
          <w:p w14:paraId="4CA21988"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1,636</w:t>
            </w:r>
          </w:p>
        </w:tc>
        <w:tc>
          <w:tcPr>
            <w:tcW w:w="840" w:type="dxa"/>
            <w:tcBorders>
              <w:top w:val="nil"/>
              <w:left w:val="nil"/>
              <w:bottom w:val="nil"/>
              <w:right w:val="nil"/>
            </w:tcBorders>
            <w:shd w:val="clear" w:color="auto" w:fill="auto"/>
            <w:noWrap/>
            <w:vAlign w:val="bottom"/>
            <w:hideMark/>
          </w:tcPr>
          <w:p w14:paraId="01BA41DD"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1,633</w:t>
            </w:r>
          </w:p>
        </w:tc>
        <w:tc>
          <w:tcPr>
            <w:tcW w:w="840" w:type="dxa"/>
            <w:tcBorders>
              <w:top w:val="nil"/>
              <w:left w:val="nil"/>
              <w:bottom w:val="nil"/>
              <w:right w:val="nil"/>
            </w:tcBorders>
            <w:shd w:val="clear" w:color="auto" w:fill="auto"/>
            <w:noWrap/>
            <w:vAlign w:val="bottom"/>
            <w:hideMark/>
          </w:tcPr>
          <w:p w14:paraId="617D6B63"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1,629</w:t>
            </w:r>
          </w:p>
        </w:tc>
        <w:tc>
          <w:tcPr>
            <w:tcW w:w="840" w:type="dxa"/>
            <w:tcBorders>
              <w:top w:val="nil"/>
              <w:left w:val="nil"/>
              <w:bottom w:val="nil"/>
              <w:right w:val="nil"/>
            </w:tcBorders>
            <w:shd w:val="clear" w:color="auto" w:fill="auto"/>
            <w:noWrap/>
            <w:vAlign w:val="bottom"/>
            <w:hideMark/>
          </w:tcPr>
          <w:p w14:paraId="238DA656"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1,635</w:t>
            </w:r>
          </w:p>
        </w:tc>
        <w:tc>
          <w:tcPr>
            <w:tcW w:w="840" w:type="dxa"/>
            <w:tcBorders>
              <w:top w:val="nil"/>
              <w:left w:val="nil"/>
              <w:bottom w:val="nil"/>
              <w:right w:val="nil"/>
            </w:tcBorders>
            <w:shd w:val="clear" w:color="auto" w:fill="auto"/>
            <w:noWrap/>
            <w:vAlign w:val="bottom"/>
            <w:hideMark/>
          </w:tcPr>
          <w:p w14:paraId="0C32F4E8"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1,513</w:t>
            </w:r>
          </w:p>
        </w:tc>
        <w:tc>
          <w:tcPr>
            <w:tcW w:w="840" w:type="dxa"/>
            <w:tcBorders>
              <w:top w:val="nil"/>
              <w:left w:val="nil"/>
              <w:bottom w:val="nil"/>
              <w:right w:val="nil"/>
            </w:tcBorders>
            <w:shd w:val="clear" w:color="auto" w:fill="auto"/>
            <w:noWrap/>
            <w:vAlign w:val="bottom"/>
            <w:hideMark/>
          </w:tcPr>
          <w:p w14:paraId="19EA1C95" w14:textId="77777777" w:rsidR="00DC7146" w:rsidRPr="00DC7146" w:rsidRDefault="00DC7146" w:rsidP="00DC7146">
            <w:pPr>
              <w:jc w:val="right"/>
              <w:rPr>
                <w:rFonts w:eastAsia="Times New Roman" w:cs="Times New Roman"/>
                <w:color w:val="000000"/>
                <w:sz w:val="20"/>
                <w:szCs w:val="20"/>
              </w:rPr>
            </w:pPr>
          </w:p>
        </w:tc>
      </w:tr>
      <w:tr w:rsidR="00DC7146" w:rsidRPr="00DC7146" w14:paraId="0E66A68D" w14:textId="77777777" w:rsidTr="00C8452B">
        <w:trPr>
          <w:trHeight w:val="255"/>
        </w:trPr>
        <w:tc>
          <w:tcPr>
            <w:tcW w:w="2080" w:type="dxa"/>
            <w:tcBorders>
              <w:top w:val="nil"/>
              <w:bottom w:val="nil"/>
            </w:tcBorders>
            <w:shd w:val="clear" w:color="auto" w:fill="auto"/>
            <w:noWrap/>
            <w:vAlign w:val="center"/>
            <w:hideMark/>
          </w:tcPr>
          <w:p w14:paraId="41E71EFE"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2015</w:t>
            </w:r>
          </w:p>
        </w:tc>
        <w:tc>
          <w:tcPr>
            <w:tcW w:w="840" w:type="dxa"/>
            <w:tcBorders>
              <w:top w:val="nil"/>
              <w:left w:val="nil"/>
              <w:bottom w:val="nil"/>
              <w:right w:val="nil"/>
            </w:tcBorders>
            <w:shd w:val="clear" w:color="auto" w:fill="auto"/>
            <w:noWrap/>
            <w:vAlign w:val="bottom"/>
            <w:hideMark/>
          </w:tcPr>
          <w:p w14:paraId="5A9CC89E"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1,492</w:t>
            </w:r>
          </w:p>
        </w:tc>
        <w:tc>
          <w:tcPr>
            <w:tcW w:w="840" w:type="dxa"/>
            <w:tcBorders>
              <w:top w:val="nil"/>
              <w:left w:val="nil"/>
              <w:bottom w:val="nil"/>
              <w:right w:val="nil"/>
            </w:tcBorders>
            <w:shd w:val="clear" w:color="auto" w:fill="auto"/>
            <w:noWrap/>
            <w:vAlign w:val="bottom"/>
            <w:hideMark/>
          </w:tcPr>
          <w:p w14:paraId="4BC94724"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1,509</w:t>
            </w:r>
          </w:p>
        </w:tc>
        <w:tc>
          <w:tcPr>
            <w:tcW w:w="840" w:type="dxa"/>
            <w:tcBorders>
              <w:top w:val="nil"/>
              <w:left w:val="nil"/>
              <w:bottom w:val="nil"/>
              <w:right w:val="nil"/>
            </w:tcBorders>
            <w:shd w:val="clear" w:color="auto" w:fill="auto"/>
            <w:noWrap/>
            <w:vAlign w:val="bottom"/>
            <w:hideMark/>
          </w:tcPr>
          <w:p w14:paraId="03BAFF95"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1,521</w:t>
            </w:r>
          </w:p>
        </w:tc>
        <w:tc>
          <w:tcPr>
            <w:tcW w:w="840" w:type="dxa"/>
            <w:tcBorders>
              <w:top w:val="nil"/>
              <w:left w:val="nil"/>
              <w:bottom w:val="nil"/>
              <w:right w:val="nil"/>
            </w:tcBorders>
            <w:shd w:val="clear" w:color="auto" w:fill="auto"/>
            <w:noWrap/>
            <w:vAlign w:val="bottom"/>
            <w:hideMark/>
          </w:tcPr>
          <w:p w14:paraId="37EB9FE4"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1,527</w:t>
            </w:r>
          </w:p>
        </w:tc>
        <w:tc>
          <w:tcPr>
            <w:tcW w:w="840" w:type="dxa"/>
            <w:tcBorders>
              <w:top w:val="nil"/>
              <w:left w:val="nil"/>
              <w:bottom w:val="nil"/>
              <w:right w:val="nil"/>
            </w:tcBorders>
            <w:shd w:val="clear" w:color="auto" w:fill="auto"/>
            <w:noWrap/>
            <w:vAlign w:val="bottom"/>
            <w:hideMark/>
          </w:tcPr>
          <w:p w14:paraId="6561C079"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1,432</w:t>
            </w:r>
          </w:p>
        </w:tc>
        <w:tc>
          <w:tcPr>
            <w:tcW w:w="840" w:type="dxa"/>
            <w:tcBorders>
              <w:top w:val="nil"/>
              <w:left w:val="nil"/>
              <w:bottom w:val="nil"/>
              <w:right w:val="nil"/>
            </w:tcBorders>
            <w:shd w:val="clear" w:color="auto" w:fill="auto"/>
            <w:noWrap/>
            <w:vAlign w:val="bottom"/>
            <w:hideMark/>
          </w:tcPr>
          <w:p w14:paraId="7221C935" w14:textId="77777777" w:rsidR="00DC7146" w:rsidRPr="00DC7146" w:rsidRDefault="00DC7146" w:rsidP="00DC7146">
            <w:pPr>
              <w:jc w:val="right"/>
              <w:rPr>
                <w:rFonts w:eastAsia="Times New Roman" w:cs="Times New Roman"/>
                <w:color w:val="000000"/>
                <w:sz w:val="20"/>
                <w:szCs w:val="20"/>
              </w:rPr>
            </w:pPr>
          </w:p>
        </w:tc>
        <w:tc>
          <w:tcPr>
            <w:tcW w:w="840" w:type="dxa"/>
            <w:tcBorders>
              <w:top w:val="nil"/>
              <w:left w:val="nil"/>
              <w:bottom w:val="nil"/>
              <w:right w:val="nil"/>
            </w:tcBorders>
            <w:shd w:val="clear" w:color="auto" w:fill="auto"/>
            <w:noWrap/>
            <w:vAlign w:val="bottom"/>
            <w:hideMark/>
          </w:tcPr>
          <w:p w14:paraId="1530DBA3" w14:textId="77777777" w:rsidR="00DC7146" w:rsidRPr="00DC7146" w:rsidRDefault="00DC7146" w:rsidP="00DC7146">
            <w:pPr>
              <w:rPr>
                <w:rFonts w:eastAsia="Times New Roman" w:cs="Times New Roman"/>
                <w:sz w:val="20"/>
                <w:szCs w:val="20"/>
              </w:rPr>
            </w:pPr>
          </w:p>
        </w:tc>
      </w:tr>
      <w:tr w:rsidR="00DC7146" w:rsidRPr="00DC7146" w14:paraId="57DA5436" w14:textId="77777777" w:rsidTr="00C8452B">
        <w:trPr>
          <w:trHeight w:val="255"/>
        </w:trPr>
        <w:tc>
          <w:tcPr>
            <w:tcW w:w="2080" w:type="dxa"/>
            <w:tcBorders>
              <w:top w:val="nil"/>
              <w:bottom w:val="nil"/>
            </w:tcBorders>
            <w:shd w:val="clear" w:color="auto" w:fill="auto"/>
            <w:noWrap/>
            <w:vAlign w:val="center"/>
            <w:hideMark/>
          </w:tcPr>
          <w:p w14:paraId="13103AC1"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2016</w:t>
            </w:r>
          </w:p>
        </w:tc>
        <w:tc>
          <w:tcPr>
            <w:tcW w:w="840" w:type="dxa"/>
            <w:tcBorders>
              <w:top w:val="nil"/>
              <w:left w:val="nil"/>
              <w:bottom w:val="nil"/>
              <w:right w:val="nil"/>
            </w:tcBorders>
            <w:shd w:val="clear" w:color="auto" w:fill="auto"/>
            <w:noWrap/>
            <w:vAlign w:val="bottom"/>
            <w:hideMark/>
          </w:tcPr>
          <w:p w14:paraId="70AAB52F"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1,600</w:t>
            </w:r>
          </w:p>
        </w:tc>
        <w:tc>
          <w:tcPr>
            <w:tcW w:w="840" w:type="dxa"/>
            <w:tcBorders>
              <w:top w:val="nil"/>
              <w:left w:val="nil"/>
              <w:bottom w:val="nil"/>
              <w:right w:val="nil"/>
            </w:tcBorders>
            <w:shd w:val="clear" w:color="auto" w:fill="auto"/>
            <w:noWrap/>
            <w:vAlign w:val="bottom"/>
            <w:hideMark/>
          </w:tcPr>
          <w:p w14:paraId="5FF5B951"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1,627</w:t>
            </w:r>
          </w:p>
        </w:tc>
        <w:tc>
          <w:tcPr>
            <w:tcW w:w="840" w:type="dxa"/>
            <w:tcBorders>
              <w:top w:val="nil"/>
              <w:left w:val="nil"/>
              <w:bottom w:val="nil"/>
              <w:right w:val="nil"/>
            </w:tcBorders>
            <w:shd w:val="clear" w:color="auto" w:fill="auto"/>
            <w:noWrap/>
            <w:vAlign w:val="bottom"/>
            <w:hideMark/>
          </w:tcPr>
          <w:p w14:paraId="70D35255"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1,605</w:t>
            </w:r>
          </w:p>
        </w:tc>
        <w:tc>
          <w:tcPr>
            <w:tcW w:w="840" w:type="dxa"/>
            <w:tcBorders>
              <w:top w:val="nil"/>
              <w:left w:val="nil"/>
              <w:bottom w:val="nil"/>
              <w:right w:val="nil"/>
            </w:tcBorders>
            <w:shd w:val="clear" w:color="auto" w:fill="auto"/>
            <w:noWrap/>
            <w:vAlign w:val="bottom"/>
            <w:hideMark/>
          </w:tcPr>
          <w:p w14:paraId="760A7505"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1,064</w:t>
            </w:r>
          </w:p>
        </w:tc>
        <w:tc>
          <w:tcPr>
            <w:tcW w:w="840" w:type="dxa"/>
            <w:tcBorders>
              <w:top w:val="nil"/>
              <w:left w:val="nil"/>
              <w:bottom w:val="nil"/>
              <w:right w:val="nil"/>
            </w:tcBorders>
            <w:shd w:val="clear" w:color="auto" w:fill="auto"/>
            <w:noWrap/>
            <w:vAlign w:val="bottom"/>
            <w:hideMark/>
          </w:tcPr>
          <w:p w14:paraId="0A38419F" w14:textId="77777777" w:rsidR="00DC7146" w:rsidRPr="00DC7146" w:rsidRDefault="00DC7146" w:rsidP="00DC7146">
            <w:pPr>
              <w:jc w:val="right"/>
              <w:rPr>
                <w:rFonts w:eastAsia="Times New Roman" w:cs="Times New Roman"/>
                <w:color w:val="000000"/>
                <w:sz w:val="20"/>
                <w:szCs w:val="20"/>
              </w:rPr>
            </w:pPr>
          </w:p>
        </w:tc>
        <w:tc>
          <w:tcPr>
            <w:tcW w:w="840" w:type="dxa"/>
            <w:tcBorders>
              <w:top w:val="nil"/>
              <w:left w:val="nil"/>
              <w:bottom w:val="nil"/>
              <w:right w:val="nil"/>
            </w:tcBorders>
            <w:shd w:val="clear" w:color="auto" w:fill="auto"/>
            <w:noWrap/>
            <w:vAlign w:val="bottom"/>
            <w:hideMark/>
          </w:tcPr>
          <w:p w14:paraId="2B3A2D88" w14:textId="77777777" w:rsidR="00DC7146" w:rsidRPr="00DC7146" w:rsidRDefault="00DC7146" w:rsidP="00DC7146">
            <w:pPr>
              <w:rPr>
                <w:rFonts w:eastAsia="Times New Roman" w:cs="Times New Roman"/>
                <w:sz w:val="20"/>
                <w:szCs w:val="20"/>
              </w:rPr>
            </w:pPr>
          </w:p>
        </w:tc>
        <w:tc>
          <w:tcPr>
            <w:tcW w:w="840" w:type="dxa"/>
            <w:tcBorders>
              <w:top w:val="nil"/>
              <w:left w:val="nil"/>
              <w:bottom w:val="nil"/>
              <w:right w:val="nil"/>
            </w:tcBorders>
            <w:shd w:val="clear" w:color="auto" w:fill="auto"/>
            <w:noWrap/>
            <w:vAlign w:val="bottom"/>
            <w:hideMark/>
          </w:tcPr>
          <w:p w14:paraId="71F179CB" w14:textId="77777777" w:rsidR="00DC7146" w:rsidRPr="00DC7146" w:rsidRDefault="00DC7146" w:rsidP="00DC7146">
            <w:pPr>
              <w:rPr>
                <w:rFonts w:eastAsia="Times New Roman" w:cs="Times New Roman"/>
                <w:sz w:val="20"/>
                <w:szCs w:val="20"/>
              </w:rPr>
            </w:pPr>
          </w:p>
        </w:tc>
      </w:tr>
      <w:tr w:rsidR="00DC7146" w:rsidRPr="00DC7146" w14:paraId="01681076" w14:textId="77777777" w:rsidTr="00C8452B">
        <w:trPr>
          <w:trHeight w:val="255"/>
        </w:trPr>
        <w:tc>
          <w:tcPr>
            <w:tcW w:w="2080" w:type="dxa"/>
            <w:tcBorders>
              <w:top w:val="nil"/>
            </w:tcBorders>
            <w:shd w:val="clear" w:color="auto" w:fill="auto"/>
            <w:noWrap/>
            <w:vAlign w:val="center"/>
            <w:hideMark/>
          </w:tcPr>
          <w:p w14:paraId="6DDD7202"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2017</w:t>
            </w:r>
          </w:p>
        </w:tc>
        <w:tc>
          <w:tcPr>
            <w:tcW w:w="840" w:type="dxa"/>
            <w:tcBorders>
              <w:top w:val="nil"/>
              <w:left w:val="nil"/>
              <w:bottom w:val="nil"/>
              <w:right w:val="nil"/>
            </w:tcBorders>
            <w:shd w:val="clear" w:color="auto" w:fill="auto"/>
            <w:noWrap/>
            <w:vAlign w:val="bottom"/>
            <w:hideMark/>
          </w:tcPr>
          <w:p w14:paraId="636BA11F"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1,434</w:t>
            </w:r>
          </w:p>
        </w:tc>
        <w:tc>
          <w:tcPr>
            <w:tcW w:w="840" w:type="dxa"/>
            <w:tcBorders>
              <w:top w:val="nil"/>
              <w:left w:val="nil"/>
              <w:bottom w:val="nil"/>
              <w:right w:val="nil"/>
            </w:tcBorders>
            <w:shd w:val="clear" w:color="auto" w:fill="auto"/>
            <w:noWrap/>
            <w:vAlign w:val="bottom"/>
            <w:hideMark/>
          </w:tcPr>
          <w:p w14:paraId="33111FC5"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1,416</w:t>
            </w:r>
          </w:p>
        </w:tc>
        <w:tc>
          <w:tcPr>
            <w:tcW w:w="840" w:type="dxa"/>
            <w:tcBorders>
              <w:top w:val="nil"/>
              <w:left w:val="nil"/>
              <w:bottom w:val="nil"/>
              <w:right w:val="nil"/>
            </w:tcBorders>
            <w:shd w:val="clear" w:color="auto" w:fill="auto"/>
            <w:noWrap/>
            <w:vAlign w:val="bottom"/>
            <w:hideMark/>
          </w:tcPr>
          <w:p w14:paraId="32FC858F"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1,008</w:t>
            </w:r>
          </w:p>
        </w:tc>
        <w:tc>
          <w:tcPr>
            <w:tcW w:w="840" w:type="dxa"/>
            <w:tcBorders>
              <w:top w:val="nil"/>
              <w:left w:val="nil"/>
              <w:bottom w:val="nil"/>
              <w:right w:val="nil"/>
            </w:tcBorders>
            <w:shd w:val="clear" w:color="auto" w:fill="auto"/>
            <w:noWrap/>
            <w:vAlign w:val="bottom"/>
            <w:hideMark/>
          </w:tcPr>
          <w:p w14:paraId="1C9C933F" w14:textId="77777777" w:rsidR="00DC7146" w:rsidRPr="00DC7146" w:rsidRDefault="00DC7146" w:rsidP="00DC7146">
            <w:pPr>
              <w:jc w:val="right"/>
              <w:rPr>
                <w:rFonts w:eastAsia="Times New Roman" w:cs="Times New Roman"/>
                <w:color w:val="000000"/>
                <w:sz w:val="20"/>
                <w:szCs w:val="20"/>
              </w:rPr>
            </w:pPr>
          </w:p>
        </w:tc>
        <w:tc>
          <w:tcPr>
            <w:tcW w:w="840" w:type="dxa"/>
            <w:tcBorders>
              <w:top w:val="nil"/>
              <w:left w:val="nil"/>
              <w:bottom w:val="nil"/>
              <w:right w:val="nil"/>
            </w:tcBorders>
            <w:shd w:val="clear" w:color="auto" w:fill="auto"/>
            <w:noWrap/>
            <w:vAlign w:val="bottom"/>
            <w:hideMark/>
          </w:tcPr>
          <w:p w14:paraId="3DC998A0" w14:textId="77777777" w:rsidR="00DC7146" w:rsidRPr="00DC7146" w:rsidRDefault="00DC7146" w:rsidP="00DC7146">
            <w:pPr>
              <w:rPr>
                <w:rFonts w:eastAsia="Times New Roman" w:cs="Times New Roman"/>
                <w:sz w:val="20"/>
                <w:szCs w:val="20"/>
              </w:rPr>
            </w:pPr>
          </w:p>
        </w:tc>
        <w:tc>
          <w:tcPr>
            <w:tcW w:w="840" w:type="dxa"/>
            <w:tcBorders>
              <w:top w:val="nil"/>
              <w:left w:val="nil"/>
              <w:bottom w:val="nil"/>
              <w:right w:val="nil"/>
            </w:tcBorders>
            <w:shd w:val="clear" w:color="auto" w:fill="auto"/>
            <w:noWrap/>
            <w:vAlign w:val="bottom"/>
            <w:hideMark/>
          </w:tcPr>
          <w:p w14:paraId="79F10990" w14:textId="77777777" w:rsidR="00DC7146" w:rsidRPr="00DC7146" w:rsidRDefault="00DC7146" w:rsidP="00DC7146">
            <w:pPr>
              <w:rPr>
                <w:rFonts w:eastAsia="Times New Roman" w:cs="Times New Roman"/>
                <w:sz w:val="20"/>
                <w:szCs w:val="20"/>
              </w:rPr>
            </w:pPr>
          </w:p>
        </w:tc>
        <w:tc>
          <w:tcPr>
            <w:tcW w:w="840" w:type="dxa"/>
            <w:tcBorders>
              <w:top w:val="nil"/>
              <w:left w:val="nil"/>
              <w:bottom w:val="nil"/>
              <w:right w:val="nil"/>
            </w:tcBorders>
            <w:shd w:val="clear" w:color="auto" w:fill="auto"/>
            <w:noWrap/>
            <w:vAlign w:val="bottom"/>
            <w:hideMark/>
          </w:tcPr>
          <w:p w14:paraId="2F08D88B" w14:textId="77777777" w:rsidR="00DC7146" w:rsidRPr="00DC7146" w:rsidRDefault="00DC7146" w:rsidP="00DC7146">
            <w:pPr>
              <w:rPr>
                <w:rFonts w:eastAsia="Times New Roman" w:cs="Times New Roman"/>
                <w:sz w:val="20"/>
                <w:szCs w:val="20"/>
              </w:rPr>
            </w:pPr>
          </w:p>
        </w:tc>
      </w:tr>
      <w:tr w:rsidR="00DC7146" w:rsidRPr="00DC7146" w14:paraId="02F7067F" w14:textId="77777777" w:rsidTr="00C8452B">
        <w:trPr>
          <w:trHeight w:val="255"/>
        </w:trPr>
        <w:tc>
          <w:tcPr>
            <w:tcW w:w="2080" w:type="dxa"/>
            <w:tcBorders>
              <w:top w:val="nil"/>
              <w:bottom w:val="single" w:sz="4" w:space="0" w:color="auto"/>
            </w:tcBorders>
            <w:shd w:val="clear" w:color="auto" w:fill="auto"/>
            <w:noWrap/>
            <w:vAlign w:val="center"/>
            <w:hideMark/>
          </w:tcPr>
          <w:p w14:paraId="104C28AE"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2018</w:t>
            </w:r>
          </w:p>
        </w:tc>
        <w:tc>
          <w:tcPr>
            <w:tcW w:w="840" w:type="dxa"/>
            <w:tcBorders>
              <w:top w:val="nil"/>
              <w:left w:val="nil"/>
              <w:bottom w:val="single" w:sz="4" w:space="0" w:color="auto"/>
              <w:right w:val="nil"/>
            </w:tcBorders>
            <w:shd w:val="clear" w:color="auto" w:fill="auto"/>
            <w:noWrap/>
            <w:vAlign w:val="bottom"/>
            <w:hideMark/>
          </w:tcPr>
          <w:p w14:paraId="54C15C53"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1,515</w:t>
            </w:r>
          </w:p>
        </w:tc>
        <w:tc>
          <w:tcPr>
            <w:tcW w:w="840" w:type="dxa"/>
            <w:tcBorders>
              <w:top w:val="nil"/>
              <w:left w:val="nil"/>
              <w:bottom w:val="single" w:sz="4" w:space="0" w:color="auto"/>
              <w:right w:val="nil"/>
            </w:tcBorders>
            <w:shd w:val="clear" w:color="auto" w:fill="auto"/>
            <w:noWrap/>
            <w:vAlign w:val="bottom"/>
            <w:hideMark/>
          </w:tcPr>
          <w:p w14:paraId="18FFBB94" w14:textId="77777777" w:rsidR="00DC7146" w:rsidRPr="00DC7146" w:rsidRDefault="00DC7146" w:rsidP="00DC7146">
            <w:pPr>
              <w:jc w:val="right"/>
              <w:rPr>
                <w:rFonts w:eastAsia="Times New Roman" w:cs="Times New Roman"/>
                <w:color w:val="000000"/>
                <w:sz w:val="20"/>
                <w:szCs w:val="20"/>
              </w:rPr>
            </w:pPr>
            <w:r w:rsidRPr="00DC7146">
              <w:rPr>
                <w:rFonts w:eastAsia="Times New Roman" w:cs="Times New Roman"/>
                <w:color w:val="000000"/>
                <w:sz w:val="20"/>
                <w:szCs w:val="20"/>
              </w:rPr>
              <w:t>1,047</w:t>
            </w:r>
          </w:p>
        </w:tc>
        <w:tc>
          <w:tcPr>
            <w:tcW w:w="840" w:type="dxa"/>
            <w:tcBorders>
              <w:top w:val="nil"/>
              <w:left w:val="nil"/>
              <w:bottom w:val="single" w:sz="4" w:space="0" w:color="auto"/>
              <w:right w:val="nil"/>
            </w:tcBorders>
            <w:shd w:val="clear" w:color="auto" w:fill="auto"/>
            <w:noWrap/>
            <w:vAlign w:val="bottom"/>
            <w:hideMark/>
          </w:tcPr>
          <w:p w14:paraId="25CBC946"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 </w:t>
            </w:r>
          </w:p>
        </w:tc>
        <w:tc>
          <w:tcPr>
            <w:tcW w:w="840" w:type="dxa"/>
            <w:tcBorders>
              <w:top w:val="nil"/>
              <w:left w:val="nil"/>
              <w:bottom w:val="single" w:sz="4" w:space="0" w:color="auto"/>
              <w:right w:val="nil"/>
            </w:tcBorders>
            <w:shd w:val="clear" w:color="auto" w:fill="auto"/>
            <w:noWrap/>
            <w:vAlign w:val="bottom"/>
            <w:hideMark/>
          </w:tcPr>
          <w:p w14:paraId="15F5583A"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 </w:t>
            </w:r>
          </w:p>
        </w:tc>
        <w:tc>
          <w:tcPr>
            <w:tcW w:w="840" w:type="dxa"/>
            <w:tcBorders>
              <w:top w:val="nil"/>
              <w:left w:val="nil"/>
              <w:bottom w:val="single" w:sz="4" w:space="0" w:color="auto"/>
              <w:right w:val="nil"/>
            </w:tcBorders>
            <w:shd w:val="clear" w:color="auto" w:fill="auto"/>
            <w:noWrap/>
            <w:vAlign w:val="bottom"/>
            <w:hideMark/>
          </w:tcPr>
          <w:p w14:paraId="00465BBA"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 </w:t>
            </w:r>
          </w:p>
        </w:tc>
        <w:tc>
          <w:tcPr>
            <w:tcW w:w="840" w:type="dxa"/>
            <w:tcBorders>
              <w:top w:val="nil"/>
              <w:left w:val="nil"/>
              <w:bottom w:val="single" w:sz="4" w:space="0" w:color="auto"/>
              <w:right w:val="nil"/>
            </w:tcBorders>
            <w:shd w:val="clear" w:color="auto" w:fill="auto"/>
            <w:noWrap/>
            <w:vAlign w:val="bottom"/>
            <w:hideMark/>
          </w:tcPr>
          <w:p w14:paraId="263999F5"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 </w:t>
            </w:r>
          </w:p>
        </w:tc>
        <w:tc>
          <w:tcPr>
            <w:tcW w:w="840" w:type="dxa"/>
            <w:tcBorders>
              <w:top w:val="nil"/>
              <w:left w:val="nil"/>
              <w:bottom w:val="single" w:sz="4" w:space="0" w:color="auto"/>
              <w:right w:val="nil"/>
            </w:tcBorders>
            <w:shd w:val="clear" w:color="auto" w:fill="auto"/>
            <w:noWrap/>
            <w:vAlign w:val="bottom"/>
            <w:hideMark/>
          </w:tcPr>
          <w:p w14:paraId="0AD40601" w14:textId="77777777" w:rsidR="00DC7146" w:rsidRPr="00DC7146" w:rsidRDefault="00DC7146" w:rsidP="00DC7146">
            <w:pPr>
              <w:rPr>
                <w:rFonts w:eastAsia="Times New Roman" w:cs="Times New Roman"/>
                <w:color w:val="000000"/>
                <w:sz w:val="20"/>
                <w:szCs w:val="20"/>
              </w:rPr>
            </w:pPr>
            <w:r w:rsidRPr="00DC7146">
              <w:rPr>
                <w:rFonts w:eastAsia="Times New Roman" w:cs="Times New Roman"/>
                <w:color w:val="000000"/>
                <w:sz w:val="20"/>
                <w:szCs w:val="20"/>
              </w:rPr>
              <w:t> </w:t>
            </w:r>
          </w:p>
        </w:tc>
      </w:tr>
    </w:tbl>
    <w:p w14:paraId="437F5A74" w14:textId="77777777" w:rsidR="00DC7146" w:rsidRDefault="00DC7146" w:rsidP="004B52F3"/>
    <w:p w14:paraId="1BF52CA5" w14:textId="77777777" w:rsidR="00DC7146" w:rsidRDefault="00DC7146" w:rsidP="004B52F3"/>
    <w:p w14:paraId="6271C413" w14:textId="77777777" w:rsidR="00DC7146" w:rsidRDefault="00DC7146">
      <w:r>
        <w:br w:type="page"/>
      </w:r>
    </w:p>
    <w:p w14:paraId="5A880F7D" w14:textId="4851F88A" w:rsidR="00407A84" w:rsidRDefault="00DC7146" w:rsidP="004B52F3">
      <w:r>
        <w:lastRenderedPageBreak/>
        <w:t xml:space="preserve">Table 3. </w:t>
      </w:r>
      <w:r w:rsidR="00261857">
        <w:t xml:space="preserve">Estimated </w:t>
      </w:r>
      <w:r w:rsidR="00F66CAB">
        <w:t>Monthly Growth Rates for Full Sample</w:t>
      </w:r>
    </w:p>
    <w:tbl>
      <w:tblPr>
        <w:tblW w:w="9058" w:type="dxa"/>
        <w:tblLook w:val="04A0" w:firstRow="1" w:lastRow="0" w:firstColumn="1" w:lastColumn="0" w:noHBand="0" w:noVBand="1"/>
      </w:tblPr>
      <w:tblGrid>
        <w:gridCol w:w="1920"/>
        <w:gridCol w:w="1214"/>
        <w:gridCol w:w="1213"/>
        <w:gridCol w:w="1213"/>
        <w:gridCol w:w="1166"/>
        <w:gridCol w:w="1166"/>
        <w:gridCol w:w="1166"/>
      </w:tblGrid>
      <w:tr w:rsidR="00261857" w:rsidRPr="00261857" w14:paraId="73C8CC0B" w14:textId="77777777" w:rsidTr="00DC7146">
        <w:trPr>
          <w:trHeight w:val="255"/>
        </w:trPr>
        <w:tc>
          <w:tcPr>
            <w:tcW w:w="1920" w:type="dxa"/>
            <w:tcBorders>
              <w:top w:val="single" w:sz="4" w:space="0" w:color="auto"/>
              <w:left w:val="nil"/>
              <w:bottom w:val="nil"/>
              <w:right w:val="nil"/>
            </w:tcBorders>
            <w:shd w:val="clear" w:color="auto" w:fill="auto"/>
            <w:noWrap/>
            <w:vAlign w:val="bottom"/>
            <w:hideMark/>
          </w:tcPr>
          <w:p w14:paraId="58C9D201" w14:textId="77777777" w:rsidR="00261857" w:rsidRPr="00261857" w:rsidRDefault="00261857" w:rsidP="004B52F3">
            <w:pPr>
              <w:rPr>
                <w:rFonts w:eastAsia="Times New Roman" w:cs="Times New Roman"/>
                <w:color w:val="000000"/>
                <w:sz w:val="20"/>
                <w:szCs w:val="20"/>
              </w:rPr>
            </w:pPr>
            <w:r w:rsidRPr="00261857">
              <w:rPr>
                <w:rFonts w:eastAsia="Times New Roman" w:cs="Times New Roman"/>
                <w:color w:val="000000"/>
                <w:sz w:val="20"/>
                <w:szCs w:val="20"/>
              </w:rPr>
              <w:t> </w:t>
            </w:r>
          </w:p>
        </w:tc>
        <w:tc>
          <w:tcPr>
            <w:tcW w:w="3640" w:type="dxa"/>
            <w:gridSpan w:val="3"/>
            <w:tcBorders>
              <w:top w:val="single" w:sz="4" w:space="0" w:color="auto"/>
              <w:left w:val="nil"/>
              <w:bottom w:val="nil"/>
              <w:right w:val="nil"/>
            </w:tcBorders>
            <w:shd w:val="clear" w:color="auto" w:fill="auto"/>
            <w:noWrap/>
            <w:vAlign w:val="bottom"/>
            <w:hideMark/>
          </w:tcPr>
          <w:p w14:paraId="518A66C0" w14:textId="77777777" w:rsidR="00261857" w:rsidRPr="00261857" w:rsidRDefault="00261857" w:rsidP="004B52F3">
            <w:pPr>
              <w:jc w:val="center"/>
              <w:rPr>
                <w:rFonts w:eastAsia="Times New Roman" w:cs="Times New Roman"/>
                <w:color w:val="000000"/>
                <w:sz w:val="20"/>
                <w:szCs w:val="20"/>
              </w:rPr>
            </w:pPr>
            <w:r w:rsidRPr="00261857">
              <w:rPr>
                <w:rFonts w:eastAsia="Times New Roman" w:cs="Times New Roman"/>
                <w:color w:val="000000"/>
                <w:sz w:val="20"/>
                <w:szCs w:val="20"/>
              </w:rPr>
              <w:t>Math</w:t>
            </w:r>
          </w:p>
        </w:tc>
        <w:tc>
          <w:tcPr>
            <w:tcW w:w="3498" w:type="dxa"/>
            <w:gridSpan w:val="3"/>
            <w:tcBorders>
              <w:top w:val="single" w:sz="4" w:space="0" w:color="auto"/>
              <w:left w:val="nil"/>
              <w:bottom w:val="nil"/>
              <w:right w:val="nil"/>
            </w:tcBorders>
            <w:shd w:val="clear" w:color="auto" w:fill="auto"/>
            <w:noWrap/>
            <w:vAlign w:val="bottom"/>
            <w:hideMark/>
          </w:tcPr>
          <w:p w14:paraId="4594AD4A" w14:textId="77777777" w:rsidR="00261857" w:rsidRPr="00261857" w:rsidRDefault="00261857" w:rsidP="004B52F3">
            <w:pPr>
              <w:jc w:val="center"/>
              <w:rPr>
                <w:rFonts w:eastAsia="Times New Roman" w:cs="Times New Roman"/>
                <w:color w:val="000000"/>
                <w:sz w:val="20"/>
                <w:szCs w:val="20"/>
              </w:rPr>
            </w:pPr>
            <w:r w:rsidRPr="00261857">
              <w:rPr>
                <w:rFonts w:eastAsia="Times New Roman" w:cs="Times New Roman"/>
                <w:color w:val="000000"/>
                <w:sz w:val="20"/>
                <w:szCs w:val="20"/>
              </w:rPr>
              <w:t>Reading</w:t>
            </w:r>
          </w:p>
        </w:tc>
      </w:tr>
      <w:tr w:rsidR="00261857" w:rsidRPr="00261857" w14:paraId="6F3267EF" w14:textId="77777777" w:rsidTr="00DC7146">
        <w:trPr>
          <w:trHeight w:val="255"/>
        </w:trPr>
        <w:tc>
          <w:tcPr>
            <w:tcW w:w="1920" w:type="dxa"/>
            <w:tcBorders>
              <w:top w:val="nil"/>
              <w:left w:val="nil"/>
              <w:bottom w:val="nil"/>
              <w:right w:val="nil"/>
            </w:tcBorders>
            <w:shd w:val="clear" w:color="auto" w:fill="auto"/>
            <w:noWrap/>
            <w:vAlign w:val="bottom"/>
            <w:hideMark/>
          </w:tcPr>
          <w:p w14:paraId="7948ABDE" w14:textId="77777777" w:rsidR="00261857" w:rsidRPr="00261857" w:rsidRDefault="00261857" w:rsidP="004B52F3">
            <w:pPr>
              <w:jc w:val="center"/>
              <w:rPr>
                <w:rFonts w:eastAsia="Times New Roman" w:cs="Times New Roman"/>
                <w:color w:val="000000"/>
                <w:sz w:val="20"/>
                <w:szCs w:val="20"/>
              </w:rPr>
            </w:pPr>
          </w:p>
        </w:tc>
        <w:tc>
          <w:tcPr>
            <w:tcW w:w="1214" w:type="dxa"/>
            <w:tcBorders>
              <w:top w:val="nil"/>
              <w:left w:val="nil"/>
              <w:bottom w:val="single" w:sz="4" w:space="0" w:color="auto"/>
              <w:right w:val="nil"/>
            </w:tcBorders>
            <w:shd w:val="clear" w:color="auto" w:fill="auto"/>
            <w:noWrap/>
            <w:vAlign w:val="bottom"/>
            <w:hideMark/>
          </w:tcPr>
          <w:p w14:paraId="73F656CF" w14:textId="77777777" w:rsidR="00261857" w:rsidRPr="00261857" w:rsidRDefault="00261857" w:rsidP="004B52F3">
            <w:pPr>
              <w:jc w:val="center"/>
              <w:rPr>
                <w:rFonts w:eastAsia="Times New Roman" w:cs="Times New Roman"/>
                <w:color w:val="000000"/>
                <w:sz w:val="20"/>
                <w:szCs w:val="20"/>
              </w:rPr>
            </w:pPr>
            <w:r w:rsidRPr="00261857">
              <w:rPr>
                <w:rFonts w:eastAsia="Times New Roman" w:cs="Times New Roman"/>
                <w:color w:val="000000"/>
                <w:sz w:val="20"/>
                <w:szCs w:val="20"/>
              </w:rPr>
              <w:t>(1)</w:t>
            </w:r>
          </w:p>
        </w:tc>
        <w:tc>
          <w:tcPr>
            <w:tcW w:w="1213" w:type="dxa"/>
            <w:tcBorders>
              <w:top w:val="nil"/>
              <w:left w:val="nil"/>
              <w:bottom w:val="single" w:sz="4" w:space="0" w:color="auto"/>
              <w:right w:val="nil"/>
            </w:tcBorders>
            <w:shd w:val="clear" w:color="auto" w:fill="auto"/>
            <w:noWrap/>
            <w:vAlign w:val="bottom"/>
            <w:hideMark/>
          </w:tcPr>
          <w:p w14:paraId="4C6D4A72" w14:textId="77777777" w:rsidR="00261857" w:rsidRPr="00261857" w:rsidRDefault="00261857" w:rsidP="004B52F3">
            <w:pPr>
              <w:jc w:val="center"/>
              <w:rPr>
                <w:rFonts w:eastAsia="Times New Roman" w:cs="Times New Roman"/>
                <w:color w:val="000000"/>
                <w:sz w:val="20"/>
                <w:szCs w:val="20"/>
              </w:rPr>
            </w:pPr>
            <w:r w:rsidRPr="00261857">
              <w:rPr>
                <w:rFonts w:eastAsia="Times New Roman" w:cs="Times New Roman"/>
                <w:color w:val="000000"/>
                <w:sz w:val="20"/>
                <w:szCs w:val="20"/>
              </w:rPr>
              <w:t>(2)</w:t>
            </w:r>
          </w:p>
        </w:tc>
        <w:tc>
          <w:tcPr>
            <w:tcW w:w="1213" w:type="dxa"/>
            <w:tcBorders>
              <w:top w:val="nil"/>
              <w:left w:val="nil"/>
              <w:bottom w:val="single" w:sz="4" w:space="0" w:color="auto"/>
              <w:right w:val="nil"/>
            </w:tcBorders>
            <w:shd w:val="clear" w:color="auto" w:fill="auto"/>
            <w:noWrap/>
            <w:vAlign w:val="bottom"/>
            <w:hideMark/>
          </w:tcPr>
          <w:p w14:paraId="17CDCC03" w14:textId="77777777" w:rsidR="00261857" w:rsidRPr="00261857" w:rsidRDefault="00261857" w:rsidP="004B52F3">
            <w:pPr>
              <w:jc w:val="center"/>
              <w:rPr>
                <w:rFonts w:eastAsia="Times New Roman" w:cs="Times New Roman"/>
                <w:color w:val="000000"/>
                <w:sz w:val="20"/>
                <w:szCs w:val="20"/>
              </w:rPr>
            </w:pPr>
            <w:r w:rsidRPr="00261857">
              <w:rPr>
                <w:rFonts w:eastAsia="Times New Roman" w:cs="Times New Roman"/>
                <w:color w:val="000000"/>
                <w:sz w:val="20"/>
                <w:szCs w:val="20"/>
              </w:rPr>
              <w:t>(3)</w:t>
            </w:r>
          </w:p>
        </w:tc>
        <w:tc>
          <w:tcPr>
            <w:tcW w:w="1166" w:type="dxa"/>
            <w:tcBorders>
              <w:top w:val="nil"/>
              <w:left w:val="nil"/>
              <w:bottom w:val="single" w:sz="4" w:space="0" w:color="auto"/>
              <w:right w:val="nil"/>
            </w:tcBorders>
            <w:shd w:val="clear" w:color="auto" w:fill="auto"/>
            <w:noWrap/>
            <w:vAlign w:val="bottom"/>
            <w:hideMark/>
          </w:tcPr>
          <w:p w14:paraId="4D184556" w14:textId="77777777" w:rsidR="00261857" w:rsidRPr="00261857" w:rsidRDefault="00261857" w:rsidP="004B52F3">
            <w:pPr>
              <w:jc w:val="center"/>
              <w:rPr>
                <w:rFonts w:eastAsia="Times New Roman" w:cs="Times New Roman"/>
                <w:color w:val="000000"/>
                <w:sz w:val="20"/>
                <w:szCs w:val="20"/>
              </w:rPr>
            </w:pPr>
            <w:r w:rsidRPr="00261857">
              <w:rPr>
                <w:rFonts w:eastAsia="Times New Roman" w:cs="Times New Roman"/>
                <w:color w:val="000000"/>
                <w:sz w:val="20"/>
                <w:szCs w:val="20"/>
              </w:rPr>
              <w:t>(4)</w:t>
            </w:r>
          </w:p>
        </w:tc>
        <w:tc>
          <w:tcPr>
            <w:tcW w:w="1166" w:type="dxa"/>
            <w:tcBorders>
              <w:top w:val="nil"/>
              <w:left w:val="nil"/>
              <w:bottom w:val="single" w:sz="4" w:space="0" w:color="auto"/>
              <w:right w:val="nil"/>
            </w:tcBorders>
            <w:shd w:val="clear" w:color="auto" w:fill="auto"/>
            <w:noWrap/>
            <w:vAlign w:val="bottom"/>
            <w:hideMark/>
          </w:tcPr>
          <w:p w14:paraId="3728E190" w14:textId="77777777" w:rsidR="00261857" w:rsidRPr="00261857" w:rsidRDefault="00261857" w:rsidP="004B52F3">
            <w:pPr>
              <w:jc w:val="center"/>
              <w:rPr>
                <w:rFonts w:eastAsia="Times New Roman" w:cs="Times New Roman"/>
                <w:color w:val="000000"/>
                <w:sz w:val="20"/>
                <w:szCs w:val="20"/>
              </w:rPr>
            </w:pPr>
            <w:r w:rsidRPr="00261857">
              <w:rPr>
                <w:rFonts w:eastAsia="Times New Roman" w:cs="Times New Roman"/>
                <w:color w:val="000000"/>
                <w:sz w:val="20"/>
                <w:szCs w:val="20"/>
              </w:rPr>
              <w:t>(5)</w:t>
            </w:r>
          </w:p>
        </w:tc>
        <w:tc>
          <w:tcPr>
            <w:tcW w:w="1166" w:type="dxa"/>
            <w:tcBorders>
              <w:top w:val="nil"/>
              <w:left w:val="nil"/>
              <w:bottom w:val="single" w:sz="4" w:space="0" w:color="auto"/>
              <w:right w:val="nil"/>
            </w:tcBorders>
            <w:shd w:val="clear" w:color="auto" w:fill="auto"/>
            <w:noWrap/>
            <w:vAlign w:val="bottom"/>
            <w:hideMark/>
          </w:tcPr>
          <w:p w14:paraId="36622BAD" w14:textId="77777777" w:rsidR="00261857" w:rsidRPr="00261857" w:rsidRDefault="00261857" w:rsidP="004B52F3">
            <w:pPr>
              <w:jc w:val="center"/>
              <w:rPr>
                <w:rFonts w:eastAsia="Times New Roman" w:cs="Times New Roman"/>
                <w:color w:val="000000"/>
                <w:sz w:val="20"/>
                <w:szCs w:val="20"/>
              </w:rPr>
            </w:pPr>
            <w:r w:rsidRPr="00261857">
              <w:rPr>
                <w:rFonts w:eastAsia="Times New Roman" w:cs="Times New Roman"/>
                <w:color w:val="000000"/>
                <w:sz w:val="20"/>
                <w:szCs w:val="20"/>
              </w:rPr>
              <w:t>(6)</w:t>
            </w:r>
          </w:p>
        </w:tc>
      </w:tr>
      <w:tr w:rsidR="00261857" w:rsidRPr="00261857" w14:paraId="30026908" w14:textId="77777777" w:rsidTr="00DC7146">
        <w:trPr>
          <w:trHeight w:val="255"/>
        </w:trPr>
        <w:tc>
          <w:tcPr>
            <w:tcW w:w="1920" w:type="dxa"/>
            <w:tcBorders>
              <w:top w:val="single" w:sz="4" w:space="0" w:color="auto"/>
              <w:left w:val="nil"/>
              <w:bottom w:val="nil"/>
              <w:right w:val="nil"/>
            </w:tcBorders>
            <w:shd w:val="clear" w:color="auto" w:fill="auto"/>
            <w:noWrap/>
            <w:vAlign w:val="bottom"/>
            <w:hideMark/>
          </w:tcPr>
          <w:p w14:paraId="7BCA1EBA" w14:textId="77777777" w:rsidR="00261857" w:rsidRPr="00261857" w:rsidRDefault="00261857" w:rsidP="004B52F3">
            <w:pPr>
              <w:rPr>
                <w:rFonts w:eastAsia="Times New Roman" w:cs="Times New Roman"/>
                <w:color w:val="000000"/>
                <w:sz w:val="20"/>
                <w:szCs w:val="20"/>
              </w:rPr>
            </w:pPr>
            <w:r w:rsidRPr="00261857">
              <w:rPr>
                <w:rFonts w:eastAsia="Times New Roman" w:cs="Times New Roman"/>
                <w:color w:val="000000"/>
                <w:sz w:val="20"/>
                <w:szCs w:val="20"/>
              </w:rPr>
              <w:t> </w:t>
            </w:r>
          </w:p>
        </w:tc>
        <w:tc>
          <w:tcPr>
            <w:tcW w:w="1214" w:type="dxa"/>
            <w:tcBorders>
              <w:top w:val="nil"/>
              <w:left w:val="nil"/>
              <w:bottom w:val="nil"/>
              <w:right w:val="nil"/>
            </w:tcBorders>
            <w:shd w:val="clear" w:color="auto" w:fill="auto"/>
            <w:noWrap/>
            <w:vAlign w:val="bottom"/>
            <w:hideMark/>
          </w:tcPr>
          <w:p w14:paraId="1409BCC9" w14:textId="77777777" w:rsidR="00261857" w:rsidRPr="00261857" w:rsidRDefault="00261857" w:rsidP="004B52F3">
            <w:pPr>
              <w:rPr>
                <w:rFonts w:eastAsia="Times New Roman" w:cs="Times New Roman"/>
                <w:color w:val="000000"/>
                <w:sz w:val="20"/>
                <w:szCs w:val="20"/>
              </w:rPr>
            </w:pPr>
          </w:p>
        </w:tc>
        <w:tc>
          <w:tcPr>
            <w:tcW w:w="1213" w:type="dxa"/>
            <w:tcBorders>
              <w:top w:val="nil"/>
              <w:left w:val="nil"/>
              <w:bottom w:val="nil"/>
              <w:right w:val="nil"/>
            </w:tcBorders>
            <w:shd w:val="clear" w:color="auto" w:fill="auto"/>
            <w:noWrap/>
            <w:vAlign w:val="bottom"/>
            <w:hideMark/>
          </w:tcPr>
          <w:p w14:paraId="549C1E32" w14:textId="77777777" w:rsidR="00261857" w:rsidRPr="00261857" w:rsidRDefault="00261857" w:rsidP="004B52F3">
            <w:pPr>
              <w:jc w:val="cente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043F4054" w14:textId="77777777" w:rsidR="00261857" w:rsidRPr="00261857" w:rsidRDefault="00261857" w:rsidP="004B52F3">
            <w:pPr>
              <w:jc w:val="cente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09939A08" w14:textId="77777777" w:rsidR="00261857" w:rsidRPr="00261857" w:rsidRDefault="00261857" w:rsidP="004B52F3">
            <w:pPr>
              <w:jc w:val="cente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7E88CB44" w14:textId="77777777" w:rsidR="00261857" w:rsidRPr="00261857" w:rsidRDefault="00261857" w:rsidP="004B52F3">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60EAEFE7" w14:textId="77777777" w:rsidR="00261857" w:rsidRPr="00261857" w:rsidRDefault="00261857" w:rsidP="004B52F3">
            <w:pPr>
              <w:rPr>
                <w:rFonts w:eastAsia="Times New Roman" w:cs="Times New Roman"/>
                <w:sz w:val="20"/>
                <w:szCs w:val="20"/>
              </w:rPr>
            </w:pPr>
          </w:p>
        </w:tc>
      </w:tr>
      <w:tr w:rsidR="00DC7146" w:rsidRPr="00261857" w14:paraId="7FE86EF4" w14:textId="77777777" w:rsidTr="00DC7146">
        <w:trPr>
          <w:trHeight w:val="255"/>
        </w:trPr>
        <w:tc>
          <w:tcPr>
            <w:tcW w:w="1920" w:type="dxa"/>
            <w:tcBorders>
              <w:top w:val="nil"/>
              <w:left w:val="nil"/>
              <w:bottom w:val="nil"/>
              <w:right w:val="nil"/>
            </w:tcBorders>
            <w:shd w:val="clear" w:color="auto" w:fill="auto"/>
            <w:noWrap/>
            <w:vAlign w:val="bottom"/>
            <w:hideMark/>
          </w:tcPr>
          <w:p w14:paraId="678411E6" w14:textId="6AD9A75A" w:rsidR="00DC7146" w:rsidRPr="00261857" w:rsidRDefault="00DC7146" w:rsidP="00DC7146">
            <w:pPr>
              <w:rPr>
                <w:rFonts w:eastAsia="Times New Roman" w:cs="Times New Roman"/>
                <w:color w:val="000000"/>
                <w:sz w:val="20"/>
                <w:szCs w:val="20"/>
              </w:rPr>
            </w:pPr>
            <w:r>
              <w:rPr>
                <w:color w:val="000000"/>
                <w:sz w:val="20"/>
                <w:szCs w:val="20"/>
              </w:rPr>
              <w:t>Starting RIT</w:t>
            </w:r>
          </w:p>
        </w:tc>
        <w:tc>
          <w:tcPr>
            <w:tcW w:w="1214" w:type="dxa"/>
            <w:tcBorders>
              <w:top w:val="nil"/>
              <w:left w:val="nil"/>
              <w:bottom w:val="nil"/>
              <w:right w:val="nil"/>
            </w:tcBorders>
            <w:shd w:val="clear" w:color="auto" w:fill="auto"/>
            <w:noWrap/>
            <w:vAlign w:val="bottom"/>
            <w:hideMark/>
          </w:tcPr>
          <w:p w14:paraId="50AF9505" w14:textId="0DBC3308" w:rsidR="00DC7146" w:rsidRPr="00261857" w:rsidRDefault="00DC7146" w:rsidP="00DC7146">
            <w:pPr>
              <w:jc w:val="center"/>
              <w:rPr>
                <w:rFonts w:eastAsia="Times New Roman" w:cs="Times New Roman"/>
                <w:color w:val="000000"/>
                <w:sz w:val="20"/>
                <w:szCs w:val="20"/>
              </w:rPr>
            </w:pPr>
            <w:r>
              <w:rPr>
                <w:color w:val="000000"/>
                <w:sz w:val="20"/>
                <w:szCs w:val="20"/>
              </w:rPr>
              <w:t>171.609***</w:t>
            </w:r>
          </w:p>
        </w:tc>
        <w:tc>
          <w:tcPr>
            <w:tcW w:w="1213" w:type="dxa"/>
            <w:tcBorders>
              <w:top w:val="nil"/>
              <w:left w:val="nil"/>
              <w:bottom w:val="nil"/>
              <w:right w:val="nil"/>
            </w:tcBorders>
            <w:shd w:val="clear" w:color="auto" w:fill="auto"/>
            <w:noWrap/>
            <w:vAlign w:val="bottom"/>
            <w:hideMark/>
          </w:tcPr>
          <w:p w14:paraId="7AF4D34E" w14:textId="45A046D1" w:rsidR="00DC7146" w:rsidRPr="00261857" w:rsidRDefault="00DC7146" w:rsidP="00DC7146">
            <w:pPr>
              <w:jc w:val="center"/>
              <w:rPr>
                <w:rFonts w:eastAsia="Times New Roman" w:cs="Times New Roman"/>
                <w:color w:val="000000"/>
                <w:sz w:val="20"/>
                <w:szCs w:val="20"/>
              </w:rPr>
            </w:pPr>
            <w:r>
              <w:rPr>
                <w:color w:val="000000"/>
                <w:sz w:val="20"/>
                <w:szCs w:val="20"/>
              </w:rPr>
              <w:t>179.503***</w:t>
            </w:r>
          </w:p>
        </w:tc>
        <w:tc>
          <w:tcPr>
            <w:tcW w:w="1213" w:type="dxa"/>
            <w:tcBorders>
              <w:top w:val="nil"/>
              <w:left w:val="nil"/>
              <w:bottom w:val="nil"/>
              <w:right w:val="nil"/>
            </w:tcBorders>
            <w:shd w:val="clear" w:color="auto" w:fill="auto"/>
            <w:noWrap/>
            <w:vAlign w:val="bottom"/>
            <w:hideMark/>
          </w:tcPr>
          <w:p w14:paraId="1D5B4628" w14:textId="43758AD9" w:rsidR="00DC7146" w:rsidRPr="00261857" w:rsidRDefault="00DC7146" w:rsidP="00DC7146">
            <w:pPr>
              <w:jc w:val="center"/>
              <w:rPr>
                <w:rFonts w:eastAsia="Times New Roman" w:cs="Times New Roman"/>
                <w:color w:val="000000"/>
                <w:sz w:val="20"/>
                <w:szCs w:val="20"/>
              </w:rPr>
            </w:pPr>
            <w:r>
              <w:rPr>
                <w:color w:val="000000"/>
                <w:sz w:val="20"/>
                <w:szCs w:val="20"/>
              </w:rPr>
              <w:t>179.473***</w:t>
            </w:r>
          </w:p>
        </w:tc>
        <w:tc>
          <w:tcPr>
            <w:tcW w:w="1166" w:type="dxa"/>
            <w:tcBorders>
              <w:top w:val="nil"/>
              <w:left w:val="nil"/>
              <w:bottom w:val="nil"/>
              <w:right w:val="nil"/>
            </w:tcBorders>
            <w:shd w:val="clear" w:color="auto" w:fill="auto"/>
            <w:noWrap/>
            <w:vAlign w:val="bottom"/>
            <w:hideMark/>
          </w:tcPr>
          <w:p w14:paraId="519F38E2" w14:textId="6817D6CE" w:rsidR="00DC7146" w:rsidRPr="00261857" w:rsidRDefault="00DC7146" w:rsidP="00DC7146">
            <w:pPr>
              <w:jc w:val="center"/>
              <w:rPr>
                <w:rFonts w:eastAsia="Times New Roman" w:cs="Times New Roman"/>
                <w:color w:val="000000"/>
                <w:sz w:val="20"/>
                <w:szCs w:val="20"/>
              </w:rPr>
            </w:pPr>
            <w:r>
              <w:rPr>
                <w:color w:val="000000"/>
                <w:sz w:val="20"/>
                <w:szCs w:val="20"/>
              </w:rPr>
              <w:t>167.584***</w:t>
            </w:r>
          </w:p>
        </w:tc>
        <w:tc>
          <w:tcPr>
            <w:tcW w:w="1166" w:type="dxa"/>
            <w:tcBorders>
              <w:top w:val="nil"/>
              <w:left w:val="nil"/>
              <w:bottom w:val="nil"/>
              <w:right w:val="nil"/>
            </w:tcBorders>
            <w:shd w:val="clear" w:color="auto" w:fill="auto"/>
            <w:noWrap/>
            <w:vAlign w:val="bottom"/>
            <w:hideMark/>
          </w:tcPr>
          <w:p w14:paraId="64561376" w14:textId="779FDEE7" w:rsidR="00DC7146" w:rsidRPr="00261857" w:rsidRDefault="00DC7146" w:rsidP="00DC7146">
            <w:pPr>
              <w:jc w:val="center"/>
              <w:rPr>
                <w:rFonts w:eastAsia="Times New Roman" w:cs="Times New Roman"/>
                <w:color w:val="000000"/>
                <w:sz w:val="20"/>
                <w:szCs w:val="20"/>
              </w:rPr>
            </w:pPr>
            <w:r>
              <w:rPr>
                <w:color w:val="000000"/>
                <w:sz w:val="20"/>
                <w:szCs w:val="20"/>
              </w:rPr>
              <w:t>175.961***</w:t>
            </w:r>
          </w:p>
        </w:tc>
        <w:tc>
          <w:tcPr>
            <w:tcW w:w="1166" w:type="dxa"/>
            <w:tcBorders>
              <w:top w:val="nil"/>
              <w:left w:val="nil"/>
              <w:bottom w:val="nil"/>
              <w:right w:val="nil"/>
            </w:tcBorders>
            <w:shd w:val="clear" w:color="auto" w:fill="auto"/>
            <w:noWrap/>
            <w:vAlign w:val="bottom"/>
            <w:hideMark/>
          </w:tcPr>
          <w:p w14:paraId="55357C25" w14:textId="1EBC535C" w:rsidR="00DC7146" w:rsidRPr="00261857" w:rsidRDefault="00DC7146" w:rsidP="00DC7146">
            <w:pPr>
              <w:jc w:val="center"/>
              <w:rPr>
                <w:rFonts w:eastAsia="Times New Roman" w:cs="Times New Roman"/>
                <w:color w:val="000000"/>
                <w:sz w:val="20"/>
                <w:szCs w:val="20"/>
              </w:rPr>
            </w:pPr>
            <w:r>
              <w:rPr>
                <w:color w:val="000000"/>
                <w:sz w:val="20"/>
                <w:szCs w:val="20"/>
              </w:rPr>
              <w:t>175.938***</w:t>
            </w:r>
          </w:p>
        </w:tc>
      </w:tr>
      <w:tr w:rsidR="00DC7146" w:rsidRPr="00261857" w14:paraId="2DED6955" w14:textId="77777777" w:rsidTr="00DC7146">
        <w:trPr>
          <w:trHeight w:val="255"/>
        </w:trPr>
        <w:tc>
          <w:tcPr>
            <w:tcW w:w="1920" w:type="dxa"/>
            <w:tcBorders>
              <w:top w:val="nil"/>
              <w:left w:val="nil"/>
              <w:bottom w:val="nil"/>
              <w:right w:val="nil"/>
            </w:tcBorders>
            <w:shd w:val="clear" w:color="auto" w:fill="auto"/>
            <w:noWrap/>
            <w:vAlign w:val="bottom"/>
            <w:hideMark/>
          </w:tcPr>
          <w:p w14:paraId="12F58CD7"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7128D3DE" w14:textId="7E4B72D4" w:rsidR="00DC7146" w:rsidRPr="00261857" w:rsidRDefault="00DC7146" w:rsidP="00DC7146">
            <w:pPr>
              <w:jc w:val="center"/>
              <w:rPr>
                <w:rFonts w:eastAsia="Times New Roman" w:cs="Times New Roman"/>
                <w:color w:val="000000"/>
                <w:sz w:val="20"/>
                <w:szCs w:val="20"/>
              </w:rPr>
            </w:pPr>
            <w:r>
              <w:rPr>
                <w:color w:val="000000"/>
                <w:sz w:val="20"/>
                <w:szCs w:val="20"/>
              </w:rPr>
              <w:t>(0.620)</w:t>
            </w:r>
          </w:p>
        </w:tc>
        <w:tc>
          <w:tcPr>
            <w:tcW w:w="1213" w:type="dxa"/>
            <w:tcBorders>
              <w:top w:val="nil"/>
              <w:left w:val="nil"/>
              <w:bottom w:val="nil"/>
              <w:right w:val="nil"/>
            </w:tcBorders>
            <w:shd w:val="clear" w:color="auto" w:fill="auto"/>
            <w:noWrap/>
            <w:vAlign w:val="bottom"/>
            <w:hideMark/>
          </w:tcPr>
          <w:p w14:paraId="4654DB97" w14:textId="0B9E1644" w:rsidR="00DC7146" w:rsidRPr="00261857" w:rsidRDefault="00DC7146" w:rsidP="00DC7146">
            <w:pPr>
              <w:jc w:val="center"/>
              <w:rPr>
                <w:rFonts w:eastAsia="Times New Roman" w:cs="Times New Roman"/>
                <w:color w:val="000000"/>
                <w:sz w:val="20"/>
                <w:szCs w:val="20"/>
              </w:rPr>
            </w:pPr>
            <w:r>
              <w:rPr>
                <w:color w:val="000000"/>
                <w:sz w:val="20"/>
                <w:szCs w:val="20"/>
              </w:rPr>
              <w:t>(0.664)</w:t>
            </w:r>
          </w:p>
        </w:tc>
        <w:tc>
          <w:tcPr>
            <w:tcW w:w="1213" w:type="dxa"/>
            <w:tcBorders>
              <w:top w:val="nil"/>
              <w:left w:val="nil"/>
              <w:bottom w:val="nil"/>
              <w:right w:val="nil"/>
            </w:tcBorders>
            <w:shd w:val="clear" w:color="auto" w:fill="auto"/>
            <w:noWrap/>
            <w:vAlign w:val="bottom"/>
            <w:hideMark/>
          </w:tcPr>
          <w:p w14:paraId="40791815" w14:textId="19F85519" w:rsidR="00DC7146" w:rsidRPr="00261857" w:rsidRDefault="00DC7146" w:rsidP="00DC7146">
            <w:pPr>
              <w:jc w:val="center"/>
              <w:rPr>
                <w:rFonts w:eastAsia="Times New Roman" w:cs="Times New Roman"/>
                <w:color w:val="000000"/>
                <w:sz w:val="20"/>
                <w:szCs w:val="20"/>
              </w:rPr>
            </w:pPr>
            <w:r>
              <w:rPr>
                <w:color w:val="000000"/>
                <w:sz w:val="20"/>
                <w:szCs w:val="20"/>
              </w:rPr>
              <w:t>(0.604)</w:t>
            </w:r>
          </w:p>
        </w:tc>
        <w:tc>
          <w:tcPr>
            <w:tcW w:w="1166" w:type="dxa"/>
            <w:tcBorders>
              <w:top w:val="nil"/>
              <w:left w:val="nil"/>
              <w:bottom w:val="nil"/>
              <w:right w:val="nil"/>
            </w:tcBorders>
            <w:shd w:val="clear" w:color="auto" w:fill="auto"/>
            <w:noWrap/>
            <w:vAlign w:val="bottom"/>
            <w:hideMark/>
          </w:tcPr>
          <w:p w14:paraId="009DAA82" w14:textId="089DB149" w:rsidR="00DC7146" w:rsidRPr="00261857" w:rsidRDefault="00DC7146" w:rsidP="00DC7146">
            <w:pPr>
              <w:jc w:val="center"/>
              <w:rPr>
                <w:rFonts w:eastAsia="Times New Roman" w:cs="Times New Roman"/>
                <w:color w:val="000000"/>
                <w:sz w:val="20"/>
                <w:szCs w:val="20"/>
              </w:rPr>
            </w:pPr>
            <w:r>
              <w:rPr>
                <w:color w:val="000000"/>
                <w:sz w:val="20"/>
                <w:szCs w:val="20"/>
              </w:rPr>
              <w:t>(0.839)</w:t>
            </w:r>
          </w:p>
        </w:tc>
        <w:tc>
          <w:tcPr>
            <w:tcW w:w="1166" w:type="dxa"/>
            <w:tcBorders>
              <w:top w:val="nil"/>
              <w:left w:val="nil"/>
              <w:bottom w:val="nil"/>
              <w:right w:val="nil"/>
            </w:tcBorders>
            <w:shd w:val="clear" w:color="auto" w:fill="auto"/>
            <w:noWrap/>
            <w:vAlign w:val="bottom"/>
            <w:hideMark/>
          </w:tcPr>
          <w:p w14:paraId="3BA2FEA4" w14:textId="34FC46DA" w:rsidR="00DC7146" w:rsidRPr="00261857" w:rsidRDefault="00DC7146" w:rsidP="00DC7146">
            <w:pPr>
              <w:jc w:val="center"/>
              <w:rPr>
                <w:rFonts w:eastAsia="Times New Roman" w:cs="Times New Roman"/>
                <w:color w:val="000000"/>
                <w:sz w:val="20"/>
                <w:szCs w:val="20"/>
              </w:rPr>
            </w:pPr>
            <w:r>
              <w:rPr>
                <w:color w:val="000000"/>
                <w:sz w:val="20"/>
                <w:szCs w:val="20"/>
              </w:rPr>
              <w:t>(0.768)</w:t>
            </w:r>
          </w:p>
        </w:tc>
        <w:tc>
          <w:tcPr>
            <w:tcW w:w="1166" w:type="dxa"/>
            <w:tcBorders>
              <w:top w:val="nil"/>
              <w:left w:val="nil"/>
              <w:bottom w:val="nil"/>
              <w:right w:val="nil"/>
            </w:tcBorders>
            <w:shd w:val="clear" w:color="auto" w:fill="auto"/>
            <w:noWrap/>
            <w:vAlign w:val="bottom"/>
            <w:hideMark/>
          </w:tcPr>
          <w:p w14:paraId="770FA302" w14:textId="4D2273F4" w:rsidR="00DC7146" w:rsidRPr="00261857" w:rsidRDefault="00DC7146" w:rsidP="00DC7146">
            <w:pPr>
              <w:jc w:val="center"/>
              <w:rPr>
                <w:rFonts w:eastAsia="Times New Roman" w:cs="Times New Roman"/>
                <w:color w:val="000000"/>
                <w:sz w:val="20"/>
                <w:szCs w:val="20"/>
              </w:rPr>
            </w:pPr>
            <w:r>
              <w:rPr>
                <w:color w:val="000000"/>
                <w:sz w:val="20"/>
                <w:szCs w:val="20"/>
              </w:rPr>
              <w:t>(1.085)</w:t>
            </w:r>
          </w:p>
        </w:tc>
      </w:tr>
      <w:tr w:rsidR="00DC7146" w:rsidRPr="00261857" w14:paraId="1EA6F9E1" w14:textId="77777777" w:rsidTr="00DC7146">
        <w:trPr>
          <w:trHeight w:val="255"/>
        </w:trPr>
        <w:tc>
          <w:tcPr>
            <w:tcW w:w="1920" w:type="dxa"/>
            <w:tcBorders>
              <w:top w:val="nil"/>
              <w:left w:val="nil"/>
              <w:bottom w:val="nil"/>
              <w:right w:val="nil"/>
            </w:tcBorders>
            <w:shd w:val="clear" w:color="auto" w:fill="auto"/>
            <w:noWrap/>
            <w:vAlign w:val="bottom"/>
            <w:hideMark/>
          </w:tcPr>
          <w:p w14:paraId="07EEA10C" w14:textId="1F239D73" w:rsidR="00DC7146" w:rsidRPr="00261857" w:rsidRDefault="00DC7146" w:rsidP="00DC7146">
            <w:pPr>
              <w:rPr>
                <w:rFonts w:eastAsia="Times New Roman" w:cs="Times New Roman"/>
                <w:color w:val="000000"/>
                <w:sz w:val="20"/>
                <w:szCs w:val="20"/>
              </w:rPr>
            </w:pPr>
            <w:r>
              <w:rPr>
                <w:color w:val="000000"/>
                <w:sz w:val="20"/>
                <w:szCs w:val="20"/>
              </w:rPr>
              <w:t>Gr 2 AY</w:t>
            </w:r>
          </w:p>
        </w:tc>
        <w:tc>
          <w:tcPr>
            <w:tcW w:w="1214" w:type="dxa"/>
            <w:tcBorders>
              <w:top w:val="nil"/>
              <w:left w:val="nil"/>
              <w:bottom w:val="nil"/>
              <w:right w:val="nil"/>
            </w:tcBorders>
            <w:shd w:val="clear" w:color="auto" w:fill="auto"/>
            <w:noWrap/>
            <w:vAlign w:val="bottom"/>
            <w:hideMark/>
          </w:tcPr>
          <w:p w14:paraId="68A5018E" w14:textId="4BC4D3F1" w:rsidR="00DC7146" w:rsidRPr="00261857" w:rsidRDefault="00DC7146" w:rsidP="00DC7146">
            <w:pPr>
              <w:jc w:val="center"/>
              <w:rPr>
                <w:rFonts w:eastAsia="Times New Roman" w:cs="Times New Roman"/>
                <w:color w:val="000000"/>
                <w:sz w:val="20"/>
                <w:szCs w:val="20"/>
              </w:rPr>
            </w:pPr>
            <w:r>
              <w:rPr>
                <w:color w:val="000000"/>
                <w:sz w:val="20"/>
                <w:szCs w:val="20"/>
              </w:rPr>
              <w:t>1.788***</w:t>
            </w:r>
          </w:p>
        </w:tc>
        <w:tc>
          <w:tcPr>
            <w:tcW w:w="1213" w:type="dxa"/>
            <w:tcBorders>
              <w:top w:val="nil"/>
              <w:left w:val="nil"/>
              <w:bottom w:val="nil"/>
              <w:right w:val="nil"/>
            </w:tcBorders>
            <w:shd w:val="clear" w:color="auto" w:fill="auto"/>
            <w:noWrap/>
            <w:vAlign w:val="bottom"/>
            <w:hideMark/>
          </w:tcPr>
          <w:p w14:paraId="1D398745" w14:textId="7CD73D5D" w:rsidR="00DC7146" w:rsidRPr="00261857" w:rsidRDefault="00DC7146" w:rsidP="00DC7146">
            <w:pPr>
              <w:jc w:val="center"/>
              <w:rPr>
                <w:rFonts w:eastAsia="Times New Roman" w:cs="Times New Roman"/>
                <w:color w:val="000000"/>
                <w:sz w:val="20"/>
                <w:szCs w:val="20"/>
              </w:rPr>
            </w:pPr>
            <w:r>
              <w:rPr>
                <w:color w:val="000000"/>
                <w:sz w:val="20"/>
                <w:szCs w:val="20"/>
              </w:rPr>
              <w:t>1.785***</w:t>
            </w:r>
          </w:p>
        </w:tc>
        <w:tc>
          <w:tcPr>
            <w:tcW w:w="1213" w:type="dxa"/>
            <w:tcBorders>
              <w:top w:val="nil"/>
              <w:left w:val="nil"/>
              <w:bottom w:val="nil"/>
              <w:right w:val="nil"/>
            </w:tcBorders>
            <w:shd w:val="clear" w:color="auto" w:fill="auto"/>
            <w:noWrap/>
            <w:vAlign w:val="bottom"/>
            <w:hideMark/>
          </w:tcPr>
          <w:p w14:paraId="43071E02" w14:textId="64944709" w:rsidR="00DC7146" w:rsidRPr="00261857" w:rsidRDefault="00DC7146" w:rsidP="00DC7146">
            <w:pPr>
              <w:jc w:val="center"/>
              <w:rPr>
                <w:rFonts w:eastAsia="Times New Roman" w:cs="Times New Roman"/>
                <w:color w:val="000000"/>
                <w:sz w:val="20"/>
                <w:szCs w:val="20"/>
              </w:rPr>
            </w:pPr>
            <w:r>
              <w:rPr>
                <w:color w:val="000000"/>
                <w:sz w:val="20"/>
                <w:szCs w:val="20"/>
              </w:rPr>
              <w:t>1.784***</w:t>
            </w:r>
          </w:p>
        </w:tc>
        <w:tc>
          <w:tcPr>
            <w:tcW w:w="1166" w:type="dxa"/>
            <w:tcBorders>
              <w:top w:val="nil"/>
              <w:left w:val="nil"/>
              <w:bottom w:val="nil"/>
              <w:right w:val="nil"/>
            </w:tcBorders>
            <w:shd w:val="clear" w:color="auto" w:fill="auto"/>
            <w:noWrap/>
            <w:vAlign w:val="bottom"/>
            <w:hideMark/>
          </w:tcPr>
          <w:p w14:paraId="0317188F" w14:textId="77E6C435" w:rsidR="00DC7146" w:rsidRPr="00261857" w:rsidRDefault="00DC7146" w:rsidP="00DC7146">
            <w:pPr>
              <w:jc w:val="center"/>
              <w:rPr>
                <w:rFonts w:eastAsia="Times New Roman" w:cs="Times New Roman"/>
                <w:color w:val="000000"/>
                <w:sz w:val="20"/>
                <w:szCs w:val="20"/>
              </w:rPr>
            </w:pPr>
            <w:r>
              <w:rPr>
                <w:color w:val="000000"/>
                <w:sz w:val="20"/>
                <w:szCs w:val="20"/>
              </w:rPr>
              <w:t>1.839***</w:t>
            </w:r>
          </w:p>
        </w:tc>
        <w:tc>
          <w:tcPr>
            <w:tcW w:w="1166" w:type="dxa"/>
            <w:tcBorders>
              <w:top w:val="nil"/>
              <w:left w:val="nil"/>
              <w:bottom w:val="nil"/>
              <w:right w:val="nil"/>
            </w:tcBorders>
            <w:shd w:val="clear" w:color="auto" w:fill="auto"/>
            <w:noWrap/>
            <w:vAlign w:val="bottom"/>
            <w:hideMark/>
          </w:tcPr>
          <w:p w14:paraId="2815D3A8" w14:textId="4AD43D27" w:rsidR="00DC7146" w:rsidRPr="00261857" w:rsidRDefault="00DC7146" w:rsidP="00DC7146">
            <w:pPr>
              <w:jc w:val="center"/>
              <w:rPr>
                <w:rFonts w:eastAsia="Times New Roman" w:cs="Times New Roman"/>
                <w:color w:val="000000"/>
                <w:sz w:val="20"/>
                <w:szCs w:val="20"/>
              </w:rPr>
            </w:pPr>
            <w:r>
              <w:rPr>
                <w:color w:val="000000"/>
                <w:sz w:val="20"/>
                <w:szCs w:val="20"/>
              </w:rPr>
              <w:t>1.833***</w:t>
            </w:r>
          </w:p>
        </w:tc>
        <w:tc>
          <w:tcPr>
            <w:tcW w:w="1166" w:type="dxa"/>
            <w:tcBorders>
              <w:top w:val="nil"/>
              <w:left w:val="nil"/>
              <w:bottom w:val="nil"/>
              <w:right w:val="nil"/>
            </w:tcBorders>
            <w:shd w:val="clear" w:color="auto" w:fill="auto"/>
            <w:noWrap/>
            <w:vAlign w:val="bottom"/>
            <w:hideMark/>
          </w:tcPr>
          <w:p w14:paraId="6865A63A" w14:textId="2B7DB293" w:rsidR="00DC7146" w:rsidRPr="00261857" w:rsidRDefault="00DC7146" w:rsidP="00DC7146">
            <w:pPr>
              <w:jc w:val="center"/>
              <w:rPr>
                <w:rFonts w:eastAsia="Times New Roman" w:cs="Times New Roman"/>
                <w:color w:val="000000"/>
                <w:sz w:val="20"/>
                <w:szCs w:val="20"/>
              </w:rPr>
            </w:pPr>
            <w:r>
              <w:rPr>
                <w:color w:val="000000"/>
                <w:sz w:val="20"/>
                <w:szCs w:val="20"/>
              </w:rPr>
              <w:t>1.833***</w:t>
            </w:r>
          </w:p>
        </w:tc>
      </w:tr>
      <w:tr w:rsidR="00DC7146" w:rsidRPr="00261857" w14:paraId="35ED4511" w14:textId="77777777" w:rsidTr="00DC7146">
        <w:trPr>
          <w:trHeight w:val="255"/>
        </w:trPr>
        <w:tc>
          <w:tcPr>
            <w:tcW w:w="1920" w:type="dxa"/>
            <w:tcBorders>
              <w:top w:val="nil"/>
              <w:left w:val="nil"/>
              <w:bottom w:val="nil"/>
              <w:right w:val="nil"/>
            </w:tcBorders>
            <w:shd w:val="clear" w:color="auto" w:fill="auto"/>
            <w:noWrap/>
            <w:vAlign w:val="bottom"/>
            <w:hideMark/>
          </w:tcPr>
          <w:p w14:paraId="06CCFB6B"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00D5E0B6" w14:textId="60268A87" w:rsidR="00DC7146" w:rsidRPr="00261857" w:rsidRDefault="00DC7146" w:rsidP="00DC7146">
            <w:pPr>
              <w:jc w:val="center"/>
              <w:rPr>
                <w:rFonts w:eastAsia="Times New Roman" w:cs="Times New Roman"/>
                <w:color w:val="000000"/>
                <w:sz w:val="20"/>
                <w:szCs w:val="20"/>
              </w:rPr>
            </w:pPr>
            <w:r>
              <w:rPr>
                <w:color w:val="000000"/>
                <w:sz w:val="20"/>
                <w:szCs w:val="20"/>
              </w:rPr>
              <w:t>(0.033)</w:t>
            </w:r>
          </w:p>
        </w:tc>
        <w:tc>
          <w:tcPr>
            <w:tcW w:w="1213" w:type="dxa"/>
            <w:tcBorders>
              <w:top w:val="nil"/>
              <w:left w:val="nil"/>
              <w:bottom w:val="nil"/>
              <w:right w:val="nil"/>
            </w:tcBorders>
            <w:shd w:val="clear" w:color="auto" w:fill="auto"/>
            <w:noWrap/>
            <w:vAlign w:val="bottom"/>
            <w:hideMark/>
          </w:tcPr>
          <w:p w14:paraId="281A595F" w14:textId="490FB999" w:rsidR="00DC7146" w:rsidRPr="00261857" w:rsidRDefault="00DC7146" w:rsidP="00DC7146">
            <w:pPr>
              <w:jc w:val="center"/>
              <w:rPr>
                <w:rFonts w:eastAsia="Times New Roman" w:cs="Times New Roman"/>
                <w:color w:val="000000"/>
                <w:sz w:val="20"/>
                <w:szCs w:val="20"/>
              </w:rPr>
            </w:pPr>
            <w:r>
              <w:rPr>
                <w:color w:val="000000"/>
                <w:sz w:val="20"/>
                <w:szCs w:val="20"/>
              </w:rPr>
              <w:t>(0.033)</w:t>
            </w:r>
          </w:p>
        </w:tc>
        <w:tc>
          <w:tcPr>
            <w:tcW w:w="1213" w:type="dxa"/>
            <w:tcBorders>
              <w:top w:val="nil"/>
              <w:left w:val="nil"/>
              <w:bottom w:val="nil"/>
              <w:right w:val="nil"/>
            </w:tcBorders>
            <w:shd w:val="clear" w:color="auto" w:fill="auto"/>
            <w:noWrap/>
            <w:vAlign w:val="bottom"/>
            <w:hideMark/>
          </w:tcPr>
          <w:p w14:paraId="15E34E48" w14:textId="47E6BDA5" w:rsidR="00DC7146" w:rsidRPr="00261857" w:rsidRDefault="00DC7146" w:rsidP="00DC7146">
            <w:pPr>
              <w:jc w:val="center"/>
              <w:rPr>
                <w:rFonts w:eastAsia="Times New Roman" w:cs="Times New Roman"/>
                <w:color w:val="000000"/>
                <w:sz w:val="20"/>
                <w:szCs w:val="20"/>
              </w:rPr>
            </w:pPr>
            <w:r>
              <w:rPr>
                <w:color w:val="000000"/>
                <w:sz w:val="20"/>
                <w:szCs w:val="20"/>
              </w:rPr>
              <w:t>(0.033)</w:t>
            </w:r>
          </w:p>
        </w:tc>
        <w:tc>
          <w:tcPr>
            <w:tcW w:w="1166" w:type="dxa"/>
            <w:tcBorders>
              <w:top w:val="nil"/>
              <w:left w:val="nil"/>
              <w:bottom w:val="nil"/>
              <w:right w:val="nil"/>
            </w:tcBorders>
            <w:shd w:val="clear" w:color="auto" w:fill="auto"/>
            <w:noWrap/>
            <w:vAlign w:val="bottom"/>
            <w:hideMark/>
          </w:tcPr>
          <w:p w14:paraId="4C3EEB0C" w14:textId="5E2281A2" w:rsidR="00DC7146" w:rsidRPr="00261857" w:rsidRDefault="00DC7146" w:rsidP="00DC7146">
            <w:pPr>
              <w:jc w:val="center"/>
              <w:rPr>
                <w:rFonts w:eastAsia="Times New Roman" w:cs="Times New Roman"/>
                <w:color w:val="000000"/>
                <w:sz w:val="20"/>
                <w:szCs w:val="20"/>
              </w:rPr>
            </w:pPr>
            <w:r>
              <w:rPr>
                <w:color w:val="000000"/>
                <w:sz w:val="20"/>
                <w:szCs w:val="20"/>
              </w:rPr>
              <w:t>(0.027)</w:t>
            </w:r>
          </w:p>
        </w:tc>
        <w:tc>
          <w:tcPr>
            <w:tcW w:w="1166" w:type="dxa"/>
            <w:tcBorders>
              <w:top w:val="nil"/>
              <w:left w:val="nil"/>
              <w:bottom w:val="nil"/>
              <w:right w:val="nil"/>
            </w:tcBorders>
            <w:shd w:val="clear" w:color="auto" w:fill="auto"/>
            <w:noWrap/>
            <w:vAlign w:val="bottom"/>
            <w:hideMark/>
          </w:tcPr>
          <w:p w14:paraId="24CC071C" w14:textId="20588BB1" w:rsidR="00DC7146" w:rsidRPr="00261857" w:rsidRDefault="00DC7146" w:rsidP="00DC7146">
            <w:pPr>
              <w:jc w:val="center"/>
              <w:rPr>
                <w:rFonts w:eastAsia="Times New Roman" w:cs="Times New Roman"/>
                <w:color w:val="000000"/>
                <w:sz w:val="20"/>
                <w:szCs w:val="20"/>
              </w:rPr>
            </w:pPr>
            <w:r>
              <w:rPr>
                <w:color w:val="000000"/>
                <w:sz w:val="20"/>
                <w:szCs w:val="20"/>
              </w:rPr>
              <w:t>(0.027)</w:t>
            </w:r>
          </w:p>
        </w:tc>
        <w:tc>
          <w:tcPr>
            <w:tcW w:w="1166" w:type="dxa"/>
            <w:tcBorders>
              <w:top w:val="nil"/>
              <w:left w:val="nil"/>
              <w:bottom w:val="nil"/>
              <w:right w:val="nil"/>
            </w:tcBorders>
            <w:shd w:val="clear" w:color="auto" w:fill="auto"/>
            <w:noWrap/>
            <w:vAlign w:val="bottom"/>
            <w:hideMark/>
          </w:tcPr>
          <w:p w14:paraId="423993F0" w14:textId="483D4B57" w:rsidR="00DC7146" w:rsidRPr="00261857" w:rsidRDefault="00DC7146" w:rsidP="00DC7146">
            <w:pPr>
              <w:jc w:val="center"/>
              <w:rPr>
                <w:rFonts w:eastAsia="Times New Roman" w:cs="Times New Roman"/>
                <w:color w:val="000000"/>
                <w:sz w:val="20"/>
                <w:szCs w:val="20"/>
              </w:rPr>
            </w:pPr>
            <w:r>
              <w:rPr>
                <w:color w:val="000000"/>
                <w:sz w:val="20"/>
                <w:szCs w:val="20"/>
              </w:rPr>
              <w:t>(0.027)</w:t>
            </w:r>
          </w:p>
        </w:tc>
      </w:tr>
      <w:tr w:rsidR="00DC7146" w:rsidRPr="00261857" w14:paraId="656069DA" w14:textId="77777777" w:rsidTr="00DC7146">
        <w:trPr>
          <w:trHeight w:val="255"/>
        </w:trPr>
        <w:tc>
          <w:tcPr>
            <w:tcW w:w="1920" w:type="dxa"/>
            <w:tcBorders>
              <w:top w:val="nil"/>
              <w:left w:val="nil"/>
              <w:bottom w:val="nil"/>
              <w:right w:val="nil"/>
            </w:tcBorders>
            <w:shd w:val="clear" w:color="auto" w:fill="auto"/>
            <w:noWrap/>
            <w:vAlign w:val="bottom"/>
            <w:hideMark/>
          </w:tcPr>
          <w:p w14:paraId="6A7F5FB6" w14:textId="366BDB78" w:rsidR="00DC7146" w:rsidRPr="00261857" w:rsidRDefault="00DC7146" w:rsidP="00DC7146">
            <w:pPr>
              <w:rPr>
                <w:rFonts w:eastAsia="Times New Roman" w:cs="Times New Roman"/>
                <w:b/>
                <w:bCs/>
                <w:color w:val="000000"/>
                <w:sz w:val="20"/>
                <w:szCs w:val="20"/>
              </w:rPr>
            </w:pPr>
            <w:r>
              <w:rPr>
                <w:b/>
                <w:bCs/>
                <w:color w:val="000000"/>
                <w:sz w:val="20"/>
                <w:szCs w:val="20"/>
              </w:rPr>
              <w:t>DL x Gr 2 AY</w:t>
            </w:r>
          </w:p>
        </w:tc>
        <w:tc>
          <w:tcPr>
            <w:tcW w:w="1214" w:type="dxa"/>
            <w:tcBorders>
              <w:top w:val="nil"/>
              <w:left w:val="nil"/>
              <w:bottom w:val="nil"/>
              <w:right w:val="nil"/>
            </w:tcBorders>
            <w:shd w:val="clear" w:color="auto" w:fill="auto"/>
            <w:noWrap/>
            <w:vAlign w:val="bottom"/>
            <w:hideMark/>
          </w:tcPr>
          <w:p w14:paraId="3387AE59" w14:textId="48C2CE34" w:rsidR="00DC7146" w:rsidRPr="00261857" w:rsidRDefault="00DC7146" w:rsidP="00DC7146">
            <w:pPr>
              <w:jc w:val="center"/>
              <w:rPr>
                <w:rFonts w:eastAsia="Times New Roman" w:cs="Times New Roman"/>
                <w:b/>
                <w:bCs/>
                <w:color w:val="000000"/>
                <w:sz w:val="20"/>
                <w:szCs w:val="20"/>
              </w:rPr>
            </w:pPr>
            <w:r>
              <w:rPr>
                <w:b/>
                <w:bCs/>
                <w:color w:val="000000"/>
                <w:sz w:val="20"/>
                <w:szCs w:val="20"/>
              </w:rPr>
              <w:t>0.182***</w:t>
            </w:r>
          </w:p>
        </w:tc>
        <w:tc>
          <w:tcPr>
            <w:tcW w:w="1213" w:type="dxa"/>
            <w:tcBorders>
              <w:top w:val="nil"/>
              <w:left w:val="nil"/>
              <w:bottom w:val="nil"/>
              <w:right w:val="nil"/>
            </w:tcBorders>
            <w:shd w:val="clear" w:color="auto" w:fill="auto"/>
            <w:noWrap/>
            <w:vAlign w:val="bottom"/>
            <w:hideMark/>
          </w:tcPr>
          <w:p w14:paraId="77384F04" w14:textId="27DEE00A" w:rsidR="00DC7146" w:rsidRPr="00261857" w:rsidRDefault="00DC7146" w:rsidP="00DC7146">
            <w:pPr>
              <w:jc w:val="center"/>
              <w:rPr>
                <w:rFonts w:eastAsia="Times New Roman" w:cs="Times New Roman"/>
                <w:b/>
                <w:bCs/>
                <w:color w:val="000000"/>
                <w:sz w:val="20"/>
                <w:szCs w:val="20"/>
              </w:rPr>
            </w:pPr>
            <w:r>
              <w:rPr>
                <w:b/>
                <w:bCs/>
                <w:color w:val="000000"/>
                <w:sz w:val="20"/>
                <w:szCs w:val="20"/>
              </w:rPr>
              <w:t>0.184***</w:t>
            </w:r>
          </w:p>
        </w:tc>
        <w:tc>
          <w:tcPr>
            <w:tcW w:w="1213" w:type="dxa"/>
            <w:tcBorders>
              <w:top w:val="nil"/>
              <w:left w:val="nil"/>
              <w:bottom w:val="nil"/>
              <w:right w:val="nil"/>
            </w:tcBorders>
            <w:shd w:val="clear" w:color="auto" w:fill="auto"/>
            <w:noWrap/>
            <w:vAlign w:val="bottom"/>
            <w:hideMark/>
          </w:tcPr>
          <w:p w14:paraId="463C3F9E" w14:textId="0462E843" w:rsidR="00DC7146" w:rsidRPr="00261857" w:rsidRDefault="00DC7146" w:rsidP="00DC7146">
            <w:pPr>
              <w:jc w:val="center"/>
              <w:rPr>
                <w:rFonts w:eastAsia="Times New Roman" w:cs="Times New Roman"/>
                <w:b/>
                <w:bCs/>
                <w:color w:val="000000"/>
                <w:sz w:val="20"/>
                <w:szCs w:val="20"/>
              </w:rPr>
            </w:pPr>
            <w:r>
              <w:rPr>
                <w:b/>
                <w:bCs/>
                <w:color w:val="000000"/>
                <w:sz w:val="20"/>
                <w:szCs w:val="20"/>
              </w:rPr>
              <w:t>0.184***</w:t>
            </w:r>
          </w:p>
        </w:tc>
        <w:tc>
          <w:tcPr>
            <w:tcW w:w="1166" w:type="dxa"/>
            <w:tcBorders>
              <w:top w:val="nil"/>
              <w:left w:val="nil"/>
              <w:bottom w:val="nil"/>
              <w:right w:val="nil"/>
            </w:tcBorders>
            <w:shd w:val="clear" w:color="auto" w:fill="auto"/>
            <w:noWrap/>
            <w:vAlign w:val="bottom"/>
            <w:hideMark/>
          </w:tcPr>
          <w:p w14:paraId="10617149" w14:textId="60813F33" w:rsidR="00DC7146" w:rsidRPr="00261857" w:rsidRDefault="00DC7146" w:rsidP="00DC7146">
            <w:pPr>
              <w:jc w:val="center"/>
              <w:rPr>
                <w:rFonts w:eastAsia="Times New Roman" w:cs="Times New Roman"/>
                <w:b/>
                <w:bCs/>
                <w:color w:val="000000"/>
                <w:sz w:val="20"/>
                <w:szCs w:val="20"/>
              </w:rPr>
            </w:pPr>
            <w:r>
              <w:rPr>
                <w:b/>
                <w:bCs/>
                <w:color w:val="000000"/>
                <w:sz w:val="20"/>
                <w:szCs w:val="20"/>
              </w:rPr>
              <w:t>0.089*</w:t>
            </w:r>
          </w:p>
        </w:tc>
        <w:tc>
          <w:tcPr>
            <w:tcW w:w="1166" w:type="dxa"/>
            <w:tcBorders>
              <w:top w:val="nil"/>
              <w:left w:val="nil"/>
              <w:bottom w:val="nil"/>
              <w:right w:val="nil"/>
            </w:tcBorders>
            <w:shd w:val="clear" w:color="auto" w:fill="auto"/>
            <w:noWrap/>
            <w:vAlign w:val="bottom"/>
            <w:hideMark/>
          </w:tcPr>
          <w:p w14:paraId="0543ABAE" w14:textId="32D2F00E" w:rsidR="00DC7146" w:rsidRPr="00261857" w:rsidRDefault="00DC7146" w:rsidP="00DC7146">
            <w:pPr>
              <w:jc w:val="center"/>
              <w:rPr>
                <w:rFonts w:eastAsia="Times New Roman" w:cs="Times New Roman"/>
                <w:b/>
                <w:bCs/>
                <w:color w:val="000000"/>
                <w:sz w:val="20"/>
                <w:szCs w:val="20"/>
              </w:rPr>
            </w:pPr>
            <w:r>
              <w:rPr>
                <w:b/>
                <w:bCs/>
                <w:color w:val="000000"/>
                <w:sz w:val="20"/>
                <w:szCs w:val="20"/>
              </w:rPr>
              <w:t>0.093*</w:t>
            </w:r>
          </w:p>
        </w:tc>
        <w:tc>
          <w:tcPr>
            <w:tcW w:w="1166" w:type="dxa"/>
            <w:tcBorders>
              <w:top w:val="nil"/>
              <w:left w:val="nil"/>
              <w:bottom w:val="nil"/>
              <w:right w:val="nil"/>
            </w:tcBorders>
            <w:shd w:val="clear" w:color="auto" w:fill="auto"/>
            <w:noWrap/>
            <w:vAlign w:val="bottom"/>
            <w:hideMark/>
          </w:tcPr>
          <w:p w14:paraId="101DE17E" w14:textId="5B44652A" w:rsidR="00DC7146" w:rsidRPr="00261857" w:rsidRDefault="00DC7146" w:rsidP="00DC7146">
            <w:pPr>
              <w:jc w:val="center"/>
              <w:rPr>
                <w:rFonts w:eastAsia="Times New Roman" w:cs="Times New Roman"/>
                <w:b/>
                <w:bCs/>
                <w:color w:val="000000"/>
                <w:sz w:val="20"/>
                <w:szCs w:val="20"/>
              </w:rPr>
            </w:pPr>
            <w:r>
              <w:rPr>
                <w:b/>
                <w:bCs/>
                <w:color w:val="000000"/>
                <w:sz w:val="20"/>
                <w:szCs w:val="20"/>
              </w:rPr>
              <w:t>0.093*</w:t>
            </w:r>
          </w:p>
        </w:tc>
      </w:tr>
      <w:tr w:rsidR="00DC7146" w:rsidRPr="00261857" w14:paraId="4E2BE166" w14:textId="77777777" w:rsidTr="00DC7146">
        <w:trPr>
          <w:trHeight w:val="255"/>
        </w:trPr>
        <w:tc>
          <w:tcPr>
            <w:tcW w:w="1920" w:type="dxa"/>
            <w:tcBorders>
              <w:top w:val="nil"/>
              <w:left w:val="nil"/>
              <w:bottom w:val="nil"/>
              <w:right w:val="nil"/>
            </w:tcBorders>
            <w:shd w:val="clear" w:color="auto" w:fill="auto"/>
            <w:noWrap/>
            <w:vAlign w:val="bottom"/>
            <w:hideMark/>
          </w:tcPr>
          <w:p w14:paraId="3EC9AA2F"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5992ACAE" w14:textId="4BCFC2DB" w:rsidR="00DC7146" w:rsidRPr="00261857" w:rsidRDefault="00DC7146" w:rsidP="00DC7146">
            <w:pPr>
              <w:jc w:val="center"/>
              <w:rPr>
                <w:rFonts w:eastAsia="Times New Roman" w:cs="Times New Roman"/>
                <w:color w:val="000000"/>
                <w:sz w:val="20"/>
                <w:szCs w:val="20"/>
              </w:rPr>
            </w:pPr>
            <w:r>
              <w:rPr>
                <w:color w:val="000000"/>
                <w:sz w:val="20"/>
                <w:szCs w:val="20"/>
              </w:rPr>
              <w:t>(0.063)</w:t>
            </w:r>
          </w:p>
        </w:tc>
        <w:tc>
          <w:tcPr>
            <w:tcW w:w="1213" w:type="dxa"/>
            <w:tcBorders>
              <w:top w:val="nil"/>
              <w:left w:val="nil"/>
              <w:bottom w:val="nil"/>
              <w:right w:val="nil"/>
            </w:tcBorders>
            <w:shd w:val="clear" w:color="auto" w:fill="auto"/>
            <w:noWrap/>
            <w:vAlign w:val="bottom"/>
            <w:hideMark/>
          </w:tcPr>
          <w:p w14:paraId="6AF786B8" w14:textId="6909C4BE" w:rsidR="00DC7146" w:rsidRPr="00261857" w:rsidRDefault="00DC7146" w:rsidP="00DC7146">
            <w:pPr>
              <w:jc w:val="center"/>
              <w:rPr>
                <w:rFonts w:eastAsia="Times New Roman" w:cs="Times New Roman"/>
                <w:color w:val="000000"/>
                <w:sz w:val="20"/>
                <w:szCs w:val="20"/>
              </w:rPr>
            </w:pPr>
            <w:r>
              <w:rPr>
                <w:color w:val="000000"/>
                <w:sz w:val="20"/>
                <w:szCs w:val="20"/>
              </w:rPr>
              <w:t>(0.063)</w:t>
            </w:r>
          </w:p>
        </w:tc>
        <w:tc>
          <w:tcPr>
            <w:tcW w:w="1213" w:type="dxa"/>
            <w:tcBorders>
              <w:top w:val="nil"/>
              <w:left w:val="nil"/>
              <w:bottom w:val="nil"/>
              <w:right w:val="nil"/>
            </w:tcBorders>
            <w:shd w:val="clear" w:color="auto" w:fill="auto"/>
            <w:noWrap/>
            <w:vAlign w:val="bottom"/>
            <w:hideMark/>
          </w:tcPr>
          <w:p w14:paraId="34F8362F" w14:textId="06CF918C" w:rsidR="00DC7146" w:rsidRPr="00261857" w:rsidRDefault="00DC7146" w:rsidP="00DC7146">
            <w:pPr>
              <w:jc w:val="center"/>
              <w:rPr>
                <w:rFonts w:eastAsia="Times New Roman" w:cs="Times New Roman"/>
                <w:color w:val="000000"/>
                <w:sz w:val="20"/>
                <w:szCs w:val="20"/>
              </w:rPr>
            </w:pPr>
            <w:r>
              <w:rPr>
                <w:color w:val="000000"/>
                <w:sz w:val="20"/>
                <w:szCs w:val="20"/>
              </w:rPr>
              <w:t>(0.063)</w:t>
            </w:r>
          </w:p>
        </w:tc>
        <w:tc>
          <w:tcPr>
            <w:tcW w:w="1166" w:type="dxa"/>
            <w:tcBorders>
              <w:top w:val="nil"/>
              <w:left w:val="nil"/>
              <w:bottom w:val="nil"/>
              <w:right w:val="nil"/>
            </w:tcBorders>
            <w:shd w:val="clear" w:color="auto" w:fill="auto"/>
            <w:noWrap/>
            <w:vAlign w:val="bottom"/>
            <w:hideMark/>
          </w:tcPr>
          <w:p w14:paraId="31436DEF" w14:textId="3A529962" w:rsidR="00DC7146" w:rsidRPr="00261857" w:rsidRDefault="00DC7146" w:rsidP="00DC7146">
            <w:pPr>
              <w:jc w:val="center"/>
              <w:rPr>
                <w:rFonts w:eastAsia="Times New Roman" w:cs="Times New Roman"/>
                <w:color w:val="000000"/>
                <w:sz w:val="20"/>
                <w:szCs w:val="20"/>
              </w:rPr>
            </w:pPr>
            <w:r>
              <w:rPr>
                <w:color w:val="000000"/>
                <w:sz w:val="20"/>
                <w:szCs w:val="20"/>
              </w:rPr>
              <w:t>(0.049)</w:t>
            </w:r>
          </w:p>
        </w:tc>
        <w:tc>
          <w:tcPr>
            <w:tcW w:w="1166" w:type="dxa"/>
            <w:tcBorders>
              <w:top w:val="nil"/>
              <w:left w:val="nil"/>
              <w:bottom w:val="nil"/>
              <w:right w:val="nil"/>
            </w:tcBorders>
            <w:shd w:val="clear" w:color="auto" w:fill="auto"/>
            <w:noWrap/>
            <w:vAlign w:val="bottom"/>
            <w:hideMark/>
          </w:tcPr>
          <w:p w14:paraId="02DD40E5" w14:textId="763B329E" w:rsidR="00DC7146" w:rsidRPr="00261857" w:rsidRDefault="00DC7146" w:rsidP="00DC7146">
            <w:pPr>
              <w:jc w:val="center"/>
              <w:rPr>
                <w:rFonts w:eastAsia="Times New Roman" w:cs="Times New Roman"/>
                <w:color w:val="000000"/>
                <w:sz w:val="20"/>
                <w:szCs w:val="20"/>
              </w:rPr>
            </w:pPr>
            <w:r>
              <w:rPr>
                <w:color w:val="000000"/>
                <w:sz w:val="20"/>
                <w:szCs w:val="20"/>
              </w:rPr>
              <w:t>(0.049)</w:t>
            </w:r>
          </w:p>
        </w:tc>
        <w:tc>
          <w:tcPr>
            <w:tcW w:w="1166" w:type="dxa"/>
            <w:tcBorders>
              <w:top w:val="nil"/>
              <w:left w:val="nil"/>
              <w:bottom w:val="nil"/>
              <w:right w:val="nil"/>
            </w:tcBorders>
            <w:shd w:val="clear" w:color="auto" w:fill="auto"/>
            <w:noWrap/>
            <w:vAlign w:val="bottom"/>
            <w:hideMark/>
          </w:tcPr>
          <w:p w14:paraId="7D0F4736" w14:textId="3ECB493A" w:rsidR="00DC7146" w:rsidRPr="00261857" w:rsidRDefault="00DC7146" w:rsidP="00DC7146">
            <w:pPr>
              <w:jc w:val="center"/>
              <w:rPr>
                <w:rFonts w:eastAsia="Times New Roman" w:cs="Times New Roman"/>
                <w:color w:val="000000"/>
                <w:sz w:val="20"/>
                <w:szCs w:val="20"/>
              </w:rPr>
            </w:pPr>
            <w:r>
              <w:rPr>
                <w:color w:val="000000"/>
                <w:sz w:val="20"/>
                <w:szCs w:val="20"/>
              </w:rPr>
              <w:t>(0.049)</w:t>
            </w:r>
          </w:p>
        </w:tc>
      </w:tr>
      <w:tr w:rsidR="00DC7146" w:rsidRPr="00261857" w14:paraId="67FE98A6" w14:textId="77777777" w:rsidTr="00DC7146">
        <w:trPr>
          <w:trHeight w:val="255"/>
        </w:trPr>
        <w:tc>
          <w:tcPr>
            <w:tcW w:w="1920" w:type="dxa"/>
            <w:tcBorders>
              <w:top w:val="nil"/>
              <w:left w:val="nil"/>
              <w:bottom w:val="nil"/>
              <w:right w:val="nil"/>
            </w:tcBorders>
            <w:shd w:val="clear" w:color="auto" w:fill="auto"/>
            <w:noWrap/>
            <w:vAlign w:val="bottom"/>
            <w:hideMark/>
          </w:tcPr>
          <w:p w14:paraId="0472DD80" w14:textId="7F7E7E1D" w:rsidR="00DC7146" w:rsidRPr="00261857" w:rsidRDefault="00DC7146" w:rsidP="00DC7146">
            <w:pPr>
              <w:rPr>
                <w:rFonts w:eastAsia="Times New Roman" w:cs="Times New Roman"/>
                <w:color w:val="000000"/>
                <w:sz w:val="20"/>
                <w:szCs w:val="20"/>
              </w:rPr>
            </w:pPr>
            <w:r>
              <w:rPr>
                <w:color w:val="000000"/>
                <w:sz w:val="20"/>
                <w:szCs w:val="20"/>
              </w:rPr>
              <w:t>Gr 2 Summer</w:t>
            </w:r>
          </w:p>
        </w:tc>
        <w:tc>
          <w:tcPr>
            <w:tcW w:w="1214" w:type="dxa"/>
            <w:tcBorders>
              <w:top w:val="nil"/>
              <w:left w:val="nil"/>
              <w:bottom w:val="nil"/>
              <w:right w:val="nil"/>
            </w:tcBorders>
            <w:shd w:val="clear" w:color="auto" w:fill="auto"/>
            <w:noWrap/>
            <w:vAlign w:val="bottom"/>
            <w:hideMark/>
          </w:tcPr>
          <w:p w14:paraId="45A82A00" w14:textId="01253E46" w:rsidR="00DC7146" w:rsidRPr="00261857" w:rsidRDefault="00DC7146" w:rsidP="00DC7146">
            <w:pPr>
              <w:jc w:val="center"/>
              <w:rPr>
                <w:rFonts w:eastAsia="Times New Roman" w:cs="Times New Roman"/>
                <w:color w:val="000000"/>
                <w:sz w:val="20"/>
                <w:szCs w:val="20"/>
              </w:rPr>
            </w:pPr>
            <w:r>
              <w:rPr>
                <w:color w:val="000000"/>
                <w:sz w:val="20"/>
                <w:szCs w:val="20"/>
              </w:rPr>
              <w:t>-0.489***</w:t>
            </w:r>
          </w:p>
        </w:tc>
        <w:tc>
          <w:tcPr>
            <w:tcW w:w="1213" w:type="dxa"/>
            <w:tcBorders>
              <w:top w:val="nil"/>
              <w:left w:val="nil"/>
              <w:bottom w:val="nil"/>
              <w:right w:val="nil"/>
            </w:tcBorders>
            <w:shd w:val="clear" w:color="auto" w:fill="auto"/>
            <w:noWrap/>
            <w:vAlign w:val="bottom"/>
            <w:hideMark/>
          </w:tcPr>
          <w:p w14:paraId="5F602C2C" w14:textId="0986620E" w:rsidR="00DC7146" w:rsidRPr="00261857" w:rsidRDefault="00DC7146" w:rsidP="00DC7146">
            <w:pPr>
              <w:jc w:val="center"/>
              <w:rPr>
                <w:rFonts w:eastAsia="Times New Roman" w:cs="Times New Roman"/>
                <w:color w:val="000000"/>
                <w:sz w:val="20"/>
                <w:szCs w:val="20"/>
              </w:rPr>
            </w:pPr>
            <w:r>
              <w:rPr>
                <w:color w:val="000000"/>
                <w:sz w:val="20"/>
                <w:szCs w:val="20"/>
              </w:rPr>
              <w:t>-0.474***</w:t>
            </w:r>
          </w:p>
        </w:tc>
        <w:tc>
          <w:tcPr>
            <w:tcW w:w="1213" w:type="dxa"/>
            <w:tcBorders>
              <w:top w:val="nil"/>
              <w:left w:val="nil"/>
              <w:bottom w:val="nil"/>
              <w:right w:val="nil"/>
            </w:tcBorders>
            <w:shd w:val="clear" w:color="auto" w:fill="auto"/>
            <w:noWrap/>
            <w:vAlign w:val="bottom"/>
            <w:hideMark/>
          </w:tcPr>
          <w:p w14:paraId="078B7C97" w14:textId="70A3242D" w:rsidR="00DC7146" w:rsidRPr="00261857" w:rsidRDefault="00DC7146" w:rsidP="00DC7146">
            <w:pPr>
              <w:jc w:val="center"/>
              <w:rPr>
                <w:rFonts w:eastAsia="Times New Roman" w:cs="Times New Roman"/>
                <w:color w:val="000000"/>
                <w:sz w:val="20"/>
                <w:szCs w:val="20"/>
              </w:rPr>
            </w:pPr>
            <w:r>
              <w:rPr>
                <w:color w:val="000000"/>
                <w:sz w:val="20"/>
                <w:szCs w:val="20"/>
              </w:rPr>
              <w:t>-0.473***</w:t>
            </w:r>
          </w:p>
        </w:tc>
        <w:tc>
          <w:tcPr>
            <w:tcW w:w="1166" w:type="dxa"/>
            <w:tcBorders>
              <w:top w:val="nil"/>
              <w:left w:val="nil"/>
              <w:bottom w:val="nil"/>
              <w:right w:val="nil"/>
            </w:tcBorders>
            <w:shd w:val="clear" w:color="auto" w:fill="auto"/>
            <w:noWrap/>
            <w:vAlign w:val="bottom"/>
            <w:hideMark/>
          </w:tcPr>
          <w:p w14:paraId="0D374FDA" w14:textId="1B294426" w:rsidR="00DC7146" w:rsidRPr="00261857" w:rsidRDefault="00DC7146" w:rsidP="00DC7146">
            <w:pPr>
              <w:jc w:val="center"/>
              <w:rPr>
                <w:rFonts w:eastAsia="Times New Roman" w:cs="Times New Roman"/>
                <w:color w:val="000000"/>
                <w:sz w:val="20"/>
                <w:szCs w:val="20"/>
              </w:rPr>
            </w:pPr>
            <w:r>
              <w:rPr>
                <w:color w:val="000000"/>
                <w:sz w:val="20"/>
                <w:szCs w:val="20"/>
              </w:rPr>
              <w:t>-0.183**</w:t>
            </w:r>
          </w:p>
        </w:tc>
        <w:tc>
          <w:tcPr>
            <w:tcW w:w="1166" w:type="dxa"/>
            <w:tcBorders>
              <w:top w:val="nil"/>
              <w:left w:val="nil"/>
              <w:bottom w:val="nil"/>
              <w:right w:val="nil"/>
            </w:tcBorders>
            <w:shd w:val="clear" w:color="auto" w:fill="auto"/>
            <w:noWrap/>
            <w:vAlign w:val="bottom"/>
            <w:hideMark/>
          </w:tcPr>
          <w:p w14:paraId="1DFF0B01" w14:textId="347278E7" w:rsidR="00DC7146" w:rsidRPr="00261857" w:rsidRDefault="00DC7146" w:rsidP="00DC7146">
            <w:pPr>
              <w:jc w:val="center"/>
              <w:rPr>
                <w:rFonts w:eastAsia="Times New Roman" w:cs="Times New Roman"/>
                <w:color w:val="000000"/>
                <w:sz w:val="20"/>
                <w:szCs w:val="20"/>
              </w:rPr>
            </w:pPr>
            <w:r>
              <w:rPr>
                <w:color w:val="000000"/>
                <w:sz w:val="20"/>
                <w:szCs w:val="20"/>
              </w:rPr>
              <w:t>-0.160*</w:t>
            </w:r>
          </w:p>
        </w:tc>
        <w:tc>
          <w:tcPr>
            <w:tcW w:w="1166" w:type="dxa"/>
            <w:tcBorders>
              <w:top w:val="nil"/>
              <w:left w:val="nil"/>
              <w:bottom w:val="nil"/>
              <w:right w:val="nil"/>
            </w:tcBorders>
            <w:shd w:val="clear" w:color="auto" w:fill="auto"/>
            <w:noWrap/>
            <w:vAlign w:val="bottom"/>
            <w:hideMark/>
          </w:tcPr>
          <w:p w14:paraId="5C55F0AA" w14:textId="4033EF85" w:rsidR="00DC7146" w:rsidRPr="00261857" w:rsidRDefault="00DC7146" w:rsidP="00DC7146">
            <w:pPr>
              <w:jc w:val="center"/>
              <w:rPr>
                <w:rFonts w:eastAsia="Times New Roman" w:cs="Times New Roman"/>
                <w:color w:val="000000"/>
                <w:sz w:val="20"/>
                <w:szCs w:val="20"/>
              </w:rPr>
            </w:pPr>
            <w:r>
              <w:rPr>
                <w:color w:val="000000"/>
                <w:sz w:val="20"/>
                <w:szCs w:val="20"/>
              </w:rPr>
              <w:t>-0.160*</w:t>
            </w:r>
          </w:p>
        </w:tc>
      </w:tr>
      <w:tr w:rsidR="00DC7146" w:rsidRPr="00261857" w14:paraId="194DDCD8" w14:textId="77777777" w:rsidTr="00DC7146">
        <w:trPr>
          <w:trHeight w:val="255"/>
        </w:trPr>
        <w:tc>
          <w:tcPr>
            <w:tcW w:w="1920" w:type="dxa"/>
            <w:tcBorders>
              <w:top w:val="nil"/>
              <w:left w:val="nil"/>
              <w:bottom w:val="nil"/>
              <w:right w:val="nil"/>
            </w:tcBorders>
            <w:shd w:val="clear" w:color="auto" w:fill="auto"/>
            <w:noWrap/>
            <w:vAlign w:val="bottom"/>
            <w:hideMark/>
          </w:tcPr>
          <w:p w14:paraId="2D3311EA"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1B431048" w14:textId="62E2965A" w:rsidR="00DC7146" w:rsidRPr="00261857" w:rsidRDefault="00DC7146" w:rsidP="00DC7146">
            <w:pPr>
              <w:jc w:val="center"/>
              <w:rPr>
                <w:rFonts w:eastAsia="Times New Roman" w:cs="Times New Roman"/>
                <w:color w:val="000000"/>
                <w:sz w:val="20"/>
                <w:szCs w:val="20"/>
              </w:rPr>
            </w:pPr>
            <w:r>
              <w:rPr>
                <w:color w:val="000000"/>
                <w:sz w:val="20"/>
                <w:szCs w:val="20"/>
              </w:rPr>
              <w:t>(0.106)</w:t>
            </w:r>
          </w:p>
        </w:tc>
        <w:tc>
          <w:tcPr>
            <w:tcW w:w="1213" w:type="dxa"/>
            <w:tcBorders>
              <w:top w:val="nil"/>
              <w:left w:val="nil"/>
              <w:bottom w:val="nil"/>
              <w:right w:val="nil"/>
            </w:tcBorders>
            <w:shd w:val="clear" w:color="auto" w:fill="auto"/>
            <w:noWrap/>
            <w:vAlign w:val="bottom"/>
            <w:hideMark/>
          </w:tcPr>
          <w:p w14:paraId="76D45E90" w14:textId="345B6F16" w:rsidR="00DC7146" w:rsidRPr="00261857" w:rsidRDefault="00DC7146" w:rsidP="00DC7146">
            <w:pPr>
              <w:jc w:val="center"/>
              <w:rPr>
                <w:rFonts w:eastAsia="Times New Roman" w:cs="Times New Roman"/>
                <w:color w:val="000000"/>
                <w:sz w:val="20"/>
                <w:szCs w:val="20"/>
              </w:rPr>
            </w:pPr>
            <w:r>
              <w:rPr>
                <w:color w:val="000000"/>
                <w:sz w:val="20"/>
                <w:szCs w:val="20"/>
              </w:rPr>
              <w:t>(0.105)</w:t>
            </w:r>
          </w:p>
        </w:tc>
        <w:tc>
          <w:tcPr>
            <w:tcW w:w="1213" w:type="dxa"/>
            <w:tcBorders>
              <w:top w:val="nil"/>
              <w:left w:val="nil"/>
              <w:bottom w:val="nil"/>
              <w:right w:val="nil"/>
            </w:tcBorders>
            <w:shd w:val="clear" w:color="auto" w:fill="auto"/>
            <w:noWrap/>
            <w:vAlign w:val="bottom"/>
            <w:hideMark/>
          </w:tcPr>
          <w:p w14:paraId="4C3CB44C" w14:textId="43A430C8" w:rsidR="00DC7146" w:rsidRPr="00261857" w:rsidRDefault="00DC7146" w:rsidP="00DC7146">
            <w:pPr>
              <w:jc w:val="center"/>
              <w:rPr>
                <w:rFonts w:eastAsia="Times New Roman" w:cs="Times New Roman"/>
                <w:color w:val="000000"/>
                <w:sz w:val="20"/>
                <w:szCs w:val="20"/>
              </w:rPr>
            </w:pPr>
            <w:r>
              <w:rPr>
                <w:color w:val="000000"/>
                <w:sz w:val="20"/>
                <w:szCs w:val="20"/>
              </w:rPr>
              <w:t>(0.105)</w:t>
            </w:r>
          </w:p>
        </w:tc>
        <w:tc>
          <w:tcPr>
            <w:tcW w:w="1166" w:type="dxa"/>
            <w:tcBorders>
              <w:top w:val="nil"/>
              <w:left w:val="nil"/>
              <w:bottom w:val="nil"/>
              <w:right w:val="nil"/>
            </w:tcBorders>
            <w:shd w:val="clear" w:color="auto" w:fill="auto"/>
            <w:noWrap/>
            <w:vAlign w:val="bottom"/>
            <w:hideMark/>
          </w:tcPr>
          <w:p w14:paraId="4FDD965C" w14:textId="7AC05673" w:rsidR="00DC7146" w:rsidRPr="00261857" w:rsidRDefault="00DC7146" w:rsidP="00DC7146">
            <w:pPr>
              <w:jc w:val="center"/>
              <w:rPr>
                <w:rFonts w:eastAsia="Times New Roman" w:cs="Times New Roman"/>
                <w:color w:val="000000"/>
                <w:sz w:val="20"/>
                <w:szCs w:val="20"/>
              </w:rPr>
            </w:pPr>
            <w:r>
              <w:rPr>
                <w:color w:val="000000"/>
                <w:sz w:val="20"/>
                <w:szCs w:val="20"/>
              </w:rPr>
              <w:t>(0.088)</w:t>
            </w:r>
          </w:p>
        </w:tc>
        <w:tc>
          <w:tcPr>
            <w:tcW w:w="1166" w:type="dxa"/>
            <w:tcBorders>
              <w:top w:val="nil"/>
              <w:left w:val="nil"/>
              <w:bottom w:val="nil"/>
              <w:right w:val="nil"/>
            </w:tcBorders>
            <w:shd w:val="clear" w:color="auto" w:fill="auto"/>
            <w:noWrap/>
            <w:vAlign w:val="bottom"/>
            <w:hideMark/>
          </w:tcPr>
          <w:p w14:paraId="02DE1D98" w14:textId="7A29DE1B" w:rsidR="00DC7146" w:rsidRPr="00261857" w:rsidRDefault="00DC7146" w:rsidP="00DC7146">
            <w:pPr>
              <w:jc w:val="center"/>
              <w:rPr>
                <w:rFonts w:eastAsia="Times New Roman" w:cs="Times New Roman"/>
                <w:color w:val="000000"/>
                <w:sz w:val="20"/>
                <w:szCs w:val="20"/>
              </w:rPr>
            </w:pPr>
            <w:r>
              <w:rPr>
                <w:color w:val="000000"/>
                <w:sz w:val="20"/>
                <w:szCs w:val="20"/>
              </w:rPr>
              <w:t>(0.087)</w:t>
            </w:r>
          </w:p>
        </w:tc>
        <w:tc>
          <w:tcPr>
            <w:tcW w:w="1166" w:type="dxa"/>
            <w:tcBorders>
              <w:top w:val="nil"/>
              <w:left w:val="nil"/>
              <w:bottom w:val="nil"/>
              <w:right w:val="nil"/>
            </w:tcBorders>
            <w:shd w:val="clear" w:color="auto" w:fill="auto"/>
            <w:noWrap/>
            <w:vAlign w:val="bottom"/>
            <w:hideMark/>
          </w:tcPr>
          <w:p w14:paraId="1E21FF5A" w14:textId="6C9E1C7D" w:rsidR="00DC7146" w:rsidRPr="00261857" w:rsidRDefault="00DC7146" w:rsidP="00DC7146">
            <w:pPr>
              <w:jc w:val="center"/>
              <w:rPr>
                <w:rFonts w:eastAsia="Times New Roman" w:cs="Times New Roman"/>
                <w:color w:val="000000"/>
                <w:sz w:val="20"/>
                <w:szCs w:val="20"/>
              </w:rPr>
            </w:pPr>
            <w:r>
              <w:rPr>
                <w:color w:val="000000"/>
                <w:sz w:val="20"/>
                <w:szCs w:val="20"/>
              </w:rPr>
              <w:t>(0.087)</w:t>
            </w:r>
          </w:p>
        </w:tc>
      </w:tr>
      <w:tr w:rsidR="00DC7146" w:rsidRPr="00261857" w14:paraId="679EB256" w14:textId="77777777" w:rsidTr="00DC7146">
        <w:trPr>
          <w:trHeight w:val="255"/>
        </w:trPr>
        <w:tc>
          <w:tcPr>
            <w:tcW w:w="1920" w:type="dxa"/>
            <w:tcBorders>
              <w:top w:val="nil"/>
              <w:left w:val="nil"/>
              <w:bottom w:val="nil"/>
              <w:right w:val="nil"/>
            </w:tcBorders>
            <w:shd w:val="clear" w:color="auto" w:fill="auto"/>
            <w:noWrap/>
            <w:vAlign w:val="bottom"/>
            <w:hideMark/>
          </w:tcPr>
          <w:p w14:paraId="5B1DF6FA" w14:textId="101DFC4D" w:rsidR="00DC7146" w:rsidRPr="00261857" w:rsidRDefault="00DC7146" w:rsidP="00DC7146">
            <w:pPr>
              <w:rPr>
                <w:rFonts w:eastAsia="Times New Roman" w:cs="Times New Roman"/>
                <w:b/>
                <w:bCs/>
                <w:color w:val="000000"/>
                <w:sz w:val="20"/>
                <w:szCs w:val="20"/>
              </w:rPr>
            </w:pPr>
            <w:r>
              <w:rPr>
                <w:b/>
                <w:bCs/>
                <w:color w:val="000000"/>
                <w:sz w:val="20"/>
                <w:szCs w:val="20"/>
              </w:rPr>
              <w:t>DL x Gr 2 Summer</w:t>
            </w:r>
          </w:p>
        </w:tc>
        <w:tc>
          <w:tcPr>
            <w:tcW w:w="1214" w:type="dxa"/>
            <w:tcBorders>
              <w:top w:val="nil"/>
              <w:left w:val="nil"/>
              <w:bottom w:val="nil"/>
              <w:right w:val="nil"/>
            </w:tcBorders>
            <w:shd w:val="clear" w:color="auto" w:fill="auto"/>
            <w:noWrap/>
            <w:vAlign w:val="bottom"/>
            <w:hideMark/>
          </w:tcPr>
          <w:p w14:paraId="2798AA9D" w14:textId="5E540720" w:rsidR="00DC7146" w:rsidRPr="00261857" w:rsidRDefault="00DC7146" w:rsidP="00DC7146">
            <w:pPr>
              <w:jc w:val="center"/>
              <w:rPr>
                <w:rFonts w:eastAsia="Times New Roman" w:cs="Times New Roman"/>
                <w:b/>
                <w:bCs/>
                <w:color w:val="000000"/>
                <w:sz w:val="20"/>
                <w:szCs w:val="20"/>
              </w:rPr>
            </w:pPr>
            <w:r>
              <w:rPr>
                <w:b/>
                <w:bCs/>
                <w:color w:val="000000"/>
                <w:sz w:val="20"/>
                <w:szCs w:val="20"/>
              </w:rPr>
              <w:t>-1.115***</w:t>
            </w:r>
          </w:p>
        </w:tc>
        <w:tc>
          <w:tcPr>
            <w:tcW w:w="1213" w:type="dxa"/>
            <w:tcBorders>
              <w:top w:val="nil"/>
              <w:left w:val="nil"/>
              <w:bottom w:val="nil"/>
              <w:right w:val="nil"/>
            </w:tcBorders>
            <w:shd w:val="clear" w:color="auto" w:fill="auto"/>
            <w:noWrap/>
            <w:vAlign w:val="bottom"/>
            <w:hideMark/>
          </w:tcPr>
          <w:p w14:paraId="26D6220D" w14:textId="612CF6C5" w:rsidR="00DC7146" w:rsidRPr="00261857" w:rsidRDefault="00DC7146" w:rsidP="00DC7146">
            <w:pPr>
              <w:jc w:val="center"/>
              <w:rPr>
                <w:rFonts w:eastAsia="Times New Roman" w:cs="Times New Roman"/>
                <w:b/>
                <w:bCs/>
                <w:color w:val="000000"/>
                <w:sz w:val="20"/>
                <w:szCs w:val="20"/>
              </w:rPr>
            </w:pPr>
            <w:r>
              <w:rPr>
                <w:b/>
                <w:bCs/>
                <w:color w:val="000000"/>
                <w:sz w:val="20"/>
                <w:szCs w:val="20"/>
              </w:rPr>
              <w:t>-1.126***</w:t>
            </w:r>
          </w:p>
        </w:tc>
        <w:tc>
          <w:tcPr>
            <w:tcW w:w="1213" w:type="dxa"/>
            <w:tcBorders>
              <w:top w:val="nil"/>
              <w:left w:val="nil"/>
              <w:bottom w:val="nil"/>
              <w:right w:val="nil"/>
            </w:tcBorders>
            <w:shd w:val="clear" w:color="auto" w:fill="auto"/>
            <w:noWrap/>
            <w:vAlign w:val="bottom"/>
            <w:hideMark/>
          </w:tcPr>
          <w:p w14:paraId="7FE51E77" w14:textId="50967620" w:rsidR="00DC7146" w:rsidRPr="00261857" w:rsidRDefault="00DC7146" w:rsidP="00DC7146">
            <w:pPr>
              <w:jc w:val="center"/>
              <w:rPr>
                <w:rFonts w:eastAsia="Times New Roman" w:cs="Times New Roman"/>
                <w:b/>
                <w:bCs/>
                <w:color w:val="000000"/>
                <w:sz w:val="20"/>
                <w:szCs w:val="20"/>
              </w:rPr>
            </w:pPr>
            <w:r>
              <w:rPr>
                <w:b/>
                <w:bCs/>
                <w:color w:val="000000"/>
                <w:sz w:val="20"/>
                <w:szCs w:val="20"/>
              </w:rPr>
              <w:t>-1.126***</w:t>
            </w:r>
          </w:p>
        </w:tc>
        <w:tc>
          <w:tcPr>
            <w:tcW w:w="1166" w:type="dxa"/>
            <w:tcBorders>
              <w:top w:val="nil"/>
              <w:left w:val="nil"/>
              <w:bottom w:val="nil"/>
              <w:right w:val="nil"/>
            </w:tcBorders>
            <w:shd w:val="clear" w:color="auto" w:fill="auto"/>
            <w:noWrap/>
            <w:vAlign w:val="bottom"/>
            <w:hideMark/>
          </w:tcPr>
          <w:p w14:paraId="13CEC1F4" w14:textId="77627A13" w:rsidR="00DC7146" w:rsidRPr="00261857" w:rsidRDefault="00DC7146" w:rsidP="00DC7146">
            <w:pPr>
              <w:jc w:val="center"/>
              <w:rPr>
                <w:rFonts w:eastAsia="Times New Roman" w:cs="Times New Roman"/>
                <w:b/>
                <w:bCs/>
                <w:color w:val="000000"/>
                <w:sz w:val="20"/>
                <w:szCs w:val="20"/>
              </w:rPr>
            </w:pPr>
            <w:r>
              <w:rPr>
                <w:b/>
                <w:bCs/>
                <w:color w:val="000000"/>
                <w:sz w:val="20"/>
                <w:szCs w:val="20"/>
              </w:rPr>
              <w:t>-0.293**</w:t>
            </w:r>
          </w:p>
        </w:tc>
        <w:tc>
          <w:tcPr>
            <w:tcW w:w="1166" w:type="dxa"/>
            <w:tcBorders>
              <w:top w:val="nil"/>
              <w:left w:val="nil"/>
              <w:bottom w:val="nil"/>
              <w:right w:val="nil"/>
            </w:tcBorders>
            <w:shd w:val="clear" w:color="auto" w:fill="auto"/>
            <w:noWrap/>
            <w:vAlign w:val="bottom"/>
            <w:hideMark/>
          </w:tcPr>
          <w:p w14:paraId="7DF377E4" w14:textId="41C28D3E" w:rsidR="00DC7146" w:rsidRPr="00261857" w:rsidRDefault="00DC7146" w:rsidP="00DC7146">
            <w:pPr>
              <w:jc w:val="center"/>
              <w:rPr>
                <w:rFonts w:eastAsia="Times New Roman" w:cs="Times New Roman"/>
                <w:b/>
                <w:bCs/>
                <w:color w:val="000000"/>
                <w:sz w:val="20"/>
                <w:szCs w:val="20"/>
              </w:rPr>
            </w:pPr>
            <w:r>
              <w:rPr>
                <w:b/>
                <w:bCs/>
                <w:color w:val="000000"/>
                <w:sz w:val="20"/>
                <w:szCs w:val="20"/>
              </w:rPr>
              <w:t>-0.312**</w:t>
            </w:r>
          </w:p>
        </w:tc>
        <w:tc>
          <w:tcPr>
            <w:tcW w:w="1166" w:type="dxa"/>
            <w:tcBorders>
              <w:top w:val="nil"/>
              <w:left w:val="nil"/>
              <w:bottom w:val="nil"/>
              <w:right w:val="nil"/>
            </w:tcBorders>
            <w:shd w:val="clear" w:color="auto" w:fill="auto"/>
            <w:noWrap/>
            <w:vAlign w:val="bottom"/>
            <w:hideMark/>
          </w:tcPr>
          <w:p w14:paraId="004B6642" w14:textId="2FDC470A" w:rsidR="00DC7146" w:rsidRPr="00261857" w:rsidRDefault="00DC7146" w:rsidP="00DC7146">
            <w:pPr>
              <w:jc w:val="center"/>
              <w:rPr>
                <w:rFonts w:eastAsia="Times New Roman" w:cs="Times New Roman"/>
                <w:b/>
                <w:bCs/>
                <w:color w:val="000000"/>
                <w:sz w:val="20"/>
                <w:szCs w:val="20"/>
              </w:rPr>
            </w:pPr>
            <w:r>
              <w:rPr>
                <w:b/>
                <w:bCs/>
                <w:color w:val="000000"/>
                <w:sz w:val="20"/>
                <w:szCs w:val="20"/>
              </w:rPr>
              <w:t>-0.312**</w:t>
            </w:r>
          </w:p>
        </w:tc>
      </w:tr>
      <w:tr w:rsidR="00DC7146" w:rsidRPr="00261857" w14:paraId="1046090B" w14:textId="77777777" w:rsidTr="00DC7146">
        <w:trPr>
          <w:trHeight w:val="255"/>
        </w:trPr>
        <w:tc>
          <w:tcPr>
            <w:tcW w:w="1920" w:type="dxa"/>
            <w:tcBorders>
              <w:top w:val="nil"/>
              <w:left w:val="nil"/>
              <w:bottom w:val="nil"/>
              <w:right w:val="nil"/>
            </w:tcBorders>
            <w:shd w:val="clear" w:color="auto" w:fill="auto"/>
            <w:noWrap/>
            <w:vAlign w:val="bottom"/>
            <w:hideMark/>
          </w:tcPr>
          <w:p w14:paraId="4E2C8E92"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1E664C89" w14:textId="3C5A799B" w:rsidR="00DC7146" w:rsidRPr="00261857" w:rsidRDefault="00DC7146" w:rsidP="00DC7146">
            <w:pPr>
              <w:jc w:val="center"/>
              <w:rPr>
                <w:rFonts w:eastAsia="Times New Roman" w:cs="Times New Roman"/>
                <w:color w:val="000000"/>
                <w:sz w:val="20"/>
                <w:szCs w:val="20"/>
              </w:rPr>
            </w:pPr>
            <w:r>
              <w:rPr>
                <w:color w:val="000000"/>
                <w:sz w:val="20"/>
                <w:szCs w:val="20"/>
              </w:rPr>
              <w:t>(0.148)</w:t>
            </w:r>
          </w:p>
        </w:tc>
        <w:tc>
          <w:tcPr>
            <w:tcW w:w="1213" w:type="dxa"/>
            <w:tcBorders>
              <w:top w:val="nil"/>
              <w:left w:val="nil"/>
              <w:bottom w:val="nil"/>
              <w:right w:val="nil"/>
            </w:tcBorders>
            <w:shd w:val="clear" w:color="auto" w:fill="auto"/>
            <w:noWrap/>
            <w:vAlign w:val="bottom"/>
            <w:hideMark/>
          </w:tcPr>
          <w:p w14:paraId="5592E0E9" w14:textId="470DEDC7" w:rsidR="00DC7146" w:rsidRPr="00261857" w:rsidRDefault="00DC7146" w:rsidP="00DC7146">
            <w:pPr>
              <w:jc w:val="center"/>
              <w:rPr>
                <w:rFonts w:eastAsia="Times New Roman" w:cs="Times New Roman"/>
                <w:color w:val="000000"/>
                <w:sz w:val="20"/>
                <w:szCs w:val="20"/>
              </w:rPr>
            </w:pPr>
            <w:r>
              <w:rPr>
                <w:color w:val="000000"/>
                <w:sz w:val="20"/>
                <w:szCs w:val="20"/>
              </w:rPr>
              <w:t>(0.148)</w:t>
            </w:r>
          </w:p>
        </w:tc>
        <w:tc>
          <w:tcPr>
            <w:tcW w:w="1213" w:type="dxa"/>
            <w:tcBorders>
              <w:top w:val="nil"/>
              <w:left w:val="nil"/>
              <w:bottom w:val="nil"/>
              <w:right w:val="nil"/>
            </w:tcBorders>
            <w:shd w:val="clear" w:color="auto" w:fill="auto"/>
            <w:noWrap/>
            <w:vAlign w:val="bottom"/>
            <w:hideMark/>
          </w:tcPr>
          <w:p w14:paraId="7ECB2CDF" w14:textId="364720E7" w:rsidR="00DC7146" w:rsidRPr="00261857" w:rsidRDefault="00DC7146" w:rsidP="00DC7146">
            <w:pPr>
              <w:jc w:val="center"/>
              <w:rPr>
                <w:rFonts w:eastAsia="Times New Roman" w:cs="Times New Roman"/>
                <w:color w:val="000000"/>
                <w:sz w:val="20"/>
                <w:szCs w:val="20"/>
              </w:rPr>
            </w:pPr>
            <w:r>
              <w:rPr>
                <w:color w:val="000000"/>
                <w:sz w:val="20"/>
                <w:szCs w:val="20"/>
              </w:rPr>
              <w:t>(0.148)</w:t>
            </w:r>
          </w:p>
        </w:tc>
        <w:tc>
          <w:tcPr>
            <w:tcW w:w="1166" w:type="dxa"/>
            <w:tcBorders>
              <w:top w:val="nil"/>
              <w:left w:val="nil"/>
              <w:bottom w:val="nil"/>
              <w:right w:val="nil"/>
            </w:tcBorders>
            <w:shd w:val="clear" w:color="auto" w:fill="auto"/>
            <w:noWrap/>
            <w:vAlign w:val="bottom"/>
            <w:hideMark/>
          </w:tcPr>
          <w:p w14:paraId="53856C3C" w14:textId="0373EE3A" w:rsidR="00DC7146" w:rsidRPr="00261857" w:rsidRDefault="00DC7146" w:rsidP="00DC7146">
            <w:pPr>
              <w:jc w:val="center"/>
              <w:rPr>
                <w:rFonts w:eastAsia="Times New Roman" w:cs="Times New Roman"/>
                <w:color w:val="000000"/>
                <w:sz w:val="20"/>
                <w:szCs w:val="20"/>
              </w:rPr>
            </w:pPr>
            <w:r>
              <w:rPr>
                <w:color w:val="000000"/>
                <w:sz w:val="20"/>
                <w:szCs w:val="20"/>
              </w:rPr>
              <w:t>(0.126)</w:t>
            </w:r>
          </w:p>
        </w:tc>
        <w:tc>
          <w:tcPr>
            <w:tcW w:w="1166" w:type="dxa"/>
            <w:tcBorders>
              <w:top w:val="nil"/>
              <w:left w:val="nil"/>
              <w:bottom w:val="nil"/>
              <w:right w:val="nil"/>
            </w:tcBorders>
            <w:shd w:val="clear" w:color="auto" w:fill="auto"/>
            <w:noWrap/>
            <w:vAlign w:val="bottom"/>
            <w:hideMark/>
          </w:tcPr>
          <w:p w14:paraId="40961223" w14:textId="7DFF3894" w:rsidR="00DC7146" w:rsidRPr="00261857" w:rsidRDefault="00DC7146" w:rsidP="00DC7146">
            <w:pPr>
              <w:jc w:val="center"/>
              <w:rPr>
                <w:rFonts w:eastAsia="Times New Roman" w:cs="Times New Roman"/>
                <w:color w:val="000000"/>
                <w:sz w:val="20"/>
                <w:szCs w:val="20"/>
              </w:rPr>
            </w:pPr>
            <w:r>
              <w:rPr>
                <w:color w:val="000000"/>
                <w:sz w:val="20"/>
                <w:szCs w:val="20"/>
              </w:rPr>
              <w:t>(0.125)</w:t>
            </w:r>
          </w:p>
        </w:tc>
        <w:tc>
          <w:tcPr>
            <w:tcW w:w="1166" w:type="dxa"/>
            <w:tcBorders>
              <w:top w:val="nil"/>
              <w:left w:val="nil"/>
              <w:bottom w:val="nil"/>
              <w:right w:val="nil"/>
            </w:tcBorders>
            <w:shd w:val="clear" w:color="auto" w:fill="auto"/>
            <w:noWrap/>
            <w:vAlign w:val="bottom"/>
            <w:hideMark/>
          </w:tcPr>
          <w:p w14:paraId="5842A879" w14:textId="51A749BC" w:rsidR="00DC7146" w:rsidRPr="00261857" w:rsidRDefault="00DC7146" w:rsidP="00DC7146">
            <w:pPr>
              <w:jc w:val="center"/>
              <w:rPr>
                <w:rFonts w:eastAsia="Times New Roman" w:cs="Times New Roman"/>
                <w:color w:val="000000"/>
                <w:sz w:val="20"/>
                <w:szCs w:val="20"/>
              </w:rPr>
            </w:pPr>
            <w:r>
              <w:rPr>
                <w:color w:val="000000"/>
                <w:sz w:val="20"/>
                <w:szCs w:val="20"/>
              </w:rPr>
              <w:t>(0.125)</w:t>
            </w:r>
          </w:p>
        </w:tc>
      </w:tr>
      <w:tr w:rsidR="00DC7146" w:rsidRPr="00261857" w14:paraId="6FE66DC5" w14:textId="77777777" w:rsidTr="00DC7146">
        <w:trPr>
          <w:trHeight w:val="255"/>
        </w:trPr>
        <w:tc>
          <w:tcPr>
            <w:tcW w:w="1920" w:type="dxa"/>
            <w:tcBorders>
              <w:top w:val="nil"/>
              <w:left w:val="nil"/>
              <w:bottom w:val="nil"/>
              <w:right w:val="nil"/>
            </w:tcBorders>
            <w:shd w:val="clear" w:color="auto" w:fill="auto"/>
            <w:noWrap/>
            <w:vAlign w:val="bottom"/>
            <w:hideMark/>
          </w:tcPr>
          <w:p w14:paraId="69D5B1BA" w14:textId="27818834" w:rsidR="00DC7146" w:rsidRPr="00261857" w:rsidRDefault="00DC7146" w:rsidP="00DC7146">
            <w:pPr>
              <w:rPr>
                <w:rFonts w:eastAsia="Times New Roman" w:cs="Times New Roman"/>
                <w:color w:val="000000"/>
                <w:sz w:val="20"/>
                <w:szCs w:val="20"/>
              </w:rPr>
            </w:pPr>
            <w:r>
              <w:rPr>
                <w:color w:val="000000"/>
                <w:sz w:val="20"/>
                <w:szCs w:val="20"/>
              </w:rPr>
              <w:t>Gr 3 AY</w:t>
            </w:r>
          </w:p>
        </w:tc>
        <w:tc>
          <w:tcPr>
            <w:tcW w:w="1214" w:type="dxa"/>
            <w:tcBorders>
              <w:top w:val="nil"/>
              <w:left w:val="nil"/>
              <w:bottom w:val="nil"/>
              <w:right w:val="nil"/>
            </w:tcBorders>
            <w:shd w:val="clear" w:color="auto" w:fill="auto"/>
            <w:noWrap/>
            <w:vAlign w:val="bottom"/>
            <w:hideMark/>
          </w:tcPr>
          <w:p w14:paraId="46101864" w14:textId="1CE338B9" w:rsidR="00DC7146" w:rsidRPr="00261857" w:rsidRDefault="00DC7146" w:rsidP="00DC7146">
            <w:pPr>
              <w:jc w:val="center"/>
              <w:rPr>
                <w:rFonts w:eastAsia="Times New Roman" w:cs="Times New Roman"/>
                <w:color w:val="000000"/>
                <w:sz w:val="20"/>
                <w:szCs w:val="20"/>
              </w:rPr>
            </w:pPr>
            <w:r>
              <w:rPr>
                <w:color w:val="000000"/>
                <w:sz w:val="20"/>
                <w:szCs w:val="20"/>
              </w:rPr>
              <w:t>1.441***</w:t>
            </w:r>
          </w:p>
        </w:tc>
        <w:tc>
          <w:tcPr>
            <w:tcW w:w="1213" w:type="dxa"/>
            <w:tcBorders>
              <w:top w:val="nil"/>
              <w:left w:val="nil"/>
              <w:bottom w:val="nil"/>
              <w:right w:val="nil"/>
            </w:tcBorders>
            <w:shd w:val="clear" w:color="auto" w:fill="auto"/>
            <w:noWrap/>
            <w:vAlign w:val="bottom"/>
            <w:hideMark/>
          </w:tcPr>
          <w:p w14:paraId="72849CC7" w14:textId="3451A90F" w:rsidR="00DC7146" w:rsidRPr="00261857" w:rsidRDefault="00DC7146" w:rsidP="00DC7146">
            <w:pPr>
              <w:jc w:val="center"/>
              <w:rPr>
                <w:rFonts w:eastAsia="Times New Roman" w:cs="Times New Roman"/>
                <w:color w:val="000000"/>
                <w:sz w:val="20"/>
                <w:szCs w:val="20"/>
              </w:rPr>
            </w:pPr>
            <w:r>
              <w:rPr>
                <w:color w:val="000000"/>
                <w:sz w:val="20"/>
                <w:szCs w:val="20"/>
              </w:rPr>
              <w:t>1.439***</w:t>
            </w:r>
          </w:p>
        </w:tc>
        <w:tc>
          <w:tcPr>
            <w:tcW w:w="1213" w:type="dxa"/>
            <w:tcBorders>
              <w:top w:val="nil"/>
              <w:left w:val="nil"/>
              <w:bottom w:val="nil"/>
              <w:right w:val="nil"/>
            </w:tcBorders>
            <w:shd w:val="clear" w:color="auto" w:fill="auto"/>
            <w:noWrap/>
            <w:vAlign w:val="bottom"/>
            <w:hideMark/>
          </w:tcPr>
          <w:p w14:paraId="647F6013" w14:textId="220D0FFB" w:rsidR="00DC7146" w:rsidRPr="00261857" w:rsidRDefault="00DC7146" w:rsidP="00DC7146">
            <w:pPr>
              <w:jc w:val="center"/>
              <w:rPr>
                <w:rFonts w:eastAsia="Times New Roman" w:cs="Times New Roman"/>
                <w:color w:val="000000"/>
                <w:sz w:val="20"/>
                <w:szCs w:val="20"/>
              </w:rPr>
            </w:pPr>
            <w:r>
              <w:rPr>
                <w:color w:val="000000"/>
                <w:sz w:val="20"/>
                <w:szCs w:val="20"/>
              </w:rPr>
              <w:t>1.439***</w:t>
            </w:r>
          </w:p>
        </w:tc>
        <w:tc>
          <w:tcPr>
            <w:tcW w:w="1166" w:type="dxa"/>
            <w:tcBorders>
              <w:top w:val="nil"/>
              <w:left w:val="nil"/>
              <w:bottom w:val="nil"/>
              <w:right w:val="nil"/>
            </w:tcBorders>
            <w:shd w:val="clear" w:color="auto" w:fill="auto"/>
            <w:noWrap/>
            <w:vAlign w:val="bottom"/>
            <w:hideMark/>
          </w:tcPr>
          <w:p w14:paraId="05959465" w14:textId="069B10D2" w:rsidR="00DC7146" w:rsidRPr="00261857" w:rsidRDefault="00DC7146" w:rsidP="00DC7146">
            <w:pPr>
              <w:jc w:val="center"/>
              <w:rPr>
                <w:rFonts w:eastAsia="Times New Roman" w:cs="Times New Roman"/>
                <w:color w:val="000000"/>
                <w:sz w:val="20"/>
                <w:szCs w:val="20"/>
              </w:rPr>
            </w:pPr>
            <w:r>
              <w:rPr>
                <w:color w:val="000000"/>
                <w:sz w:val="20"/>
                <w:szCs w:val="20"/>
              </w:rPr>
              <w:t>1.148***</w:t>
            </w:r>
          </w:p>
        </w:tc>
        <w:tc>
          <w:tcPr>
            <w:tcW w:w="1166" w:type="dxa"/>
            <w:tcBorders>
              <w:top w:val="nil"/>
              <w:left w:val="nil"/>
              <w:bottom w:val="nil"/>
              <w:right w:val="nil"/>
            </w:tcBorders>
            <w:shd w:val="clear" w:color="auto" w:fill="auto"/>
            <w:noWrap/>
            <w:vAlign w:val="bottom"/>
            <w:hideMark/>
          </w:tcPr>
          <w:p w14:paraId="566A91D9" w14:textId="2119578B" w:rsidR="00DC7146" w:rsidRPr="00261857" w:rsidRDefault="00DC7146" w:rsidP="00DC7146">
            <w:pPr>
              <w:jc w:val="center"/>
              <w:rPr>
                <w:rFonts w:eastAsia="Times New Roman" w:cs="Times New Roman"/>
                <w:color w:val="000000"/>
                <w:sz w:val="20"/>
                <w:szCs w:val="20"/>
              </w:rPr>
            </w:pPr>
            <w:r>
              <w:rPr>
                <w:color w:val="000000"/>
                <w:sz w:val="20"/>
                <w:szCs w:val="20"/>
              </w:rPr>
              <w:t>1.146***</w:t>
            </w:r>
          </w:p>
        </w:tc>
        <w:tc>
          <w:tcPr>
            <w:tcW w:w="1166" w:type="dxa"/>
            <w:tcBorders>
              <w:top w:val="nil"/>
              <w:left w:val="nil"/>
              <w:bottom w:val="nil"/>
              <w:right w:val="nil"/>
            </w:tcBorders>
            <w:shd w:val="clear" w:color="auto" w:fill="auto"/>
            <w:noWrap/>
            <w:vAlign w:val="bottom"/>
            <w:hideMark/>
          </w:tcPr>
          <w:p w14:paraId="516A23A6" w14:textId="0F41F153" w:rsidR="00DC7146" w:rsidRPr="00261857" w:rsidRDefault="00DC7146" w:rsidP="00DC7146">
            <w:pPr>
              <w:jc w:val="center"/>
              <w:rPr>
                <w:rFonts w:eastAsia="Times New Roman" w:cs="Times New Roman"/>
                <w:color w:val="000000"/>
                <w:sz w:val="20"/>
                <w:szCs w:val="20"/>
              </w:rPr>
            </w:pPr>
            <w:r>
              <w:rPr>
                <w:color w:val="000000"/>
                <w:sz w:val="20"/>
                <w:szCs w:val="20"/>
              </w:rPr>
              <w:t>1.146***</w:t>
            </w:r>
          </w:p>
        </w:tc>
      </w:tr>
      <w:tr w:rsidR="00DC7146" w:rsidRPr="00261857" w14:paraId="0972C2DB" w14:textId="77777777" w:rsidTr="00DC7146">
        <w:trPr>
          <w:trHeight w:val="255"/>
        </w:trPr>
        <w:tc>
          <w:tcPr>
            <w:tcW w:w="1920" w:type="dxa"/>
            <w:tcBorders>
              <w:top w:val="nil"/>
              <w:left w:val="nil"/>
              <w:bottom w:val="nil"/>
              <w:right w:val="nil"/>
            </w:tcBorders>
            <w:shd w:val="clear" w:color="auto" w:fill="auto"/>
            <w:noWrap/>
            <w:vAlign w:val="bottom"/>
            <w:hideMark/>
          </w:tcPr>
          <w:p w14:paraId="760E0FEE"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148616EC" w14:textId="29A72595" w:rsidR="00DC7146" w:rsidRPr="00261857" w:rsidRDefault="00DC7146" w:rsidP="00DC7146">
            <w:pPr>
              <w:jc w:val="center"/>
              <w:rPr>
                <w:rFonts w:eastAsia="Times New Roman" w:cs="Times New Roman"/>
                <w:color w:val="000000"/>
                <w:sz w:val="20"/>
                <w:szCs w:val="20"/>
              </w:rPr>
            </w:pPr>
            <w:r>
              <w:rPr>
                <w:color w:val="000000"/>
                <w:sz w:val="20"/>
                <w:szCs w:val="20"/>
              </w:rPr>
              <w:t>(0.032)</w:t>
            </w:r>
          </w:p>
        </w:tc>
        <w:tc>
          <w:tcPr>
            <w:tcW w:w="1213" w:type="dxa"/>
            <w:tcBorders>
              <w:top w:val="nil"/>
              <w:left w:val="nil"/>
              <w:bottom w:val="nil"/>
              <w:right w:val="nil"/>
            </w:tcBorders>
            <w:shd w:val="clear" w:color="auto" w:fill="auto"/>
            <w:noWrap/>
            <w:vAlign w:val="bottom"/>
            <w:hideMark/>
          </w:tcPr>
          <w:p w14:paraId="772A2024" w14:textId="60E4936D" w:rsidR="00DC7146" w:rsidRPr="00261857" w:rsidRDefault="00DC7146" w:rsidP="00DC7146">
            <w:pPr>
              <w:jc w:val="center"/>
              <w:rPr>
                <w:rFonts w:eastAsia="Times New Roman" w:cs="Times New Roman"/>
                <w:color w:val="000000"/>
                <w:sz w:val="20"/>
                <w:szCs w:val="20"/>
              </w:rPr>
            </w:pPr>
            <w:r>
              <w:rPr>
                <w:color w:val="000000"/>
                <w:sz w:val="20"/>
                <w:szCs w:val="20"/>
              </w:rPr>
              <w:t>(0.032)</w:t>
            </w:r>
          </w:p>
        </w:tc>
        <w:tc>
          <w:tcPr>
            <w:tcW w:w="1213" w:type="dxa"/>
            <w:tcBorders>
              <w:top w:val="nil"/>
              <w:left w:val="nil"/>
              <w:bottom w:val="nil"/>
              <w:right w:val="nil"/>
            </w:tcBorders>
            <w:shd w:val="clear" w:color="auto" w:fill="auto"/>
            <w:noWrap/>
            <w:vAlign w:val="bottom"/>
            <w:hideMark/>
          </w:tcPr>
          <w:p w14:paraId="261FFF10" w14:textId="4C0EC895" w:rsidR="00DC7146" w:rsidRPr="00261857" w:rsidRDefault="00DC7146" w:rsidP="00DC7146">
            <w:pPr>
              <w:jc w:val="center"/>
              <w:rPr>
                <w:rFonts w:eastAsia="Times New Roman" w:cs="Times New Roman"/>
                <w:color w:val="000000"/>
                <w:sz w:val="20"/>
                <w:szCs w:val="20"/>
              </w:rPr>
            </w:pPr>
            <w:r>
              <w:rPr>
                <w:color w:val="000000"/>
                <w:sz w:val="20"/>
                <w:szCs w:val="20"/>
              </w:rPr>
              <w:t>(0.032)</w:t>
            </w:r>
          </w:p>
        </w:tc>
        <w:tc>
          <w:tcPr>
            <w:tcW w:w="1166" w:type="dxa"/>
            <w:tcBorders>
              <w:top w:val="nil"/>
              <w:left w:val="nil"/>
              <w:bottom w:val="nil"/>
              <w:right w:val="nil"/>
            </w:tcBorders>
            <w:shd w:val="clear" w:color="auto" w:fill="auto"/>
            <w:noWrap/>
            <w:vAlign w:val="bottom"/>
            <w:hideMark/>
          </w:tcPr>
          <w:p w14:paraId="3488D790" w14:textId="083DE487" w:rsidR="00DC7146" w:rsidRPr="00261857" w:rsidRDefault="00DC7146" w:rsidP="00DC7146">
            <w:pPr>
              <w:jc w:val="center"/>
              <w:rPr>
                <w:rFonts w:eastAsia="Times New Roman" w:cs="Times New Roman"/>
                <w:color w:val="000000"/>
                <w:sz w:val="20"/>
                <w:szCs w:val="20"/>
              </w:rPr>
            </w:pPr>
            <w:r>
              <w:rPr>
                <w:color w:val="000000"/>
                <w:sz w:val="20"/>
                <w:szCs w:val="20"/>
              </w:rPr>
              <w:t>(0.032)</w:t>
            </w:r>
          </w:p>
        </w:tc>
        <w:tc>
          <w:tcPr>
            <w:tcW w:w="1166" w:type="dxa"/>
            <w:tcBorders>
              <w:top w:val="nil"/>
              <w:left w:val="nil"/>
              <w:bottom w:val="nil"/>
              <w:right w:val="nil"/>
            </w:tcBorders>
            <w:shd w:val="clear" w:color="auto" w:fill="auto"/>
            <w:noWrap/>
            <w:vAlign w:val="bottom"/>
            <w:hideMark/>
          </w:tcPr>
          <w:p w14:paraId="00C2857C" w14:textId="21DB1D05" w:rsidR="00DC7146" w:rsidRPr="00261857" w:rsidRDefault="00DC7146" w:rsidP="00DC7146">
            <w:pPr>
              <w:jc w:val="center"/>
              <w:rPr>
                <w:rFonts w:eastAsia="Times New Roman" w:cs="Times New Roman"/>
                <w:color w:val="000000"/>
                <w:sz w:val="20"/>
                <w:szCs w:val="20"/>
              </w:rPr>
            </w:pPr>
            <w:r>
              <w:rPr>
                <w:color w:val="000000"/>
                <w:sz w:val="20"/>
                <w:szCs w:val="20"/>
              </w:rPr>
              <w:t>(0.032)</w:t>
            </w:r>
          </w:p>
        </w:tc>
        <w:tc>
          <w:tcPr>
            <w:tcW w:w="1166" w:type="dxa"/>
            <w:tcBorders>
              <w:top w:val="nil"/>
              <w:left w:val="nil"/>
              <w:bottom w:val="nil"/>
              <w:right w:val="nil"/>
            </w:tcBorders>
            <w:shd w:val="clear" w:color="auto" w:fill="auto"/>
            <w:noWrap/>
            <w:vAlign w:val="bottom"/>
            <w:hideMark/>
          </w:tcPr>
          <w:p w14:paraId="4187952D" w14:textId="6FD21D9D" w:rsidR="00DC7146" w:rsidRPr="00261857" w:rsidRDefault="00DC7146" w:rsidP="00DC7146">
            <w:pPr>
              <w:jc w:val="center"/>
              <w:rPr>
                <w:rFonts w:eastAsia="Times New Roman" w:cs="Times New Roman"/>
                <w:color w:val="000000"/>
                <w:sz w:val="20"/>
                <w:szCs w:val="20"/>
              </w:rPr>
            </w:pPr>
            <w:r>
              <w:rPr>
                <w:color w:val="000000"/>
                <w:sz w:val="20"/>
                <w:szCs w:val="20"/>
              </w:rPr>
              <w:t>(0.032)</w:t>
            </w:r>
          </w:p>
        </w:tc>
      </w:tr>
      <w:tr w:rsidR="00DC7146" w:rsidRPr="00261857" w14:paraId="004FE0C5" w14:textId="77777777" w:rsidTr="00DC7146">
        <w:trPr>
          <w:trHeight w:val="255"/>
        </w:trPr>
        <w:tc>
          <w:tcPr>
            <w:tcW w:w="1920" w:type="dxa"/>
            <w:tcBorders>
              <w:top w:val="nil"/>
              <w:left w:val="nil"/>
              <w:bottom w:val="nil"/>
              <w:right w:val="nil"/>
            </w:tcBorders>
            <w:shd w:val="clear" w:color="auto" w:fill="auto"/>
            <w:noWrap/>
            <w:vAlign w:val="bottom"/>
            <w:hideMark/>
          </w:tcPr>
          <w:p w14:paraId="12AA12E5" w14:textId="722E4140" w:rsidR="00DC7146" w:rsidRPr="00261857" w:rsidRDefault="00DC7146" w:rsidP="00DC7146">
            <w:pPr>
              <w:rPr>
                <w:rFonts w:eastAsia="Times New Roman" w:cs="Times New Roman"/>
                <w:b/>
                <w:bCs/>
                <w:color w:val="000000"/>
                <w:sz w:val="20"/>
                <w:szCs w:val="20"/>
              </w:rPr>
            </w:pPr>
            <w:r>
              <w:rPr>
                <w:b/>
                <w:bCs/>
                <w:color w:val="000000"/>
                <w:sz w:val="20"/>
                <w:szCs w:val="20"/>
              </w:rPr>
              <w:t>DL x Gr 3 AY</w:t>
            </w:r>
          </w:p>
        </w:tc>
        <w:tc>
          <w:tcPr>
            <w:tcW w:w="1214" w:type="dxa"/>
            <w:tcBorders>
              <w:top w:val="nil"/>
              <w:left w:val="nil"/>
              <w:bottom w:val="nil"/>
              <w:right w:val="nil"/>
            </w:tcBorders>
            <w:shd w:val="clear" w:color="auto" w:fill="auto"/>
            <w:noWrap/>
            <w:vAlign w:val="bottom"/>
            <w:hideMark/>
          </w:tcPr>
          <w:p w14:paraId="21A38BAC" w14:textId="140BC5EE" w:rsidR="00DC7146" w:rsidRPr="00261857" w:rsidRDefault="00DC7146" w:rsidP="00DC7146">
            <w:pPr>
              <w:jc w:val="center"/>
              <w:rPr>
                <w:rFonts w:eastAsia="Times New Roman" w:cs="Times New Roman"/>
                <w:b/>
                <w:bCs/>
                <w:color w:val="000000"/>
                <w:sz w:val="20"/>
                <w:szCs w:val="20"/>
              </w:rPr>
            </w:pPr>
            <w:r>
              <w:rPr>
                <w:b/>
                <w:bCs/>
                <w:color w:val="000000"/>
                <w:sz w:val="20"/>
                <w:szCs w:val="20"/>
              </w:rPr>
              <w:t>0.177***</w:t>
            </w:r>
          </w:p>
        </w:tc>
        <w:tc>
          <w:tcPr>
            <w:tcW w:w="1213" w:type="dxa"/>
            <w:tcBorders>
              <w:top w:val="nil"/>
              <w:left w:val="nil"/>
              <w:bottom w:val="nil"/>
              <w:right w:val="nil"/>
            </w:tcBorders>
            <w:shd w:val="clear" w:color="auto" w:fill="auto"/>
            <w:noWrap/>
            <w:vAlign w:val="bottom"/>
            <w:hideMark/>
          </w:tcPr>
          <w:p w14:paraId="1A320CF8" w14:textId="14A0A372" w:rsidR="00DC7146" w:rsidRPr="00261857" w:rsidRDefault="00DC7146" w:rsidP="00DC7146">
            <w:pPr>
              <w:jc w:val="center"/>
              <w:rPr>
                <w:rFonts w:eastAsia="Times New Roman" w:cs="Times New Roman"/>
                <w:b/>
                <w:bCs/>
                <w:color w:val="000000"/>
                <w:sz w:val="20"/>
                <w:szCs w:val="20"/>
              </w:rPr>
            </w:pPr>
            <w:r>
              <w:rPr>
                <w:b/>
                <w:bCs/>
                <w:color w:val="000000"/>
                <w:sz w:val="20"/>
                <w:szCs w:val="20"/>
              </w:rPr>
              <w:t>0.178***</w:t>
            </w:r>
          </w:p>
        </w:tc>
        <w:tc>
          <w:tcPr>
            <w:tcW w:w="1213" w:type="dxa"/>
            <w:tcBorders>
              <w:top w:val="nil"/>
              <w:left w:val="nil"/>
              <w:bottom w:val="nil"/>
              <w:right w:val="nil"/>
            </w:tcBorders>
            <w:shd w:val="clear" w:color="auto" w:fill="auto"/>
            <w:noWrap/>
            <w:vAlign w:val="bottom"/>
            <w:hideMark/>
          </w:tcPr>
          <w:p w14:paraId="0D284483" w14:textId="4963D146" w:rsidR="00DC7146" w:rsidRPr="00261857" w:rsidRDefault="00DC7146" w:rsidP="00DC7146">
            <w:pPr>
              <w:jc w:val="center"/>
              <w:rPr>
                <w:rFonts w:eastAsia="Times New Roman" w:cs="Times New Roman"/>
                <w:b/>
                <w:bCs/>
                <w:color w:val="000000"/>
                <w:sz w:val="20"/>
                <w:szCs w:val="20"/>
              </w:rPr>
            </w:pPr>
            <w:r>
              <w:rPr>
                <w:b/>
                <w:bCs/>
                <w:color w:val="000000"/>
                <w:sz w:val="20"/>
                <w:szCs w:val="20"/>
              </w:rPr>
              <w:t>0.178***</w:t>
            </w:r>
          </w:p>
        </w:tc>
        <w:tc>
          <w:tcPr>
            <w:tcW w:w="1166" w:type="dxa"/>
            <w:tcBorders>
              <w:top w:val="nil"/>
              <w:left w:val="nil"/>
              <w:bottom w:val="nil"/>
              <w:right w:val="nil"/>
            </w:tcBorders>
            <w:shd w:val="clear" w:color="auto" w:fill="auto"/>
            <w:noWrap/>
            <w:vAlign w:val="bottom"/>
            <w:hideMark/>
          </w:tcPr>
          <w:p w14:paraId="5CD914D4" w14:textId="2A24D15C" w:rsidR="00DC7146" w:rsidRPr="00261857" w:rsidRDefault="00DC7146" w:rsidP="00DC7146">
            <w:pPr>
              <w:jc w:val="center"/>
              <w:rPr>
                <w:rFonts w:eastAsia="Times New Roman" w:cs="Times New Roman"/>
                <w:b/>
                <w:bCs/>
                <w:color w:val="000000"/>
                <w:sz w:val="20"/>
                <w:szCs w:val="20"/>
              </w:rPr>
            </w:pPr>
            <w:r>
              <w:rPr>
                <w:b/>
                <w:bCs/>
                <w:color w:val="000000"/>
                <w:sz w:val="20"/>
                <w:szCs w:val="20"/>
              </w:rPr>
              <w:t>0.057</w:t>
            </w:r>
          </w:p>
        </w:tc>
        <w:tc>
          <w:tcPr>
            <w:tcW w:w="1166" w:type="dxa"/>
            <w:tcBorders>
              <w:top w:val="nil"/>
              <w:left w:val="nil"/>
              <w:bottom w:val="nil"/>
              <w:right w:val="nil"/>
            </w:tcBorders>
            <w:shd w:val="clear" w:color="auto" w:fill="auto"/>
            <w:noWrap/>
            <w:vAlign w:val="bottom"/>
            <w:hideMark/>
          </w:tcPr>
          <w:p w14:paraId="0F00EE8C" w14:textId="197F0ACB" w:rsidR="00DC7146" w:rsidRPr="00261857" w:rsidRDefault="00DC7146" w:rsidP="00DC7146">
            <w:pPr>
              <w:jc w:val="center"/>
              <w:rPr>
                <w:rFonts w:eastAsia="Times New Roman" w:cs="Times New Roman"/>
                <w:b/>
                <w:bCs/>
                <w:color w:val="000000"/>
                <w:sz w:val="20"/>
                <w:szCs w:val="20"/>
              </w:rPr>
            </w:pPr>
            <w:r>
              <w:rPr>
                <w:b/>
                <w:bCs/>
                <w:color w:val="000000"/>
                <w:sz w:val="20"/>
                <w:szCs w:val="20"/>
              </w:rPr>
              <w:t>0.059*</w:t>
            </w:r>
          </w:p>
        </w:tc>
        <w:tc>
          <w:tcPr>
            <w:tcW w:w="1166" w:type="dxa"/>
            <w:tcBorders>
              <w:top w:val="nil"/>
              <w:left w:val="nil"/>
              <w:bottom w:val="nil"/>
              <w:right w:val="nil"/>
            </w:tcBorders>
            <w:shd w:val="clear" w:color="auto" w:fill="auto"/>
            <w:noWrap/>
            <w:vAlign w:val="bottom"/>
            <w:hideMark/>
          </w:tcPr>
          <w:p w14:paraId="31CC290F" w14:textId="28AAD4A7" w:rsidR="00DC7146" w:rsidRPr="00261857" w:rsidRDefault="00DC7146" w:rsidP="00DC7146">
            <w:pPr>
              <w:jc w:val="center"/>
              <w:rPr>
                <w:rFonts w:eastAsia="Times New Roman" w:cs="Times New Roman"/>
                <w:b/>
                <w:bCs/>
                <w:color w:val="000000"/>
                <w:sz w:val="20"/>
                <w:szCs w:val="20"/>
              </w:rPr>
            </w:pPr>
            <w:r>
              <w:rPr>
                <w:b/>
                <w:bCs/>
                <w:color w:val="000000"/>
                <w:sz w:val="20"/>
                <w:szCs w:val="20"/>
              </w:rPr>
              <w:t>0.059*</w:t>
            </w:r>
          </w:p>
        </w:tc>
      </w:tr>
      <w:tr w:rsidR="00DC7146" w:rsidRPr="00261857" w14:paraId="191425FB" w14:textId="77777777" w:rsidTr="00DC7146">
        <w:trPr>
          <w:trHeight w:val="255"/>
        </w:trPr>
        <w:tc>
          <w:tcPr>
            <w:tcW w:w="1920" w:type="dxa"/>
            <w:tcBorders>
              <w:top w:val="nil"/>
              <w:left w:val="nil"/>
              <w:bottom w:val="nil"/>
              <w:right w:val="nil"/>
            </w:tcBorders>
            <w:shd w:val="clear" w:color="auto" w:fill="auto"/>
            <w:noWrap/>
            <w:vAlign w:val="bottom"/>
            <w:hideMark/>
          </w:tcPr>
          <w:p w14:paraId="136EA183"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1636DE0F" w14:textId="4CCA834C" w:rsidR="00DC7146" w:rsidRPr="00261857" w:rsidRDefault="00DC7146" w:rsidP="00DC7146">
            <w:pPr>
              <w:jc w:val="center"/>
              <w:rPr>
                <w:rFonts w:eastAsia="Times New Roman" w:cs="Times New Roman"/>
                <w:color w:val="000000"/>
                <w:sz w:val="20"/>
                <w:szCs w:val="20"/>
              </w:rPr>
            </w:pPr>
            <w:r>
              <w:rPr>
                <w:color w:val="000000"/>
                <w:sz w:val="20"/>
                <w:szCs w:val="20"/>
              </w:rPr>
              <w:t>(0.037)</w:t>
            </w:r>
          </w:p>
        </w:tc>
        <w:tc>
          <w:tcPr>
            <w:tcW w:w="1213" w:type="dxa"/>
            <w:tcBorders>
              <w:top w:val="nil"/>
              <w:left w:val="nil"/>
              <w:bottom w:val="nil"/>
              <w:right w:val="nil"/>
            </w:tcBorders>
            <w:shd w:val="clear" w:color="auto" w:fill="auto"/>
            <w:noWrap/>
            <w:vAlign w:val="bottom"/>
            <w:hideMark/>
          </w:tcPr>
          <w:p w14:paraId="51F1A186" w14:textId="19EDEC35" w:rsidR="00DC7146" w:rsidRPr="00261857" w:rsidRDefault="00DC7146" w:rsidP="00DC7146">
            <w:pPr>
              <w:jc w:val="center"/>
              <w:rPr>
                <w:rFonts w:eastAsia="Times New Roman" w:cs="Times New Roman"/>
                <w:color w:val="000000"/>
                <w:sz w:val="20"/>
                <w:szCs w:val="20"/>
              </w:rPr>
            </w:pPr>
            <w:r>
              <w:rPr>
                <w:color w:val="000000"/>
                <w:sz w:val="20"/>
                <w:szCs w:val="20"/>
              </w:rPr>
              <w:t>(0.037)</w:t>
            </w:r>
          </w:p>
        </w:tc>
        <w:tc>
          <w:tcPr>
            <w:tcW w:w="1213" w:type="dxa"/>
            <w:tcBorders>
              <w:top w:val="nil"/>
              <w:left w:val="nil"/>
              <w:bottom w:val="nil"/>
              <w:right w:val="nil"/>
            </w:tcBorders>
            <w:shd w:val="clear" w:color="auto" w:fill="auto"/>
            <w:noWrap/>
            <w:vAlign w:val="bottom"/>
            <w:hideMark/>
          </w:tcPr>
          <w:p w14:paraId="3DCE66EE" w14:textId="1955743F" w:rsidR="00DC7146" w:rsidRPr="00261857" w:rsidRDefault="00DC7146" w:rsidP="00DC7146">
            <w:pPr>
              <w:jc w:val="center"/>
              <w:rPr>
                <w:rFonts w:eastAsia="Times New Roman" w:cs="Times New Roman"/>
                <w:color w:val="000000"/>
                <w:sz w:val="20"/>
                <w:szCs w:val="20"/>
              </w:rPr>
            </w:pPr>
            <w:r>
              <w:rPr>
                <w:color w:val="000000"/>
                <w:sz w:val="20"/>
                <w:szCs w:val="20"/>
              </w:rPr>
              <w:t>(0.037)</w:t>
            </w:r>
          </w:p>
        </w:tc>
        <w:tc>
          <w:tcPr>
            <w:tcW w:w="1166" w:type="dxa"/>
            <w:tcBorders>
              <w:top w:val="nil"/>
              <w:left w:val="nil"/>
              <w:bottom w:val="nil"/>
              <w:right w:val="nil"/>
            </w:tcBorders>
            <w:shd w:val="clear" w:color="auto" w:fill="auto"/>
            <w:noWrap/>
            <w:vAlign w:val="bottom"/>
            <w:hideMark/>
          </w:tcPr>
          <w:p w14:paraId="324F8EEE" w14:textId="43595C86" w:rsidR="00DC7146" w:rsidRPr="00261857" w:rsidRDefault="00DC7146" w:rsidP="00DC7146">
            <w:pPr>
              <w:jc w:val="center"/>
              <w:rPr>
                <w:rFonts w:eastAsia="Times New Roman" w:cs="Times New Roman"/>
                <w:color w:val="000000"/>
                <w:sz w:val="20"/>
                <w:szCs w:val="20"/>
              </w:rPr>
            </w:pPr>
            <w:r>
              <w:rPr>
                <w:color w:val="000000"/>
                <w:sz w:val="20"/>
                <w:szCs w:val="20"/>
              </w:rPr>
              <w:t>(0.036)</w:t>
            </w:r>
          </w:p>
        </w:tc>
        <w:tc>
          <w:tcPr>
            <w:tcW w:w="1166" w:type="dxa"/>
            <w:tcBorders>
              <w:top w:val="nil"/>
              <w:left w:val="nil"/>
              <w:bottom w:val="nil"/>
              <w:right w:val="nil"/>
            </w:tcBorders>
            <w:shd w:val="clear" w:color="auto" w:fill="auto"/>
            <w:noWrap/>
            <w:vAlign w:val="bottom"/>
            <w:hideMark/>
          </w:tcPr>
          <w:p w14:paraId="312B0B77" w14:textId="58F0616F" w:rsidR="00DC7146" w:rsidRPr="00261857" w:rsidRDefault="00DC7146" w:rsidP="00DC7146">
            <w:pPr>
              <w:jc w:val="center"/>
              <w:rPr>
                <w:rFonts w:eastAsia="Times New Roman" w:cs="Times New Roman"/>
                <w:color w:val="000000"/>
                <w:sz w:val="20"/>
                <w:szCs w:val="20"/>
              </w:rPr>
            </w:pPr>
            <w:r>
              <w:rPr>
                <w:color w:val="000000"/>
                <w:sz w:val="20"/>
                <w:szCs w:val="20"/>
              </w:rPr>
              <w:t>(0.036)</w:t>
            </w:r>
          </w:p>
        </w:tc>
        <w:tc>
          <w:tcPr>
            <w:tcW w:w="1166" w:type="dxa"/>
            <w:tcBorders>
              <w:top w:val="nil"/>
              <w:left w:val="nil"/>
              <w:bottom w:val="nil"/>
              <w:right w:val="nil"/>
            </w:tcBorders>
            <w:shd w:val="clear" w:color="auto" w:fill="auto"/>
            <w:noWrap/>
            <w:vAlign w:val="bottom"/>
            <w:hideMark/>
          </w:tcPr>
          <w:p w14:paraId="5B63A740" w14:textId="01E90228" w:rsidR="00DC7146" w:rsidRPr="00261857" w:rsidRDefault="00DC7146" w:rsidP="00DC7146">
            <w:pPr>
              <w:jc w:val="center"/>
              <w:rPr>
                <w:rFonts w:eastAsia="Times New Roman" w:cs="Times New Roman"/>
                <w:color w:val="000000"/>
                <w:sz w:val="20"/>
                <w:szCs w:val="20"/>
              </w:rPr>
            </w:pPr>
            <w:r>
              <w:rPr>
                <w:color w:val="000000"/>
                <w:sz w:val="20"/>
                <w:szCs w:val="20"/>
              </w:rPr>
              <w:t>(0.036)</w:t>
            </w:r>
          </w:p>
        </w:tc>
      </w:tr>
      <w:tr w:rsidR="00DC7146" w:rsidRPr="00261857" w14:paraId="4B95A468" w14:textId="77777777" w:rsidTr="00DC7146">
        <w:trPr>
          <w:trHeight w:val="255"/>
        </w:trPr>
        <w:tc>
          <w:tcPr>
            <w:tcW w:w="1920" w:type="dxa"/>
            <w:tcBorders>
              <w:top w:val="nil"/>
              <w:left w:val="nil"/>
              <w:bottom w:val="nil"/>
              <w:right w:val="nil"/>
            </w:tcBorders>
            <w:shd w:val="clear" w:color="auto" w:fill="auto"/>
            <w:noWrap/>
            <w:vAlign w:val="bottom"/>
            <w:hideMark/>
          </w:tcPr>
          <w:p w14:paraId="3501DEF5" w14:textId="3B03E229" w:rsidR="00DC7146" w:rsidRPr="00261857" w:rsidRDefault="00DC7146" w:rsidP="00DC7146">
            <w:pPr>
              <w:rPr>
                <w:rFonts w:eastAsia="Times New Roman" w:cs="Times New Roman"/>
                <w:color w:val="000000"/>
                <w:sz w:val="20"/>
                <w:szCs w:val="20"/>
              </w:rPr>
            </w:pPr>
            <w:r>
              <w:rPr>
                <w:color w:val="000000"/>
                <w:sz w:val="20"/>
                <w:szCs w:val="20"/>
              </w:rPr>
              <w:t>Gr 3 Summer</w:t>
            </w:r>
          </w:p>
        </w:tc>
        <w:tc>
          <w:tcPr>
            <w:tcW w:w="1214" w:type="dxa"/>
            <w:tcBorders>
              <w:top w:val="nil"/>
              <w:left w:val="nil"/>
              <w:bottom w:val="nil"/>
              <w:right w:val="nil"/>
            </w:tcBorders>
            <w:shd w:val="clear" w:color="auto" w:fill="auto"/>
            <w:noWrap/>
            <w:vAlign w:val="bottom"/>
            <w:hideMark/>
          </w:tcPr>
          <w:p w14:paraId="23D32F81" w14:textId="14DA93C6" w:rsidR="00DC7146" w:rsidRPr="00261857" w:rsidRDefault="00DC7146" w:rsidP="00DC7146">
            <w:pPr>
              <w:jc w:val="center"/>
              <w:rPr>
                <w:rFonts w:eastAsia="Times New Roman" w:cs="Times New Roman"/>
                <w:color w:val="000000"/>
                <w:sz w:val="20"/>
                <w:szCs w:val="20"/>
              </w:rPr>
            </w:pPr>
            <w:r>
              <w:rPr>
                <w:color w:val="000000"/>
                <w:sz w:val="20"/>
                <w:szCs w:val="20"/>
              </w:rPr>
              <w:t>-0.872***</w:t>
            </w:r>
          </w:p>
        </w:tc>
        <w:tc>
          <w:tcPr>
            <w:tcW w:w="1213" w:type="dxa"/>
            <w:tcBorders>
              <w:top w:val="nil"/>
              <w:left w:val="nil"/>
              <w:bottom w:val="nil"/>
              <w:right w:val="nil"/>
            </w:tcBorders>
            <w:shd w:val="clear" w:color="auto" w:fill="auto"/>
            <w:noWrap/>
            <w:vAlign w:val="bottom"/>
            <w:hideMark/>
          </w:tcPr>
          <w:p w14:paraId="77D21AD0" w14:textId="2FADEAB8" w:rsidR="00DC7146" w:rsidRPr="00261857" w:rsidRDefault="00DC7146" w:rsidP="00DC7146">
            <w:pPr>
              <w:jc w:val="center"/>
              <w:rPr>
                <w:rFonts w:eastAsia="Times New Roman" w:cs="Times New Roman"/>
                <w:color w:val="000000"/>
                <w:sz w:val="20"/>
                <w:szCs w:val="20"/>
              </w:rPr>
            </w:pPr>
            <w:r>
              <w:rPr>
                <w:color w:val="000000"/>
                <w:sz w:val="20"/>
                <w:szCs w:val="20"/>
              </w:rPr>
              <w:t>-0.865***</w:t>
            </w:r>
          </w:p>
        </w:tc>
        <w:tc>
          <w:tcPr>
            <w:tcW w:w="1213" w:type="dxa"/>
            <w:tcBorders>
              <w:top w:val="nil"/>
              <w:left w:val="nil"/>
              <w:bottom w:val="nil"/>
              <w:right w:val="nil"/>
            </w:tcBorders>
            <w:shd w:val="clear" w:color="auto" w:fill="auto"/>
            <w:noWrap/>
            <w:vAlign w:val="bottom"/>
            <w:hideMark/>
          </w:tcPr>
          <w:p w14:paraId="525B8B2F" w14:textId="64975C76" w:rsidR="00DC7146" w:rsidRPr="00261857" w:rsidRDefault="00DC7146" w:rsidP="00DC7146">
            <w:pPr>
              <w:jc w:val="center"/>
              <w:rPr>
                <w:rFonts w:eastAsia="Times New Roman" w:cs="Times New Roman"/>
                <w:color w:val="000000"/>
                <w:sz w:val="20"/>
                <w:szCs w:val="20"/>
              </w:rPr>
            </w:pPr>
            <w:r>
              <w:rPr>
                <w:color w:val="000000"/>
                <w:sz w:val="20"/>
                <w:szCs w:val="20"/>
              </w:rPr>
              <w:t>-0.865***</w:t>
            </w:r>
          </w:p>
        </w:tc>
        <w:tc>
          <w:tcPr>
            <w:tcW w:w="1166" w:type="dxa"/>
            <w:tcBorders>
              <w:top w:val="nil"/>
              <w:left w:val="nil"/>
              <w:bottom w:val="nil"/>
              <w:right w:val="nil"/>
            </w:tcBorders>
            <w:shd w:val="clear" w:color="auto" w:fill="auto"/>
            <w:noWrap/>
            <w:vAlign w:val="bottom"/>
            <w:hideMark/>
          </w:tcPr>
          <w:p w14:paraId="1CF75A06" w14:textId="5B46B485" w:rsidR="00DC7146" w:rsidRPr="00261857" w:rsidRDefault="00DC7146" w:rsidP="00DC7146">
            <w:pPr>
              <w:jc w:val="center"/>
              <w:rPr>
                <w:rFonts w:eastAsia="Times New Roman" w:cs="Times New Roman"/>
                <w:color w:val="000000"/>
                <w:sz w:val="20"/>
                <w:szCs w:val="20"/>
              </w:rPr>
            </w:pPr>
            <w:r>
              <w:rPr>
                <w:color w:val="000000"/>
                <w:sz w:val="20"/>
                <w:szCs w:val="20"/>
              </w:rPr>
              <w:t>-0.141</w:t>
            </w:r>
          </w:p>
        </w:tc>
        <w:tc>
          <w:tcPr>
            <w:tcW w:w="1166" w:type="dxa"/>
            <w:tcBorders>
              <w:top w:val="nil"/>
              <w:left w:val="nil"/>
              <w:bottom w:val="nil"/>
              <w:right w:val="nil"/>
            </w:tcBorders>
            <w:shd w:val="clear" w:color="auto" w:fill="auto"/>
            <w:noWrap/>
            <w:vAlign w:val="bottom"/>
            <w:hideMark/>
          </w:tcPr>
          <w:p w14:paraId="58456AC0" w14:textId="7E6E9C8D" w:rsidR="00DC7146" w:rsidRPr="00261857" w:rsidRDefault="00DC7146" w:rsidP="00DC7146">
            <w:pPr>
              <w:jc w:val="center"/>
              <w:rPr>
                <w:rFonts w:eastAsia="Times New Roman" w:cs="Times New Roman"/>
                <w:color w:val="000000"/>
                <w:sz w:val="20"/>
                <w:szCs w:val="20"/>
              </w:rPr>
            </w:pPr>
            <w:r>
              <w:rPr>
                <w:color w:val="000000"/>
                <w:sz w:val="20"/>
                <w:szCs w:val="20"/>
              </w:rPr>
              <w:t>-0.133</w:t>
            </w:r>
          </w:p>
        </w:tc>
        <w:tc>
          <w:tcPr>
            <w:tcW w:w="1166" w:type="dxa"/>
            <w:tcBorders>
              <w:top w:val="nil"/>
              <w:left w:val="nil"/>
              <w:bottom w:val="nil"/>
              <w:right w:val="nil"/>
            </w:tcBorders>
            <w:shd w:val="clear" w:color="auto" w:fill="auto"/>
            <w:noWrap/>
            <w:vAlign w:val="bottom"/>
            <w:hideMark/>
          </w:tcPr>
          <w:p w14:paraId="7A1D2808" w14:textId="595F4111" w:rsidR="00DC7146" w:rsidRPr="00261857" w:rsidRDefault="00DC7146" w:rsidP="00DC7146">
            <w:pPr>
              <w:jc w:val="center"/>
              <w:rPr>
                <w:rFonts w:eastAsia="Times New Roman" w:cs="Times New Roman"/>
                <w:color w:val="000000"/>
                <w:sz w:val="20"/>
                <w:szCs w:val="20"/>
              </w:rPr>
            </w:pPr>
            <w:r>
              <w:rPr>
                <w:color w:val="000000"/>
                <w:sz w:val="20"/>
                <w:szCs w:val="20"/>
              </w:rPr>
              <w:t>-0.133</w:t>
            </w:r>
          </w:p>
        </w:tc>
      </w:tr>
      <w:tr w:rsidR="00DC7146" w:rsidRPr="00261857" w14:paraId="67DD144A" w14:textId="77777777" w:rsidTr="00DC7146">
        <w:trPr>
          <w:trHeight w:val="255"/>
        </w:trPr>
        <w:tc>
          <w:tcPr>
            <w:tcW w:w="1920" w:type="dxa"/>
            <w:tcBorders>
              <w:top w:val="nil"/>
              <w:left w:val="nil"/>
              <w:bottom w:val="nil"/>
              <w:right w:val="nil"/>
            </w:tcBorders>
            <w:shd w:val="clear" w:color="auto" w:fill="auto"/>
            <w:noWrap/>
            <w:vAlign w:val="bottom"/>
            <w:hideMark/>
          </w:tcPr>
          <w:p w14:paraId="46D0FA08"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5A14CCFC" w14:textId="35EF895E" w:rsidR="00DC7146" w:rsidRPr="00261857" w:rsidRDefault="00DC7146" w:rsidP="00DC7146">
            <w:pPr>
              <w:jc w:val="center"/>
              <w:rPr>
                <w:rFonts w:eastAsia="Times New Roman" w:cs="Times New Roman"/>
                <w:color w:val="000000"/>
                <w:sz w:val="20"/>
                <w:szCs w:val="20"/>
              </w:rPr>
            </w:pPr>
            <w:r>
              <w:rPr>
                <w:color w:val="000000"/>
                <w:sz w:val="20"/>
                <w:szCs w:val="20"/>
              </w:rPr>
              <w:t>(0.094)</w:t>
            </w:r>
          </w:p>
        </w:tc>
        <w:tc>
          <w:tcPr>
            <w:tcW w:w="1213" w:type="dxa"/>
            <w:tcBorders>
              <w:top w:val="nil"/>
              <w:left w:val="nil"/>
              <w:bottom w:val="nil"/>
              <w:right w:val="nil"/>
            </w:tcBorders>
            <w:shd w:val="clear" w:color="auto" w:fill="auto"/>
            <w:noWrap/>
            <w:vAlign w:val="bottom"/>
            <w:hideMark/>
          </w:tcPr>
          <w:p w14:paraId="6B08D5B5" w14:textId="5BB2DF52" w:rsidR="00DC7146" w:rsidRPr="00261857" w:rsidRDefault="00DC7146" w:rsidP="00DC7146">
            <w:pPr>
              <w:jc w:val="center"/>
              <w:rPr>
                <w:rFonts w:eastAsia="Times New Roman" w:cs="Times New Roman"/>
                <w:color w:val="000000"/>
                <w:sz w:val="20"/>
                <w:szCs w:val="20"/>
              </w:rPr>
            </w:pPr>
            <w:r>
              <w:rPr>
                <w:color w:val="000000"/>
                <w:sz w:val="20"/>
                <w:szCs w:val="20"/>
              </w:rPr>
              <w:t>(0.094)</w:t>
            </w:r>
          </w:p>
        </w:tc>
        <w:tc>
          <w:tcPr>
            <w:tcW w:w="1213" w:type="dxa"/>
            <w:tcBorders>
              <w:top w:val="nil"/>
              <w:left w:val="nil"/>
              <w:bottom w:val="nil"/>
              <w:right w:val="nil"/>
            </w:tcBorders>
            <w:shd w:val="clear" w:color="auto" w:fill="auto"/>
            <w:noWrap/>
            <w:vAlign w:val="bottom"/>
            <w:hideMark/>
          </w:tcPr>
          <w:p w14:paraId="4CFB6BC0" w14:textId="21FF0CF3" w:rsidR="00DC7146" w:rsidRPr="00261857" w:rsidRDefault="00DC7146" w:rsidP="00DC7146">
            <w:pPr>
              <w:jc w:val="center"/>
              <w:rPr>
                <w:rFonts w:eastAsia="Times New Roman" w:cs="Times New Roman"/>
                <w:color w:val="000000"/>
                <w:sz w:val="20"/>
                <w:szCs w:val="20"/>
              </w:rPr>
            </w:pPr>
            <w:r>
              <w:rPr>
                <w:color w:val="000000"/>
                <w:sz w:val="20"/>
                <w:szCs w:val="20"/>
              </w:rPr>
              <w:t>(0.094)</w:t>
            </w:r>
          </w:p>
        </w:tc>
        <w:tc>
          <w:tcPr>
            <w:tcW w:w="1166" w:type="dxa"/>
            <w:tcBorders>
              <w:top w:val="nil"/>
              <w:left w:val="nil"/>
              <w:bottom w:val="nil"/>
              <w:right w:val="nil"/>
            </w:tcBorders>
            <w:shd w:val="clear" w:color="auto" w:fill="auto"/>
            <w:noWrap/>
            <w:vAlign w:val="bottom"/>
            <w:hideMark/>
          </w:tcPr>
          <w:p w14:paraId="64618D46" w14:textId="3A0694C8" w:rsidR="00DC7146" w:rsidRPr="00261857" w:rsidRDefault="00DC7146" w:rsidP="00DC7146">
            <w:pPr>
              <w:jc w:val="center"/>
              <w:rPr>
                <w:rFonts w:eastAsia="Times New Roman" w:cs="Times New Roman"/>
                <w:color w:val="000000"/>
                <w:sz w:val="20"/>
                <w:szCs w:val="20"/>
              </w:rPr>
            </w:pPr>
            <w:r>
              <w:rPr>
                <w:color w:val="000000"/>
                <w:sz w:val="20"/>
                <w:szCs w:val="20"/>
              </w:rPr>
              <w:t>(0.094)</w:t>
            </w:r>
          </w:p>
        </w:tc>
        <w:tc>
          <w:tcPr>
            <w:tcW w:w="1166" w:type="dxa"/>
            <w:tcBorders>
              <w:top w:val="nil"/>
              <w:left w:val="nil"/>
              <w:bottom w:val="nil"/>
              <w:right w:val="nil"/>
            </w:tcBorders>
            <w:shd w:val="clear" w:color="auto" w:fill="auto"/>
            <w:noWrap/>
            <w:vAlign w:val="bottom"/>
            <w:hideMark/>
          </w:tcPr>
          <w:p w14:paraId="0D759F2F" w14:textId="2BAA136A" w:rsidR="00DC7146" w:rsidRPr="00261857" w:rsidRDefault="00DC7146" w:rsidP="00DC7146">
            <w:pPr>
              <w:jc w:val="center"/>
              <w:rPr>
                <w:rFonts w:eastAsia="Times New Roman" w:cs="Times New Roman"/>
                <w:color w:val="000000"/>
                <w:sz w:val="20"/>
                <w:szCs w:val="20"/>
              </w:rPr>
            </w:pPr>
            <w:r>
              <w:rPr>
                <w:color w:val="000000"/>
                <w:sz w:val="20"/>
                <w:szCs w:val="20"/>
              </w:rPr>
              <w:t>(0.094)</w:t>
            </w:r>
          </w:p>
        </w:tc>
        <w:tc>
          <w:tcPr>
            <w:tcW w:w="1166" w:type="dxa"/>
            <w:tcBorders>
              <w:top w:val="nil"/>
              <w:left w:val="nil"/>
              <w:bottom w:val="nil"/>
              <w:right w:val="nil"/>
            </w:tcBorders>
            <w:shd w:val="clear" w:color="auto" w:fill="auto"/>
            <w:noWrap/>
            <w:vAlign w:val="bottom"/>
            <w:hideMark/>
          </w:tcPr>
          <w:p w14:paraId="74687F00" w14:textId="3A310AFA" w:rsidR="00DC7146" w:rsidRPr="00261857" w:rsidRDefault="00DC7146" w:rsidP="00DC7146">
            <w:pPr>
              <w:jc w:val="center"/>
              <w:rPr>
                <w:rFonts w:eastAsia="Times New Roman" w:cs="Times New Roman"/>
                <w:color w:val="000000"/>
                <w:sz w:val="20"/>
                <w:szCs w:val="20"/>
              </w:rPr>
            </w:pPr>
            <w:r>
              <w:rPr>
                <w:color w:val="000000"/>
                <w:sz w:val="20"/>
                <w:szCs w:val="20"/>
              </w:rPr>
              <w:t>(0.094)</w:t>
            </w:r>
          </w:p>
        </w:tc>
      </w:tr>
      <w:tr w:rsidR="00DC7146" w:rsidRPr="00261857" w14:paraId="6EAF265B" w14:textId="77777777" w:rsidTr="00DC7146">
        <w:trPr>
          <w:trHeight w:val="255"/>
        </w:trPr>
        <w:tc>
          <w:tcPr>
            <w:tcW w:w="1920" w:type="dxa"/>
            <w:tcBorders>
              <w:top w:val="nil"/>
              <w:left w:val="nil"/>
              <w:bottom w:val="nil"/>
              <w:right w:val="nil"/>
            </w:tcBorders>
            <w:shd w:val="clear" w:color="auto" w:fill="auto"/>
            <w:noWrap/>
            <w:vAlign w:val="bottom"/>
            <w:hideMark/>
          </w:tcPr>
          <w:p w14:paraId="27604D4D" w14:textId="4C616F66" w:rsidR="00DC7146" w:rsidRPr="00261857" w:rsidRDefault="00DC7146" w:rsidP="00DC7146">
            <w:pPr>
              <w:rPr>
                <w:rFonts w:eastAsia="Times New Roman" w:cs="Times New Roman"/>
                <w:b/>
                <w:bCs/>
                <w:color w:val="000000"/>
                <w:sz w:val="20"/>
                <w:szCs w:val="20"/>
              </w:rPr>
            </w:pPr>
            <w:r>
              <w:rPr>
                <w:b/>
                <w:bCs/>
                <w:color w:val="000000"/>
                <w:sz w:val="20"/>
                <w:szCs w:val="20"/>
              </w:rPr>
              <w:t>DL x Gr 3 Summer</w:t>
            </w:r>
          </w:p>
        </w:tc>
        <w:tc>
          <w:tcPr>
            <w:tcW w:w="1214" w:type="dxa"/>
            <w:tcBorders>
              <w:top w:val="nil"/>
              <w:left w:val="nil"/>
              <w:bottom w:val="nil"/>
              <w:right w:val="nil"/>
            </w:tcBorders>
            <w:shd w:val="clear" w:color="auto" w:fill="auto"/>
            <w:noWrap/>
            <w:vAlign w:val="bottom"/>
            <w:hideMark/>
          </w:tcPr>
          <w:p w14:paraId="34824476" w14:textId="5900AE35" w:rsidR="00DC7146" w:rsidRPr="00261857" w:rsidRDefault="00DC7146" w:rsidP="00DC7146">
            <w:pPr>
              <w:jc w:val="center"/>
              <w:rPr>
                <w:rFonts w:eastAsia="Times New Roman" w:cs="Times New Roman"/>
                <w:b/>
                <w:bCs/>
                <w:color w:val="000000"/>
                <w:sz w:val="20"/>
                <w:szCs w:val="20"/>
              </w:rPr>
            </w:pPr>
            <w:r>
              <w:rPr>
                <w:b/>
                <w:bCs/>
                <w:color w:val="000000"/>
                <w:sz w:val="20"/>
                <w:szCs w:val="20"/>
              </w:rPr>
              <w:t>-0.531***</w:t>
            </w:r>
          </w:p>
        </w:tc>
        <w:tc>
          <w:tcPr>
            <w:tcW w:w="1213" w:type="dxa"/>
            <w:tcBorders>
              <w:top w:val="nil"/>
              <w:left w:val="nil"/>
              <w:bottom w:val="nil"/>
              <w:right w:val="nil"/>
            </w:tcBorders>
            <w:shd w:val="clear" w:color="auto" w:fill="auto"/>
            <w:noWrap/>
            <w:vAlign w:val="bottom"/>
            <w:hideMark/>
          </w:tcPr>
          <w:p w14:paraId="04893345" w14:textId="3F1760DA" w:rsidR="00DC7146" w:rsidRPr="00261857" w:rsidRDefault="00DC7146" w:rsidP="00DC7146">
            <w:pPr>
              <w:jc w:val="center"/>
              <w:rPr>
                <w:rFonts w:eastAsia="Times New Roman" w:cs="Times New Roman"/>
                <w:b/>
                <w:bCs/>
                <w:color w:val="000000"/>
                <w:sz w:val="20"/>
                <w:szCs w:val="20"/>
              </w:rPr>
            </w:pPr>
            <w:r>
              <w:rPr>
                <w:b/>
                <w:bCs/>
                <w:color w:val="000000"/>
                <w:sz w:val="20"/>
                <w:szCs w:val="20"/>
              </w:rPr>
              <w:t>-0.538***</w:t>
            </w:r>
          </w:p>
        </w:tc>
        <w:tc>
          <w:tcPr>
            <w:tcW w:w="1213" w:type="dxa"/>
            <w:tcBorders>
              <w:top w:val="nil"/>
              <w:left w:val="nil"/>
              <w:bottom w:val="nil"/>
              <w:right w:val="nil"/>
            </w:tcBorders>
            <w:shd w:val="clear" w:color="auto" w:fill="auto"/>
            <w:noWrap/>
            <w:vAlign w:val="bottom"/>
            <w:hideMark/>
          </w:tcPr>
          <w:p w14:paraId="1E808DB9" w14:textId="276D5D7F" w:rsidR="00DC7146" w:rsidRPr="00261857" w:rsidRDefault="00DC7146" w:rsidP="00DC7146">
            <w:pPr>
              <w:jc w:val="center"/>
              <w:rPr>
                <w:rFonts w:eastAsia="Times New Roman" w:cs="Times New Roman"/>
                <w:b/>
                <w:bCs/>
                <w:color w:val="000000"/>
                <w:sz w:val="20"/>
                <w:szCs w:val="20"/>
              </w:rPr>
            </w:pPr>
            <w:r>
              <w:rPr>
                <w:b/>
                <w:bCs/>
                <w:color w:val="000000"/>
                <w:sz w:val="20"/>
                <w:szCs w:val="20"/>
              </w:rPr>
              <w:t>-0.538***</w:t>
            </w:r>
          </w:p>
        </w:tc>
        <w:tc>
          <w:tcPr>
            <w:tcW w:w="1166" w:type="dxa"/>
            <w:tcBorders>
              <w:top w:val="nil"/>
              <w:left w:val="nil"/>
              <w:bottom w:val="nil"/>
              <w:right w:val="nil"/>
            </w:tcBorders>
            <w:shd w:val="clear" w:color="auto" w:fill="auto"/>
            <w:noWrap/>
            <w:vAlign w:val="bottom"/>
            <w:hideMark/>
          </w:tcPr>
          <w:p w14:paraId="44C9B9C3" w14:textId="42923A16" w:rsidR="00DC7146" w:rsidRPr="00261857" w:rsidRDefault="00DC7146" w:rsidP="00DC7146">
            <w:pPr>
              <w:jc w:val="center"/>
              <w:rPr>
                <w:rFonts w:eastAsia="Times New Roman" w:cs="Times New Roman"/>
                <w:b/>
                <w:bCs/>
                <w:color w:val="000000"/>
                <w:sz w:val="20"/>
                <w:szCs w:val="20"/>
              </w:rPr>
            </w:pPr>
            <w:r>
              <w:rPr>
                <w:b/>
                <w:bCs/>
                <w:color w:val="000000"/>
                <w:sz w:val="20"/>
                <w:szCs w:val="20"/>
              </w:rPr>
              <w:t>0.070</w:t>
            </w:r>
          </w:p>
        </w:tc>
        <w:tc>
          <w:tcPr>
            <w:tcW w:w="1166" w:type="dxa"/>
            <w:tcBorders>
              <w:top w:val="nil"/>
              <w:left w:val="nil"/>
              <w:bottom w:val="nil"/>
              <w:right w:val="nil"/>
            </w:tcBorders>
            <w:shd w:val="clear" w:color="auto" w:fill="auto"/>
            <w:noWrap/>
            <w:vAlign w:val="bottom"/>
            <w:hideMark/>
          </w:tcPr>
          <w:p w14:paraId="09E85997" w14:textId="526697DD" w:rsidR="00DC7146" w:rsidRPr="00261857" w:rsidRDefault="00DC7146" w:rsidP="00DC7146">
            <w:pPr>
              <w:jc w:val="center"/>
              <w:rPr>
                <w:rFonts w:eastAsia="Times New Roman" w:cs="Times New Roman"/>
                <w:b/>
                <w:bCs/>
                <w:color w:val="000000"/>
                <w:sz w:val="20"/>
                <w:szCs w:val="20"/>
              </w:rPr>
            </w:pPr>
            <w:r>
              <w:rPr>
                <w:b/>
                <w:bCs/>
                <w:color w:val="000000"/>
                <w:sz w:val="20"/>
                <w:szCs w:val="20"/>
              </w:rPr>
              <w:t>0.059</w:t>
            </w:r>
          </w:p>
        </w:tc>
        <w:tc>
          <w:tcPr>
            <w:tcW w:w="1166" w:type="dxa"/>
            <w:tcBorders>
              <w:top w:val="nil"/>
              <w:left w:val="nil"/>
              <w:bottom w:val="nil"/>
              <w:right w:val="nil"/>
            </w:tcBorders>
            <w:shd w:val="clear" w:color="auto" w:fill="auto"/>
            <w:noWrap/>
            <w:vAlign w:val="bottom"/>
            <w:hideMark/>
          </w:tcPr>
          <w:p w14:paraId="31C1B0FA" w14:textId="68FDA8E1" w:rsidR="00DC7146" w:rsidRPr="00261857" w:rsidRDefault="00DC7146" w:rsidP="00DC7146">
            <w:pPr>
              <w:jc w:val="center"/>
              <w:rPr>
                <w:rFonts w:eastAsia="Times New Roman" w:cs="Times New Roman"/>
                <w:b/>
                <w:bCs/>
                <w:color w:val="000000"/>
                <w:sz w:val="20"/>
                <w:szCs w:val="20"/>
              </w:rPr>
            </w:pPr>
            <w:r>
              <w:rPr>
                <w:b/>
                <w:bCs/>
                <w:color w:val="000000"/>
                <w:sz w:val="20"/>
                <w:szCs w:val="20"/>
              </w:rPr>
              <w:t>0.058</w:t>
            </w:r>
          </w:p>
        </w:tc>
      </w:tr>
      <w:tr w:rsidR="00DC7146" w:rsidRPr="00261857" w14:paraId="7B896290" w14:textId="77777777" w:rsidTr="00DC7146">
        <w:trPr>
          <w:trHeight w:val="255"/>
        </w:trPr>
        <w:tc>
          <w:tcPr>
            <w:tcW w:w="1920" w:type="dxa"/>
            <w:tcBorders>
              <w:top w:val="nil"/>
              <w:left w:val="nil"/>
              <w:bottom w:val="nil"/>
              <w:right w:val="nil"/>
            </w:tcBorders>
            <w:shd w:val="clear" w:color="auto" w:fill="auto"/>
            <w:noWrap/>
            <w:vAlign w:val="bottom"/>
            <w:hideMark/>
          </w:tcPr>
          <w:p w14:paraId="505F7276"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78B6E704" w14:textId="7200C635" w:rsidR="00DC7146" w:rsidRPr="00261857" w:rsidRDefault="00DC7146" w:rsidP="00DC7146">
            <w:pPr>
              <w:jc w:val="center"/>
              <w:rPr>
                <w:rFonts w:eastAsia="Times New Roman" w:cs="Times New Roman"/>
                <w:color w:val="000000"/>
                <w:sz w:val="20"/>
                <w:szCs w:val="20"/>
              </w:rPr>
            </w:pPr>
            <w:r>
              <w:rPr>
                <w:color w:val="000000"/>
                <w:sz w:val="20"/>
                <w:szCs w:val="20"/>
              </w:rPr>
              <w:t>(0.104)</w:t>
            </w:r>
          </w:p>
        </w:tc>
        <w:tc>
          <w:tcPr>
            <w:tcW w:w="1213" w:type="dxa"/>
            <w:tcBorders>
              <w:top w:val="nil"/>
              <w:left w:val="nil"/>
              <w:bottom w:val="nil"/>
              <w:right w:val="nil"/>
            </w:tcBorders>
            <w:shd w:val="clear" w:color="auto" w:fill="auto"/>
            <w:noWrap/>
            <w:vAlign w:val="bottom"/>
            <w:hideMark/>
          </w:tcPr>
          <w:p w14:paraId="1BC96F9A" w14:textId="5D4651DE" w:rsidR="00DC7146" w:rsidRPr="00261857" w:rsidRDefault="00DC7146" w:rsidP="00DC7146">
            <w:pPr>
              <w:jc w:val="center"/>
              <w:rPr>
                <w:rFonts w:eastAsia="Times New Roman" w:cs="Times New Roman"/>
                <w:color w:val="000000"/>
                <w:sz w:val="20"/>
                <w:szCs w:val="20"/>
              </w:rPr>
            </w:pPr>
            <w:r>
              <w:rPr>
                <w:color w:val="000000"/>
                <w:sz w:val="20"/>
                <w:szCs w:val="20"/>
              </w:rPr>
              <w:t>(0.105)</w:t>
            </w:r>
          </w:p>
        </w:tc>
        <w:tc>
          <w:tcPr>
            <w:tcW w:w="1213" w:type="dxa"/>
            <w:tcBorders>
              <w:top w:val="nil"/>
              <w:left w:val="nil"/>
              <w:bottom w:val="nil"/>
              <w:right w:val="nil"/>
            </w:tcBorders>
            <w:shd w:val="clear" w:color="auto" w:fill="auto"/>
            <w:noWrap/>
            <w:vAlign w:val="bottom"/>
            <w:hideMark/>
          </w:tcPr>
          <w:p w14:paraId="19CB3732" w14:textId="6C75FC9E" w:rsidR="00DC7146" w:rsidRPr="00261857" w:rsidRDefault="00DC7146" w:rsidP="00DC7146">
            <w:pPr>
              <w:jc w:val="center"/>
              <w:rPr>
                <w:rFonts w:eastAsia="Times New Roman" w:cs="Times New Roman"/>
                <w:color w:val="000000"/>
                <w:sz w:val="20"/>
                <w:szCs w:val="20"/>
              </w:rPr>
            </w:pPr>
            <w:r>
              <w:rPr>
                <w:color w:val="000000"/>
                <w:sz w:val="20"/>
                <w:szCs w:val="20"/>
              </w:rPr>
              <w:t>(0.105)</w:t>
            </w:r>
          </w:p>
        </w:tc>
        <w:tc>
          <w:tcPr>
            <w:tcW w:w="1166" w:type="dxa"/>
            <w:tcBorders>
              <w:top w:val="nil"/>
              <w:left w:val="nil"/>
              <w:bottom w:val="nil"/>
              <w:right w:val="nil"/>
            </w:tcBorders>
            <w:shd w:val="clear" w:color="auto" w:fill="auto"/>
            <w:noWrap/>
            <w:vAlign w:val="bottom"/>
            <w:hideMark/>
          </w:tcPr>
          <w:p w14:paraId="2411413F" w14:textId="2E557767" w:rsidR="00DC7146" w:rsidRPr="00261857" w:rsidRDefault="00DC7146" w:rsidP="00DC7146">
            <w:pPr>
              <w:jc w:val="center"/>
              <w:rPr>
                <w:rFonts w:eastAsia="Times New Roman" w:cs="Times New Roman"/>
                <w:color w:val="000000"/>
                <w:sz w:val="20"/>
                <w:szCs w:val="20"/>
              </w:rPr>
            </w:pPr>
            <w:r>
              <w:rPr>
                <w:color w:val="000000"/>
                <w:sz w:val="20"/>
                <w:szCs w:val="20"/>
              </w:rPr>
              <w:t>(0.116)</w:t>
            </w:r>
          </w:p>
        </w:tc>
        <w:tc>
          <w:tcPr>
            <w:tcW w:w="1166" w:type="dxa"/>
            <w:tcBorders>
              <w:top w:val="nil"/>
              <w:left w:val="nil"/>
              <w:bottom w:val="nil"/>
              <w:right w:val="nil"/>
            </w:tcBorders>
            <w:shd w:val="clear" w:color="auto" w:fill="auto"/>
            <w:noWrap/>
            <w:vAlign w:val="bottom"/>
            <w:hideMark/>
          </w:tcPr>
          <w:p w14:paraId="4500DDAF" w14:textId="6A42887B" w:rsidR="00DC7146" w:rsidRPr="00261857" w:rsidRDefault="00DC7146" w:rsidP="00DC7146">
            <w:pPr>
              <w:jc w:val="center"/>
              <w:rPr>
                <w:rFonts w:eastAsia="Times New Roman" w:cs="Times New Roman"/>
                <w:color w:val="000000"/>
                <w:sz w:val="20"/>
                <w:szCs w:val="20"/>
              </w:rPr>
            </w:pPr>
            <w:r>
              <w:rPr>
                <w:color w:val="000000"/>
                <w:sz w:val="20"/>
                <w:szCs w:val="20"/>
              </w:rPr>
              <w:t>(0.116)</w:t>
            </w:r>
          </w:p>
        </w:tc>
        <w:tc>
          <w:tcPr>
            <w:tcW w:w="1166" w:type="dxa"/>
            <w:tcBorders>
              <w:top w:val="nil"/>
              <w:left w:val="nil"/>
              <w:bottom w:val="nil"/>
              <w:right w:val="nil"/>
            </w:tcBorders>
            <w:shd w:val="clear" w:color="auto" w:fill="auto"/>
            <w:noWrap/>
            <w:vAlign w:val="bottom"/>
            <w:hideMark/>
          </w:tcPr>
          <w:p w14:paraId="4D456D92" w14:textId="24B232B7" w:rsidR="00DC7146" w:rsidRPr="00261857" w:rsidRDefault="00DC7146" w:rsidP="00DC7146">
            <w:pPr>
              <w:jc w:val="center"/>
              <w:rPr>
                <w:rFonts w:eastAsia="Times New Roman" w:cs="Times New Roman"/>
                <w:color w:val="000000"/>
                <w:sz w:val="20"/>
                <w:szCs w:val="20"/>
              </w:rPr>
            </w:pPr>
            <w:r>
              <w:rPr>
                <w:color w:val="000000"/>
                <w:sz w:val="20"/>
                <w:szCs w:val="20"/>
              </w:rPr>
              <w:t>(0.116)</w:t>
            </w:r>
          </w:p>
        </w:tc>
      </w:tr>
      <w:tr w:rsidR="00DC7146" w:rsidRPr="00261857" w14:paraId="03B0CDC4" w14:textId="77777777" w:rsidTr="00DC7146">
        <w:trPr>
          <w:trHeight w:val="255"/>
        </w:trPr>
        <w:tc>
          <w:tcPr>
            <w:tcW w:w="1920" w:type="dxa"/>
            <w:tcBorders>
              <w:top w:val="nil"/>
              <w:left w:val="nil"/>
              <w:bottom w:val="nil"/>
              <w:right w:val="nil"/>
            </w:tcBorders>
            <w:shd w:val="clear" w:color="auto" w:fill="auto"/>
            <w:noWrap/>
            <w:vAlign w:val="bottom"/>
            <w:hideMark/>
          </w:tcPr>
          <w:p w14:paraId="60971710" w14:textId="1ED53844" w:rsidR="00DC7146" w:rsidRPr="00261857" w:rsidRDefault="00DC7146" w:rsidP="00DC7146">
            <w:pPr>
              <w:rPr>
                <w:rFonts w:eastAsia="Times New Roman" w:cs="Times New Roman"/>
                <w:color w:val="000000"/>
                <w:sz w:val="20"/>
                <w:szCs w:val="20"/>
              </w:rPr>
            </w:pPr>
            <w:r>
              <w:rPr>
                <w:color w:val="000000"/>
                <w:sz w:val="20"/>
                <w:szCs w:val="20"/>
              </w:rPr>
              <w:t>Gr 4 AY</w:t>
            </w:r>
          </w:p>
        </w:tc>
        <w:tc>
          <w:tcPr>
            <w:tcW w:w="1214" w:type="dxa"/>
            <w:tcBorders>
              <w:top w:val="nil"/>
              <w:left w:val="nil"/>
              <w:bottom w:val="nil"/>
              <w:right w:val="nil"/>
            </w:tcBorders>
            <w:shd w:val="clear" w:color="auto" w:fill="auto"/>
            <w:noWrap/>
            <w:vAlign w:val="bottom"/>
            <w:hideMark/>
          </w:tcPr>
          <w:p w14:paraId="1F5C9842" w14:textId="43927921" w:rsidR="00DC7146" w:rsidRPr="00261857" w:rsidRDefault="00DC7146" w:rsidP="00DC7146">
            <w:pPr>
              <w:jc w:val="center"/>
              <w:rPr>
                <w:rFonts w:eastAsia="Times New Roman" w:cs="Times New Roman"/>
                <w:color w:val="000000"/>
                <w:sz w:val="20"/>
                <w:szCs w:val="20"/>
              </w:rPr>
            </w:pPr>
            <w:r>
              <w:rPr>
                <w:color w:val="000000"/>
                <w:sz w:val="20"/>
                <w:szCs w:val="20"/>
              </w:rPr>
              <w:t>1.125***</w:t>
            </w:r>
          </w:p>
        </w:tc>
        <w:tc>
          <w:tcPr>
            <w:tcW w:w="1213" w:type="dxa"/>
            <w:tcBorders>
              <w:top w:val="nil"/>
              <w:left w:val="nil"/>
              <w:bottom w:val="nil"/>
              <w:right w:val="nil"/>
            </w:tcBorders>
            <w:shd w:val="clear" w:color="auto" w:fill="auto"/>
            <w:noWrap/>
            <w:vAlign w:val="bottom"/>
            <w:hideMark/>
          </w:tcPr>
          <w:p w14:paraId="3E49CE7B" w14:textId="0B83290E" w:rsidR="00DC7146" w:rsidRPr="00261857" w:rsidRDefault="00DC7146" w:rsidP="00DC7146">
            <w:pPr>
              <w:jc w:val="center"/>
              <w:rPr>
                <w:rFonts w:eastAsia="Times New Roman" w:cs="Times New Roman"/>
                <w:color w:val="000000"/>
                <w:sz w:val="20"/>
                <w:szCs w:val="20"/>
              </w:rPr>
            </w:pPr>
            <w:r>
              <w:rPr>
                <w:color w:val="000000"/>
                <w:sz w:val="20"/>
                <w:szCs w:val="20"/>
              </w:rPr>
              <w:t>1.123***</w:t>
            </w:r>
          </w:p>
        </w:tc>
        <w:tc>
          <w:tcPr>
            <w:tcW w:w="1213" w:type="dxa"/>
            <w:tcBorders>
              <w:top w:val="nil"/>
              <w:left w:val="nil"/>
              <w:bottom w:val="nil"/>
              <w:right w:val="nil"/>
            </w:tcBorders>
            <w:shd w:val="clear" w:color="auto" w:fill="auto"/>
            <w:noWrap/>
            <w:vAlign w:val="bottom"/>
            <w:hideMark/>
          </w:tcPr>
          <w:p w14:paraId="3083087F" w14:textId="196F22F3" w:rsidR="00DC7146" w:rsidRPr="00261857" w:rsidRDefault="00DC7146" w:rsidP="00DC7146">
            <w:pPr>
              <w:jc w:val="center"/>
              <w:rPr>
                <w:rFonts w:eastAsia="Times New Roman" w:cs="Times New Roman"/>
                <w:color w:val="000000"/>
                <w:sz w:val="20"/>
                <w:szCs w:val="20"/>
              </w:rPr>
            </w:pPr>
            <w:r>
              <w:rPr>
                <w:color w:val="000000"/>
                <w:sz w:val="20"/>
                <w:szCs w:val="20"/>
              </w:rPr>
              <w:t>1.123***</w:t>
            </w:r>
          </w:p>
        </w:tc>
        <w:tc>
          <w:tcPr>
            <w:tcW w:w="1166" w:type="dxa"/>
            <w:tcBorders>
              <w:top w:val="nil"/>
              <w:left w:val="nil"/>
              <w:bottom w:val="nil"/>
              <w:right w:val="nil"/>
            </w:tcBorders>
            <w:shd w:val="clear" w:color="auto" w:fill="auto"/>
            <w:noWrap/>
            <w:vAlign w:val="bottom"/>
            <w:hideMark/>
          </w:tcPr>
          <w:p w14:paraId="2DE9B260" w14:textId="2C820C8F" w:rsidR="00DC7146" w:rsidRPr="00261857" w:rsidRDefault="00DC7146" w:rsidP="00DC7146">
            <w:pPr>
              <w:jc w:val="center"/>
              <w:rPr>
                <w:rFonts w:eastAsia="Times New Roman" w:cs="Times New Roman"/>
                <w:color w:val="000000"/>
                <w:sz w:val="20"/>
                <w:szCs w:val="20"/>
              </w:rPr>
            </w:pPr>
            <w:r>
              <w:rPr>
                <w:color w:val="000000"/>
                <w:sz w:val="20"/>
                <w:szCs w:val="20"/>
              </w:rPr>
              <w:t>0.840***</w:t>
            </w:r>
          </w:p>
        </w:tc>
        <w:tc>
          <w:tcPr>
            <w:tcW w:w="1166" w:type="dxa"/>
            <w:tcBorders>
              <w:top w:val="nil"/>
              <w:left w:val="nil"/>
              <w:bottom w:val="nil"/>
              <w:right w:val="nil"/>
            </w:tcBorders>
            <w:shd w:val="clear" w:color="auto" w:fill="auto"/>
            <w:noWrap/>
            <w:vAlign w:val="bottom"/>
            <w:hideMark/>
          </w:tcPr>
          <w:p w14:paraId="796CD63A" w14:textId="71D07FB7" w:rsidR="00DC7146" w:rsidRPr="00261857" w:rsidRDefault="00DC7146" w:rsidP="00DC7146">
            <w:pPr>
              <w:jc w:val="center"/>
              <w:rPr>
                <w:rFonts w:eastAsia="Times New Roman" w:cs="Times New Roman"/>
                <w:color w:val="000000"/>
                <w:sz w:val="20"/>
                <w:szCs w:val="20"/>
              </w:rPr>
            </w:pPr>
            <w:r>
              <w:rPr>
                <w:color w:val="000000"/>
                <w:sz w:val="20"/>
                <w:szCs w:val="20"/>
              </w:rPr>
              <w:t>0.838***</w:t>
            </w:r>
          </w:p>
        </w:tc>
        <w:tc>
          <w:tcPr>
            <w:tcW w:w="1166" w:type="dxa"/>
            <w:tcBorders>
              <w:top w:val="nil"/>
              <w:left w:val="nil"/>
              <w:bottom w:val="nil"/>
              <w:right w:val="nil"/>
            </w:tcBorders>
            <w:shd w:val="clear" w:color="auto" w:fill="auto"/>
            <w:noWrap/>
            <w:vAlign w:val="bottom"/>
            <w:hideMark/>
          </w:tcPr>
          <w:p w14:paraId="5F63689A" w14:textId="7FF3F0C1" w:rsidR="00DC7146" w:rsidRPr="00261857" w:rsidRDefault="00DC7146" w:rsidP="00DC7146">
            <w:pPr>
              <w:jc w:val="center"/>
              <w:rPr>
                <w:rFonts w:eastAsia="Times New Roman" w:cs="Times New Roman"/>
                <w:color w:val="000000"/>
                <w:sz w:val="20"/>
                <w:szCs w:val="20"/>
              </w:rPr>
            </w:pPr>
            <w:r>
              <w:rPr>
                <w:color w:val="000000"/>
                <w:sz w:val="20"/>
                <w:szCs w:val="20"/>
              </w:rPr>
              <w:t>0.837***</w:t>
            </w:r>
          </w:p>
        </w:tc>
      </w:tr>
      <w:tr w:rsidR="00DC7146" w:rsidRPr="00261857" w14:paraId="341BC2EC" w14:textId="77777777" w:rsidTr="00DC7146">
        <w:trPr>
          <w:trHeight w:val="255"/>
        </w:trPr>
        <w:tc>
          <w:tcPr>
            <w:tcW w:w="1920" w:type="dxa"/>
            <w:tcBorders>
              <w:top w:val="nil"/>
              <w:left w:val="nil"/>
              <w:bottom w:val="nil"/>
              <w:right w:val="nil"/>
            </w:tcBorders>
            <w:shd w:val="clear" w:color="auto" w:fill="auto"/>
            <w:noWrap/>
            <w:vAlign w:val="bottom"/>
            <w:hideMark/>
          </w:tcPr>
          <w:p w14:paraId="30D2884F"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17C409B5" w14:textId="5171FCD4" w:rsidR="00DC7146" w:rsidRPr="00261857" w:rsidRDefault="00DC7146" w:rsidP="00DC7146">
            <w:pPr>
              <w:jc w:val="center"/>
              <w:rPr>
                <w:rFonts w:eastAsia="Times New Roman" w:cs="Times New Roman"/>
                <w:color w:val="000000"/>
                <w:sz w:val="20"/>
                <w:szCs w:val="20"/>
              </w:rPr>
            </w:pPr>
            <w:r>
              <w:rPr>
                <w:color w:val="000000"/>
                <w:sz w:val="20"/>
                <w:szCs w:val="20"/>
              </w:rPr>
              <w:t>(0.031)</w:t>
            </w:r>
          </w:p>
        </w:tc>
        <w:tc>
          <w:tcPr>
            <w:tcW w:w="1213" w:type="dxa"/>
            <w:tcBorders>
              <w:top w:val="nil"/>
              <w:left w:val="nil"/>
              <w:bottom w:val="nil"/>
              <w:right w:val="nil"/>
            </w:tcBorders>
            <w:shd w:val="clear" w:color="auto" w:fill="auto"/>
            <w:noWrap/>
            <w:vAlign w:val="bottom"/>
            <w:hideMark/>
          </w:tcPr>
          <w:p w14:paraId="56B51169" w14:textId="39EE67E0" w:rsidR="00DC7146" w:rsidRPr="00261857" w:rsidRDefault="00DC7146" w:rsidP="00DC7146">
            <w:pPr>
              <w:jc w:val="center"/>
              <w:rPr>
                <w:rFonts w:eastAsia="Times New Roman" w:cs="Times New Roman"/>
                <w:color w:val="000000"/>
                <w:sz w:val="20"/>
                <w:szCs w:val="20"/>
              </w:rPr>
            </w:pPr>
            <w:r>
              <w:rPr>
                <w:color w:val="000000"/>
                <w:sz w:val="20"/>
                <w:szCs w:val="20"/>
              </w:rPr>
              <w:t>(0.031)</w:t>
            </w:r>
          </w:p>
        </w:tc>
        <w:tc>
          <w:tcPr>
            <w:tcW w:w="1213" w:type="dxa"/>
            <w:tcBorders>
              <w:top w:val="nil"/>
              <w:left w:val="nil"/>
              <w:bottom w:val="nil"/>
              <w:right w:val="nil"/>
            </w:tcBorders>
            <w:shd w:val="clear" w:color="auto" w:fill="auto"/>
            <w:noWrap/>
            <w:vAlign w:val="bottom"/>
            <w:hideMark/>
          </w:tcPr>
          <w:p w14:paraId="7B69CCDF" w14:textId="33C647E8" w:rsidR="00DC7146" w:rsidRPr="00261857" w:rsidRDefault="00DC7146" w:rsidP="00DC7146">
            <w:pPr>
              <w:jc w:val="center"/>
              <w:rPr>
                <w:rFonts w:eastAsia="Times New Roman" w:cs="Times New Roman"/>
                <w:color w:val="000000"/>
                <w:sz w:val="20"/>
                <w:szCs w:val="20"/>
              </w:rPr>
            </w:pPr>
            <w:r>
              <w:rPr>
                <w:color w:val="000000"/>
                <w:sz w:val="20"/>
                <w:szCs w:val="20"/>
              </w:rPr>
              <w:t>(0.031)</w:t>
            </w:r>
          </w:p>
        </w:tc>
        <w:tc>
          <w:tcPr>
            <w:tcW w:w="1166" w:type="dxa"/>
            <w:tcBorders>
              <w:top w:val="nil"/>
              <w:left w:val="nil"/>
              <w:bottom w:val="nil"/>
              <w:right w:val="nil"/>
            </w:tcBorders>
            <w:shd w:val="clear" w:color="auto" w:fill="auto"/>
            <w:noWrap/>
            <w:vAlign w:val="bottom"/>
            <w:hideMark/>
          </w:tcPr>
          <w:p w14:paraId="24E57E26" w14:textId="0DBCC984" w:rsidR="00DC7146" w:rsidRPr="00261857" w:rsidRDefault="00DC7146" w:rsidP="00DC7146">
            <w:pPr>
              <w:jc w:val="center"/>
              <w:rPr>
                <w:rFonts w:eastAsia="Times New Roman" w:cs="Times New Roman"/>
                <w:color w:val="000000"/>
                <w:sz w:val="20"/>
                <w:szCs w:val="20"/>
              </w:rPr>
            </w:pPr>
            <w:r>
              <w:rPr>
                <w:color w:val="000000"/>
                <w:sz w:val="20"/>
                <w:szCs w:val="20"/>
              </w:rPr>
              <w:t>(0.025)</w:t>
            </w:r>
          </w:p>
        </w:tc>
        <w:tc>
          <w:tcPr>
            <w:tcW w:w="1166" w:type="dxa"/>
            <w:tcBorders>
              <w:top w:val="nil"/>
              <w:left w:val="nil"/>
              <w:bottom w:val="nil"/>
              <w:right w:val="nil"/>
            </w:tcBorders>
            <w:shd w:val="clear" w:color="auto" w:fill="auto"/>
            <w:noWrap/>
            <w:vAlign w:val="bottom"/>
            <w:hideMark/>
          </w:tcPr>
          <w:p w14:paraId="13254A74" w14:textId="6A549BEA" w:rsidR="00DC7146" w:rsidRPr="00261857" w:rsidRDefault="00DC7146" w:rsidP="00DC7146">
            <w:pPr>
              <w:jc w:val="center"/>
              <w:rPr>
                <w:rFonts w:eastAsia="Times New Roman" w:cs="Times New Roman"/>
                <w:color w:val="000000"/>
                <w:sz w:val="20"/>
                <w:szCs w:val="20"/>
              </w:rPr>
            </w:pPr>
            <w:r>
              <w:rPr>
                <w:color w:val="000000"/>
                <w:sz w:val="20"/>
                <w:szCs w:val="20"/>
              </w:rPr>
              <w:t>(0.025)</w:t>
            </w:r>
          </w:p>
        </w:tc>
        <w:tc>
          <w:tcPr>
            <w:tcW w:w="1166" w:type="dxa"/>
            <w:tcBorders>
              <w:top w:val="nil"/>
              <w:left w:val="nil"/>
              <w:bottom w:val="nil"/>
              <w:right w:val="nil"/>
            </w:tcBorders>
            <w:shd w:val="clear" w:color="auto" w:fill="auto"/>
            <w:noWrap/>
            <w:vAlign w:val="bottom"/>
            <w:hideMark/>
          </w:tcPr>
          <w:p w14:paraId="18A60508" w14:textId="31BD9987" w:rsidR="00DC7146" w:rsidRPr="00261857" w:rsidRDefault="00DC7146" w:rsidP="00DC7146">
            <w:pPr>
              <w:jc w:val="center"/>
              <w:rPr>
                <w:rFonts w:eastAsia="Times New Roman" w:cs="Times New Roman"/>
                <w:color w:val="000000"/>
                <w:sz w:val="20"/>
                <w:szCs w:val="20"/>
              </w:rPr>
            </w:pPr>
            <w:r>
              <w:rPr>
                <w:color w:val="000000"/>
                <w:sz w:val="20"/>
                <w:szCs w:val="20"/>
              </w:rPr>
              <w:t>(0.025)</w:t>
            </w:r>
          </w:p>
        </w:tc>
      </w:tr>
      <w:tr w:rsidR="00DC7146" w:rsidRPr="00261857" w14:paraId="5D2805EC" w14:textId="77777777" w:rsidTr="00DC7146">
        <w:trPr>
          <w:trHeight w:val="255"/>
        </w:trPr>
        <w:tc>
          <w:tcPr>
            <w:tcW w:w="1920" w:type="dxa"/>
            <w:tcBorders>
              <w:top w:val="nil"/>
              <w:left w:val="nil"/>
              <w:bottom w:val="nil"/>
              <w:right w:val="nil"/>
            </w:tcBorders>
            <w:shd w:val="clear" w:color="auto" w:fill="auto"/>
            <w:noWrap/>
            <w:vAlign w:val="bottom"/>
            <w:hideMark/>
          </w:tcPr>
          <w:p w14:paraId="2811A85C" w14:textId="0E507107" w:rsidR="00DC7146" w:rsidRPr="00261857" w:rsidRDefault="00DC7146" w:rsidP="00DC7146">
            <w:pPr>
              <w:rPr>
                <w:rFonts w:eastAsia="Times New Roman" w:cs="Times New Roman"/>
                <w:b/>
                <w:bCs/>
                <w:color w:val="000000"/>
                <w:sz w:val="20"/>
                <w:szCs w:val="20"/>
              </w:rPr>
            </w:pPr>
            <w:r>
              <w:rPr>
                <w:b/>
                <w:bCs/>
                <w:color w:val="000000"/>
                <w:sz w:val="20"/>
                <w:szCs w:val="20"/>
              </w:rPr>
              <w:t>DL x Gr 4 AY</w:t>
            </w:r>
          </w:p>
        </w:tc>
        <w:tc>
          <w:tcPr>
            <w:tcW w:w="1214" w:type="dxa"/>
            <w:tcBorders>
              <w:top w:val="nil"/>
              <w:left w:val="nil"/>
              <w:bottom w:val="nil"/>
              <w:right w:val="nil"/>
            </w:tcBorders>
            <w:shd w:val="clear" w:color="auto" w:fill="auto"/>
            <w:noWrap/>
            <w:vAlign w:val="bottom"/>
            <w:hideMark/>
          </w:tcPr>
          <w:p w14:paraId="487495FB" w14:textId="686732E4" w:rsidR="00DC7146" w:rsidRPr="00261857" w:rsidRDefault="00DC7146" w:rsidP="00DC7146">
            <w:pPr>
              <w:jc w:val="center"/>
              <w:rPr>
                <w:rFonts w:eastAsia="Times New Roman" w:cs="Times New Roman"/>
                <w:b/>
                <w:bCs/>
                <w:color w:val="000000"/>
                <w:sz w:val="20"/>
                <w:szCs w:val="20"/>
              </w:rPr>
            </w:pPr>
            <w:r>
              <w:rPr>
                <w:b/>
                <w:bCs/>
                <w:color w:val="000000"/>
                <w:sz w:val="20"/>
                <w:szCs w:val="20"/>
              </w:rPr>
              <w:t>0.259***</w:t>
            </w:r>
          </w:p>
        </w:tc>
        <w:tc>
          <w:tcPr>
            <w:tcW w:w="1213" w:type="dxa"/>
            <w:tcBorders>
              <w:top w:val="nil"/>
              <w:left w:val="nil"/>
              <w:bottom w:val="nil"/>
              <w:right w:val="nil"/>
            </w:tcBorders>
            <w:shd w:val="clear" w:color="auto" w:fill="auto"/>
            <w:noWrap/>
            <w:vAlign w:val="bottom"/>
            <w:hideMark/>
          </w:tcPr>
          <w:p w14:paraId="3BAA9FBE" w14:textId="7257C784" w:rsidR="00DC7146" w:rsidRPr="00261857" w:rsidRDefault="00DC7146" w:rsidP="00DC7146">
            <w:pPr>
              <w:jc w:val="center"/>
              <w:rPr>
                <w:rFonts w:eastAsia="Times New Roman" w:cs="Times New Roman"/>
                <w:b/>
                <w:bCs/>
                <w:color w:val="000000"/>
                <w:sz w:val="20"/>
                <w:szCs w:val="20"/>
              </w:rPr>
            </w:pPr>
            <w:r>
              <w:rPr>
                <w:b/>
                <w:bCs/>
                <w:color w:val="000000"/>
                <w:sz w:val="20"/>
                <w:szCs w:val="20"/>
              </w:rPr>
              <w:t>0.261***</w:t>
            </w:r>
          </w:p>
        </w:tc>
        <w:tc>
          <w:tcPr>
            <w:tcW w:w="1213" w:type="dxa"/>
            <w:tcBorders>
              <w:top w:val="nil"/>
              <w:left w:val="nil"/>
              <w:bottom w:val="nil"/>
              <w:right w:val="nil"/>
            </w:tcBorders>
            <w:shd w:val="clear" w:color="auto" w:fill="auto"/>
            <w:noWrap/>
            <w:vAlign w:val="bottom"/>
            <w:hideMark/>
          </w:tcPr>
          <w:p w14:paraId="1BBF0289" w14:textId="5F3471DD" w:rsidR="00DC7146" w:rsidRPr="00261857" w:rsidRDefault="00DC7146" w:rsidP="00DC7146">
            <w:pPr>
              <w:jc w:val="center"/>
              <w:rPr>
                <w:rFonts w:eastAsia="Times New Roman" w:cs="Times New Roman"/>
                <w:b/>
                <w:bCs/>
                <w:color w:val="000000"/>
                <w:sz w:val="20"/>
                <w:szCs w:val="20"/>
              </w:rPr>
            </w:pPr>
            <w:r>
              <w:rPr>
                <w:b/>
                <w:bCs/>
                <w:color w:val="000000"/>
                <w:sz w:val="20"/>
                <w:szCs w:val="20"/>
              </w:rPr>
              <w:t>0.261***</w:t>
            </w:r>
          </w:p>
        </w:tc>
        <w:tc>
          <w:tcPr>
            <w:tcW w:w="1166" w:type="dxa"/>
            <w:tcBorders>
              <w:top w:val="nil"/>
              <w:left w:val="nil"/>
              <w:bottom w:val="nil"/>
              <w:right w:val="nil"/>
            </w:tcBorders>
            <w:shd w:val="clear" w:color="auto" w:fill="auto"/>
            <w:noWrap/>
            <w:vAlign w:val="bottom"/>
            <w:hideMark/>
          </w:tcPr>
          <w:p w14:paraId="09D0F254" w14:textId="16537599" w:rsidR="00DC7146" w:rsidRPr="00261857" w:rsidRDefault="00DC7146" w:rsidP="00DC7146">
            <w:pPr>
              <w:jc w:val="center"/>
              <w:rPr>
                <w:rFonts w:eastAsia="Times New Roman" w:cs="Times New Roman"/>
                <w:b/>
                <w:bCs/>
                <w:color w:val="000000"/>
                <w:sz w:val="20"/>
                <w:szCs w:val="20"/>
              </w:rPr>
            </w:pPr>
            <w:r>
              <w:rPr>
                <w:b/>
                <w:bCs/>
                <w:color w:val="000000"/>
                <w:sz w:val="20"/>
                <w:szCs w:val="20"/>
              </w:rPr>
              <w:t>0.083**</w:t>
            </w:r>
          </w:p>
        </w:tc>
        <w:tc>
          <w:tcPr>
            <w:tcW w:w="1166" w:type="dxa"/>
            <w:tcBorders>
              <w:top w:val="nil"/>
              <w:left w:val="nil"/>
              <w:bottom w:val="nil"/>
              <w:right w:val="nil"/>
            </w:tcBorders>
            <w:shd w:val="clear" w:color="auto" w:fill="auto"/>
            <w:noWrap/>
            <w:vAlign w:val="bottom"/>
            <w:hideMark/>
          </w:tcPr>
          <w:p w14:paraId="2FED289B" w14:textId="33860BD3" w:rsidR="00DC7146" w:rsidRPr="00261857" w:rsidRDefault="00DC7146" w:rsidP="00DC7146">
            <w:pPr>
              <w:jc w:val="center"/>
              <w:rPr>
                <w:rFonts w:eastAsia="Times New Roman" w:cs="Times New Roman"/>
                <w:b/>
                <w:bCs/>
                <w:color w:val="000000"/>
                <w:sz w:val="20"/>
                <w:szCs w:val="20"/>
              </w:rPr>
            </w:pPr>
            <w:r>
              <w:rPr>
                <w:b/>
                <w:bCs/>
                <w:color w:val="000000"/>
                <w:sz w:val="20"/>
                <w:szCs w:val="20"/>
              </w:rPr>
              <w:t>0.086**</w:t>
            </w:r>
          </w:p>
        </w:tc>
        <w:tc>
          <w:tcPr>
            <w:tcW w:w="1166" w:type="dxa"/>
            <w:tcBorders>
              <w:top w:val="nil"/>
              <w:left w:val="nil"/>
              <w:bottom w:val="nil"/>
              <w:right w:val="nil"/>
            </w:tcBorders>
            <w:shd w:val="clear" w:color="auto" w:fill="auto"/>
            <w:noWrap/>
            <w:vAlign w:val="bottom"/>
            <w:hideMark/>
          </w:tcPr>
          <w:p w14:paraId="383B7C9B" w14:textId="33696EF7" w:rsidR="00DC7146" w:rsidRPr="00261857" w:rsidRDefault="00DC7146" w:rsidP="00DC7146">
            <w:pPr>
              <w:jc w:val="center"/>
              <w:rPr>
                <w:rFonts w:eastAsia="Times New Roman" w:cs="Times New Roman"/>
                <w:b/>
                <w:bCs/>
                <w:color w:val="000000"/>
                <w:sz w:val="20"/>
                <w:szCs w:val="20"/>
              </w:rPr>
            </w:pPr>
            <w:r>
              <w:rPr>
                <w:b/>
                <w:bCs/>
                <w:color w:val="000000"/>
                <w:sz w:val="20"/>
                <w:szCs w:val="20"/>
              </w:rPr>
              <w:t>0.086**</w:t>
            </w:r>
          </w:p>
        </w:tc>
      </w:tr>
      <w:tr w:rsidR="00DC7146" w:rsidRPr="00261857" w14:paraId="579ADF15" w14:textId="77777777" w:rsidTr="00DC7146">
        <w:trPr>
          <w:trHeight w:val="255"/>
        </w:trPr>
        <w:tc>
          <w:tcPr>
            <w:tcW w:w="1920" w:type="dxa"/>
            <w:tcBorders>
              <w:top w:val="nil"/>
              <w:left w:val="nil"/>
              <w:bottom w:val="nil"/>
              <w:right w:val="nil"/>
            </w:tcBorders>
            <w:shd w:val="clear" w:color="auto" w:fill="auto"/>
            <w:noWrap/>
            <w:vAlign w:val="bottom"/>
            <w:hideMark/>
          </w:tcPr>
          <w:p w14:paraId="637810BD"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102712FB" w14:textId="25B2C040" w:rsidR="00DC7146" w:rsidRPr="00261857" w:rsidRDefault="00DC7146" w:rsidP="00DC7146">
            <w:pPr>
              <w:jc w:val="center"/>
              <w:rPr>
                <w:rFonts w:eastAsia="Times New Roman" w:cs="Times New Roman"/>
                <w:color w:val="000000"/>
                <w:sz w:val="20"/>
                <w:szCs w:val="20"/>
              </w:rPr>
            </w:pPr>
            <w:r>
              <w:rPr>
                <w:color w:val="000000"/>
                <w:sz w:val="20"/>
                <w:szCs w:val="20"/>
              </w:rPr>
              <w:t>(0.036)</w:t>
            </w:r>
          </w:p>
        </w:tc>
        <w:tc>
          <w:tcPr>
            <w:tcW w:w="1213" w:type="dxa"/>
            <w:tcBorders>
              <w:top w:val="nil"/>
              <w:left w:val="nil"/>
              <w:bottom w:val="nil"/>
              <w:right w:val="nil"/>
            </w:tcBorders>
            <w:shd w:val="clear" w:color="auto" w:fill="auto"/>
            <w:noWrap/>
            <w:vAlign w:val="bottom"/>
            <w:hideMark/>
          </w:tcPr>
          <w:p w14:paraId="460FE560" w14:textId="18161108" w:rsidR="00DC7146" w:rsidRPr="00261857" w:rsidRDefault="00DC7146" w:rsidP="00DC7146">
            <w:pPr>
              <w:jc w:val="center"/>
              <w:rPr>
                <w:rFonts w:eastAsia="Times New Roman" w:cs="Times New Roman"/>
                <w:color w:val="000000"/>
                <w:sz w:val="20"/>
                <w:szCs w:val="20"/>
              </w:rPr>
            </w:pPr>
            <w:r>
              <w:rPr>
                <w:color w:val="000000"/>
                <w:sz w:val="20"/>
                <w:szCs w:val="20"/>
              </w:rPr>
              <w:t>(0.036)</w:t>
            </w:r>
          </w:p>
        </w:tc>
        <w:tc>
          <w:tcPr>
            <w:tcW w:w="1213" w:type="dxa"/>
            <w:tcBorders>
              <w:top w:val="nil"/>
              <w:left w:val="nil"/>
              <w:bottom w:val="nil"/>
              <w:right w:val="nil"/>
            </w:tcBorders>
            <w:shd w:val="clear" w:color="auto" w:fill="auto"/>
            <w:noWrap/>
            <w:vAlign w:val="bottom"/>
            <w:hideMark/>
          </w:tcPr>
          <w:p w14:paraId="6ADF6492" w14:textId="621B290C" w:rsidR="00DC7146" w:rsidRPr="00261857" w:rsidRDefault="00DC7146" w:rsidP="00DC7146">
            <w:pPr>
              <w:jc w:val="center"/>
              <w:rPr>
                <w:rFonts w:eastAsia="Times New Roman" w:cs="Times New Roman"/>
                <w:color w:val="000000"/>
                <w:sz w:val="20"/>
                <w:szCs w:val="20"/>
              </w:rPr>
            </w:pPr>
            <w:r>
              <w:rPr>
                <w:color w:val="000000"/>
                <w:sz w:val="20"/>
                <w:szCs w:val="20"/>
              </w:rPr>
              <w:t>(0.036)</w:t>
            </w:r>
          </w:p>
        </w:tc>
        <w:tc>
          <w:tcPr>
            <w:tcW w:w="1166" w:type="dxa"/>
            <w:tcBorders>
              <w:top w:val="nil"/>
              <w:left w:val="nil"/>
              <w:bottom w:val="nil"/>
              <w:right w:val="nil"/>
            </w:tcBorders>
            <w:shd w:val="clear" w:color="auto" w:fill="auto"/>
            <w:noWrap/>
            <w:vAlign w:val="bottom"/>
            <w:hideMark/>
          </w:tcPr>
          <w:p w14:paraId="172226EF" w14:textId="4B464B4C" w:rsidR="00DC7146" w:rsidRPr="00261857" w:rsidRDefault="00DC7146" w:rsidP="00DC7146">
            <w:pPr>
              <w:jc w:val="center"/>
              <w:rPr>
                <w:rFonts w:eastAsia="Times New Roman" w:cs="Times New Roman"/>
                <w:color w:val="000000"/>
                <w:sz w:val="20"/>
                <w:szCs w:val="20"/>
              </w:rPr>
            </w:pPr>
            <w:r>
              <w:rPr>
                <w:color w:val="000000"/>
                <w:sz w:val="20"/>
                <w:szCs w:val="20"/>
              </w:rPr>
              <w:t>(0.038)</w:t>
            </w:r>
          </w:p>
        </w:tc>
        <w:tc>
          <w:tcPr>
            <w:tcW w:w="1166" w:type="dxa"/>
            <w:tcBorders>
              <w:top w:val="nil"/>
              <w:left w:val="nil"/>
              <w:bottom w:val="nil"/>
              <w:right w:val="nil"/>
            </w:tcBorders>
            <w:shd w:val="clear" w:color="auto" w:fill="auto"/>
            <w:noWrap/>
            <w:vAlign w:val="bottom"/>
            <w:hideMark/>
          </w:tcPr>
          <w:p w14:paraId="143C55E6" w14:textId="01984D4C" w:rsidR="00DC7146" w:rsidRPr="00261857" w:rsidRDefault="00DC7146" w:rsidP="00DC7146">
            <w:pPr>
              <w:jc w:val="center"/>
              <w:rPr>
                <w:rFonts w:eastAsia="Times New Roman" w:cs="Times New Roman"/>
                <w:color w:val="000000"/>
                <w:sz w:val="20"/>
                <w:szCs w:val="20"/>
              </w:rPr>
            </w:pPr>
            <w:r>
              <w:rPr>
                <w:color w:val="000000"/>
                <w:sz w:val="20"/>
                <w:szCs w:val="20"/>
              </w:rPr>
              <w:t>(0.038)</w:t>
            </w:r>
          </w:p>
        </w:tc>
        <w:tc>
          <w:tcPr>
            <w:tcW w:w="1166" w:type="dxa"/>
            <w:tcBorders>
              <w:top w:val="nil"/>
              <w:left w:val="nil"/>
              <w:bottom w:val="nil"/>
              <w:right w:val="nil"/>
            </w:tcBorders>
            <w:shd w:val="clear" w:color="auto" w:fill="auto"/>
            <w:noWrap/>
            <w:vAlign w:val="bottom"/>
            <w:hideMark/>
          </w:tcPr>
          <w:p w14:paraId="69B81F6F" w14:textId="2A06F4E9" w:rsidR="00DC7146" w:rsidRPr="00261857" w:rsidRDefault="00DC7146" w:rsidP="00DC7146">
            <w:pPr>
              <w:jc w:val="center"/>
              <w:rPr>
                <w:rFonts w:eastAsia="Times New Roman" w:cs="Times New Roman"/>
                <w:color w:val="000000"/>
                <w:sz w:val="20"/>
                <w:szCs w:val="20"/>
              </w:rPr>
            </w:pPr>
            <w:r>
              <w:rPr>
                <w:color w:val="000000"/>
                <w:sz w:val="20"/>
                <w:szCs w:val="20"/>
              </w:rPr>
              <w:t>(0.038)</w:t>
            </w:r>
          </w:p>
        </w:tc>
      </w:tr>
      <w:tr w:rsidR="00DC7146" w:rsidRPr="00261857" w14:paraId="7CD7B706" w14:textId="77777777" w:rsidTr="00DC7146">
        <w:trPr>
          <w:trHeight w:val="255"/>
        </w:trPr>
        <w:tc>
          <w:tcPr>
            <w:tcW w:w="1920" w:type="dxa"/>
            <w:tcBorders>
              <w:top w:val="nil"/>
              <w:left w:val="nil"/>
              <w:bottom w:val="nil"/>
              <w:right w:val="nil"/>
            </w:tcBorders>
            <w:shd w:val="clear" w:color="auto" w:fill="auto"/>
            <w:noWrap/>
            <w:vAlign w:val="bottom"/>
            <w:hideMark/>
          </w:tcPr>
          <w:p w14:paraId="6B6D08D6" w14:textId="3C28FCE3" w:rsidR="00DC7146" w:rsidRPr="00261857" w:rsidRDefault="00DC7146" w:rsidP="00DC7146">
            <w:pPr>
              <w:rPr>
                <w:rFonts w:eastAsia="Times New Roman" w:cs="Times New Roman"/>
                <w:color w:val="000000"/>
                <w:sz w:val="20"/>
                <w:szCs w:val="20"/>
              </w:rPr>
            </w:pPr>
            <w:r>
              <w:rPr>
                <w:color w:val="000000"/>
                <w:sz w:val="20"/>
                <w:szCs w:val="20"/>
              </w:rPr>
              <w:t>Gr 4 Summer</w:t>
            </w:r>
          </w:p>
        </w:tc>
        <w:tc>
          <w:tcPr>
            <w:tcW w:w="1214" w:type="dxa"/>
            <w:tcBorders>
              <w:top w:val="nil"/>
              <w:left w:val="nil"/>
              <w:bottom w:val="nil"/>
              <w:right w:val="nil"/>
            </w:tcBorders>
            <w:shd w:val="clear" w:color="auto" w:fill="auto"/>
            <w:noWrap/>
            <w:vAlign w:val="bottom"/>
            <w:hideMark/>
          </w:tcPr>
          <w:p w14:paraId="50F8DC46" w14:textId="743E4DA2" w:rsidR="00DC7146" w:rsidRPr="00261857" w:rsidRDefault="00DC7146" w:rsidP="00DC7146">
            <w:pPr>
              <w:jc w:val="center"/>
              <w:rPr>
                <w:rFonts w:eastAsia="Times New Roman" w:cs="Times New Roman"/>
                <w:color w:val="000000"/>
                <w:sz w:val="20"/>
                <w:szCs w:val="20"/>
              </w:rPr>
            </w:pPr>
            <w:r>
              <w:rPr>
                <w:color w:val="000000"/>
                <w:sz w:val="20"/>
                <w:szCs w:val="20"/>
              </w:rPr>
              <w:t>-0.758***</w:t>
            </w:r>
          </w:p>
        </w:tc>
        <w:tc>
          <w:tcPr>
            <w:tcW w:w="1213" w:type="dxa"/>
            <w:tcBorders>
              <w:top w:val="nil"/>
              <w:left w:val="nil"/>
              <w:bottom w:val="nil"/>
              <w:right w:val="nil"/>
            </w:tcBorders>
            <w:shd w:val="clear" w:color="auto" w:fill="auto"/>
            <w:noWrap/>
            <w:vAlign w:val="bottom"/>
            <w:hideMark/>
          </w:tcPr>
          <w:p w14:paraId="76273DDF" w14:textId="337A725A" w:rsidR="00DC7146" w:rsidRPr="00261857" w:rsidRDefault="00DC7146" w:rsidP="00DC7146">
            <w:pPr>
              <w:jc w:val="center"/>
              <w:rPr>
                <w:rFonts w:eastAsia="Times New Roman" w:cs="Times New Roman"/>
                <w:color w:val="000000"/>
                <w:sz w:val="20"/>
                <w:szCs w:val="20"/>
              </w:rPr>
            </w:pPr>
            <w:r>
              <w:rPr>
                <w:color w:val="000000"/>
                <w:sz w:val="20"/>
                <w:szCs w:val="20"/>
              </w:rPr>
              <w:t>-0.754***</w:t>
            </w:r>
          </w:p>
        </w:tc>
        <w:tc>
          <w:tcPr>
            <w:tcW w:w="1213" w:type="dxa"/>
            <w:tcBorders>
              <w:top w:val="nil"/>
              <w:left w:val="nil"/>
              <w:bottom w:val="nil"/>
              <w:right w:val="nil"/>
            </w:tcBorders>
            <w:shd w:val="clear" w:color="auto" w:fill="auto"/>
            <w:noWrap/>
            <w:vAlign w:val="bottom"/>
            <w:hideMark/>
          </w:tcPr>
          <w:p w14:paraId="5A7D890C" w14:textId="3C6DB1D0" w:rsidR="00DC7146" w:rsidRPr="00261857" w:rsidRDefault="00DC7146" w:rsidP="00DC7146">
            <w:pPr>
              <w:jc w:val="center"/>
              <w:rPr>
                <w:rFonts w:eastAsia="Times New Roman" w:cs="Times New Roman"/>
                <w:color w:val="000000"/>
                <w:sz w:val="20"/>
                <w:szCs w:val="20"/>
              </w:rPr>
            </w:pPr>
            <w:r>
              <w:rPr>
                <w:color w:val="000000"/>
                <w:sz w:val="20"/>
                <w:szCs w:val="20"/>
              </w:rPr>
              <w:t>-0.754***</w:t>
            </w:r>
          </w:p>
        </w:tc>
        <w:tc>
          <w:tcPr>
            <w:tcW w:w="1166" w:type="dxa"/>
            <w:tcBorders>
              <w:top w:val="nil"/>
              <w:left w:val="nil"/>
              <w:bottom w:val="nil"/>
              <w:right w:val="nil"/>
            </w:tcBorders>
            <w:shd w:val="clear" w:color="auto" w:fill="auto"/>
            <w:noWrap/>
            <w:vAlign w:val="bottom"/>
            <w:hideMark/>
          </w:tcPr>
          <w:p w14:paraId="1CFF8713" w14:textId="7DA5621B" w:rsidR="00DC7146" w:rsidRPr="00261857" w:rsidRDefault="00DC7146" w:rsidP="00DC7146">
            <w:pPr>
              <w:jc w:val="center"/>
              <w:rPr>
                <w:rFonts w:eastAsia="Times New Roman" w:cs="Times New Roman"/>
                <w:color w:val="000000"/>
                <w:sz w:val="20"/>
                <w:szCs w:val="20"/>
              </w:rPr>
            </w:pPr>
            <w:r>
              <w:rPr>
                <w:color w:val="000000"/>
                <w:sz w:val="20"/>
                <w:szCs w:val="20"/>
              </w:rPr>
              <w:t>-0.177**</w:t>
            </w:r>
          </w:p>
        </w:tc>
        <w:tc>
          <w:tcPr>
            <w:tcW w:w="1166" w:type="dxa"/>
            <w:tcBorders>
              <w:top w:val="nil"/>
              <w:left w:val="nil"/>
              <w:bottom w:val="nil"/>
              <w:right w:val="nil"/>
            </w:tcBorders>
            <w:shd w:val="clear" w:color="auto" w:fill="auto"/>
            <w:noWrap/>
            <w:vAlign w:val="bottom"/>
            <w:hideMark/>
          </w:tcPr>
          <w:p w14:paraId="11EDA518" w14:textId="56DB8B98" w:rsidR="00DC7146" w:rsidRPr="00261857" w:rsidRDefault="00DC7146" w:rsidP="00DC7146">
            <w:pPr>
              <w:jc w:val="center"/>
              <w:rPr>
                <w:rFonts w:eastAsia="Times New Roman" w:cs="Times New Roman"/>
                <w:color w:val="000000"/>
                <w:sz w:val="20"/>
                <w:szCs w:val="20"/>
              </w:rPr>
            </w:pPr>
            <w:r>
              <w:rPr>
                <w:color w:val="000000"/>
                <w:sz w:val="20"/>
                <w:szCs w:val="20"/>
              </w:rPr>
              <w:t>-0.173**</w:t>
            </w:r>
          </w:p>
        </w:tc>
        <w:tc>
          <w:tcPr>
            <w:tcW w:w="1166" w:type="dxa"/>
            <w:tcBorders>
              <w:top w:val="nil"/>
              <w:left w:val="nil"/>
              <w:bottom w:val="nil"/>
              <w:right w:val="nil"/>
            </w:tcBorders>
            <w:shd w:val="clear" w:color="auto" w:fill="auto"/>
            <w:noWrap/>
            <w:vAlign w:val="bottom"/>
            <w:hideMark/>
          </w:tcPr>
          <w:p w14:paraId="64E33E3E" w14:textId="3EC8C6E8" w:rsidR="00DC7146" w:rsidRPr="00261857" w:rsidRDefault="00DC7146" w:rsidP="00DC7146">
            <w:pPr>
              <w:jc w:val="center"/>
              <w:rPr>
                <w:rFonts w:eastAsia="Times New Roman" w:cs="Times New Roman"/>
                <w:color w:val="000000"/>
                <w:sz w:val="20"/>
                <w:szCs w:val="20"/>
              </w:rPr>
            </w:pPr>
            <w:r>
              <w:rPr>
                <w:color w:val="000000"/>
                <w:sz w:val="20"/>
                <w:szCs w:val="20"/>
              </w:rPr>
              <w:t>-0.173**</w:t>
            </w:r>
          </w:p>
        </w:tc>
      </w:tr>
      <w:tr w:rsidR="00DC7146" w:rsidRPr="00261857" w14:paraId="3F8F17CF" w14:textId="77777777" w:rsidTr="00DC7146">
        <w:trPr>
          <w:trHeight w:val="255"/>
        </w:trPr>
        <w:tc>
          <w:tcPr>
            <w:tcW w:w="1920" w:type="dxa"/>
            <w:tcBorders>
              <w:top w:val="nil"/>
              <w:left w:val="nil"/>
              <w:bottom w:val="nil"/>
              <w:right w:val="nil"/>
            </w:tcBorders>
            <w:shd w:val="clear" w:color="auto" w:fill="auto"/>
            <w:noWrap/>
            <w:vAlign w:val="bottom"/>
            <w:hideMark/>
          </w:tcPr>
          <w:p w14:paraId="7A954D99"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4CCEE07D" w14:textId="49C653E9" w:rsidR="00DC7146" w:rsidRPr="00261857" w:rsidRDefault="00DC7146" w:rsidP="00DC7146">
            <w:pPr>
              <w:jc w:val="center"/>
              <w:rPr>
                <w:rFonts w:eastAsia="Times New Roman" w:cs="Times New Roman"/>
                <w:color w:val="000000"/>
                <w:sz w:val="20"/>
                <w:szCs w:val="20"/>
              </w:rPr>
            </w:pPr>
            <w:r>
              <w:rPr>
                <w:color w:val="000000"/>
                <w:sz w:val="20"/>
                <w:szCs w:val="20"/>
              </w:rPr>
              <w:t>(0.076)</w:t>
            </w:r>
          </w:p>
        </w:tc>
        <w:tc>
          <w:tcPr>
            <w:tcW w:w="1213" w:type="dxa"/>
            <w:tcBorders>
              <w:top w:val="nil"/>
              <w:left w:val="nil"/>
              <w:bottom w:val="nil"/>
              <w:right w:val="nil"/>
            </w:tcBorders>
            <w:shd w:val="clear" w:color="auto" w:fill="auto"/>
            <w:noWrap/>
            <w:vAlign w:val="bottom"/>
            <w:hideMark/>
          </w:tcPr>
          <w:p w14:paraId="378709A1" w14:textId="59C04C80" w:rsidR="00DC7146" w:rsidRPr="00261857" w:rsidRDefault="00DC7146" w:rsidP="00DC7146">
            <w:pPr>
              <w:jc w:val="center"/>
              <w:rPr>
                <w:rFonts w:eastAsia="Times New Roman" w:cs="Times New Roman"/>
                <w:color w:val="000000"/>
                <w:sz w:val="20"/>
                <w:szCs w:val="20"/>
              </w:rPr>
            </w:pPr>
            <w:r>
              <w:rPr>
                <w:color w:val="000000"/>
                <w:sz w:val="20"/>
                <w:szCs w:val="20"/>
              </w:rPr>
              <w:t>(0.075)</w:t>
            </w:r>
          </w:p>
        </w:tc>
        <w:tc>
          <w:tcPr>
            <w:tcW w:w="1213" w:type="dxa"/>
            <w:tcBorders>
              <w:top w:val="nil"/>
              <w:left w:val="nil"/>
              <w:bottom w:val="nil"/>
              <w:right w:val="nil"/>
            </w:tcBorders>
            <w:shd w:val="clear" w:color="auto" w:fill="auto"/>
            <w:noWrap/>
            <w:vAlign w:val="bottom"/>
            <w:hideMark/>
          </w:tcPr>
          <w:p w14:paraId="528946BF" w14:textId="5B40CC8F" w:rsidR="00DC7146" w:rsidRPr="00261857" w:rsidRDefault="00DC7146" w:rsidP="00DC7146">
            <w:pPr>
              <w:jc w:val="center"/>
              <w:rPr>
                <w:rFonts w:eastAsia="Times New Roman" w:cs="Times New Roman"/>
                <w:color w:val="000000"/>
                <w:sz w:val="20"/>
                <w:szCs w:val="20"/>
              </w:rPr>
            </w:pPr>
            <w:r>
              <w:rPr>
                <w:color w:val="000000"/>
                <w:sz w:val="20"/>
                <w:szCs w:val="20"/>
              </w:rPr>
              <w:t>(0.075)</w:t>
            </w:r>
          </w:p>
        </w:tc>
        <w:tc>
          <w:tcPr>
            <w:tcW w:w="1166" w:type="dxa"/>
            <w:tcBorders>
              <w:top w:val="nil"/>
              <w:left w:val="nil"/>
              <w:bottom w:val="nil"/>
              <w:right w:val="nil"/>
            </w:tcBorders>
            <w:shd w:val="clear" w:color="auto" w:fill="auto"/>
            <w:noWrap/>
            <w:vAlign w:val="bottom"/>
            <w:hideMark/>
          </w:tcPr>
          <w:p w14:paraId="776BDE62" w14:textId="41DAFD8F" w:rsidR="00DC7146" w:rsidRPr="00261857" w:rsidRDefault="00DC7146" w:rsidP="00DC7146">
            <w:pPr>
              <w:jc w:val="center"/>
              <w:rPr>
                <w:rFonts w:eastAsia="Times New Roman" w:cs="Times New Roman"/>
                <w:color w:val="000000"/>
                <w:sz w:val="20"/>
                <w:szCs w:val="20"/>
              </w:rPr>
            </w:pPr>
            <w:r>
              <w:rPr>
                <w:color w:val="000000"/>
                <w:sz w:val="20"/>
                <w:szCs w:val="20"/>
              </w:rPr>
              <w:t>(0.086)</w:t>
            </w:r>
          </w:p>
        </w:tc>
        <w:tc>
          <w:tcPr>
            <w:tcW w:w="1166" w:type="dxa"/>
            <w:tcBorders>
              <w:top w:val="nil"/>
              <w:left w:val="nil"/>
              <w:bottom w:val="nil"/>
              <w:right w:val="nil"/>
            </w:tcBorders>
            <w:shd w:val="clear" w:color="auto" w:fill="auto"/>
            <w:noWrap/>
            <w:vAlign w:val="bottom"/>
            <w:hideMark/>
          </w:tcPr>
          <w:p w14:paraId="003F3D02" w14:textId="30307A96" w:rsidR="00DC7146" w:rsidRPr="00261857" w:rsidRDefault="00DC7146" w:rsidP="00DC7146">
            <w:pPr>
              <w:jc w:val="center"/>
              <w:rPr>
                <w:rFonts w:eastAsia="Times New Roman" w:cs="Times New Roman"/>
                <w:color w:val="000000"/>
                <w:sz w:val="20"/>
                <w:szCs w:val="20"/>
              </w:rPr>
            </w:pPr>
            <w:r>
              <w:rPr>
                <w:color w:val="000000"/>
                <w:sz w:val="20"/>
                <w:szCs w:val="20"/>
              </w:rPr>
              <w:t>(0.085)</w:t>
            </w:r>
          </w:p>
        </w:tc>
        <w:tc>
          <w:tcPr>
            <w:tcW w:w="1166" w:type="dxa"/>
            <w:tcBorders>
              <w:top w:val="nil"/>
              <w:left w:val="nil"/>
              <w:bottom w:val="nil"/>
              <w:right w:val="nil"/>
            </w:tcBorders>
            <w:shd w:val="clear" w:color="auto" w:fill="auto"/>
            <w:noWrap/>
            <w:vAlign w:val="bottom"/>
            <w:hideMark/>
          </w:tcPr>
          <w:p w14:paraId="15141C51" w14:textId="56FCB0ED" w:rsidR="00DC7146" w:rsidRPr="00261857" w:rsidRDefault="00DC7146" w:rsidP="00DC7146">
            <w:pPr>
              <w:jc w:val="center"/>
              <w:rPr>
                <w:rFonts w:eastAsia="Times New Roman" w:cs="Times New Roman"/>
                <w:color w:val="000000"/>
                <w:sz w:val="20"/>
                <w:szCs w:val="20"/>
              </w:rPr>
            </w:pPr>
            <w:r>
              <w:rPr>
                <w:color w:val="000000"/>
                <w:sz w:val="20"/>
                <w:szCs w:val="20"/>
              </w:rPr>
              <w:t>(0.085)</w:t>
            </w:r>
          </w:p>
        </w:tc>
      </w:tr>
      <w:tr w:rsidR="00DC7146" w:rsidRPr="00261857" w14:paraId="5A252A3F" w14:textId="77777777" w:rsidTr="00DC7146">
        <w:trPr>
          <w:trHeight w:val="255"/>
        </w:trPr>
        <w:tc>
          <w:tcPr>
            <w:tcW w:w="1920" w:type="dxa"/>
            <w:tcBorders>
              <w:top w:val="nil"/>
              <w:left w:val="nil"/>
              <w:bottom w:val="nil"/>
              <w:right w:val="nil"/>
            </w:tcBorders>
            <w:shd w:val="clear" w:color="auto" w:fill="auto"/>
            <w:noWrap/>
            <w:vAlign w:val="bottom"/>
            <w:hideMark/>
          </w:tcPr>
          <w:p w14:paraId="6F9133DF" w14:textId="56BE0124" w:rsidR="00DC7146" w:rsidRPr="00261857" w:rsidRDefault="00DC7146" w:rsidP="00DC7146">
            <w:pPr>
              <w:rPr>
                <w:rFonts w:eastAsia="Times New Roman" w:cs="Times New Roman"/>
                <w:b/>
                <w:bCs/>
                <w:color w:val="000000"/>
                <w:sz w:val="20"/>
                <w:szCs w:val="20"/>
              </w:rPr>
            </w:pPr>
            <w:r>
              <w:rPr>
                <w:b/>
                <w:bCs/>
                <w:color w:val="000000"/>
                <w:sz w:val="20"/>
                <w:szCs w:val="20"/>
              </w:rPr>
              <w:t>DL x Gr 4 Summer</w:t>
            </w:r>
          </w:p>
        </w:tc>
        <w:tc>
          <w:tcPr>
            <w:tcW w:w="1214" w:type="dxa"/>
            <w:tcBorders>
              <w:top w:val="nil"/>
              <w:left w:val="nil"/>
              <w:bottom w:val="nil"/>
              <w:right w:val="nil"/>
            </w:tcBorders>
            <w:shd w:val="clear" w:color="auto" w:fill="auto"/>
            <w:noWrap/>
            <w:vAlign w:val="bottom"/>
            <w:hideMark/>
          </w:tcPr>
          <w:p w14:paraId="307FF5F6" w14:textId="45D98496" w:rsidR="00DC7146" w:rsidRPr="00261857" w:rsidRDefault="00DC7146" w:rsidP="00DC7146">
            <w:pPr>
              <w:jc w:val="center"/>
              <w:rPr>
                <w:rFonts w:eastAsia="Times New Roman" w:cs="Times New Roman"/>
                <w:b/>
                <w:bCs/>
                <w:color w:val="000000"/>
                <w:sz w:val="20"/>
                <w:szCs w:val="20"/>
              </w:rPr>
            </w:pPr>
            <w:r>
              <w:rPr>
                <w:b/>
                <w:bCs/>
                <w:color w:val="000000"/>
                <w:sz w:val="20"/>
                <w:szCs w:val="20"/>
              </w:rPr>
              <w:t>-0.642***</w:t>
            </w:r>
          </w:p>
        </w:tc>
        <w:tc>
          <w:tcPr>
            <w:tcW w:w="1213" w:type="dxa"/>
            <w:tcBorders>
              <w:top w:val="nil"/>
              <w:left w:val="nil"/>
              <w:bottom w:val="nil"/>
              <w:right w:val="nil"/>
            </w:tcBorders>
            <w:shd w:val="clear" w:color="auto" w:fill="auto"/>
            <w:noWrap/>
            <w:vAlign w:val="bottom"/>
            <w:hideMark/>
          </w:tcPr>
          <w:p w14:paraId="380BB343" w14:textId="21FC7B86" w:rsidR="00DC7146" w:rsidRPr="00261857" w:rsidRDefault="00DC7146" w:rsidP="00DC7146">
            <w:pPr>
              <w:jc w:val="center"/>
              <w:rPr>
                <w:rFonts w:eastAsia="Times New Roman" w:cs="Times New Roman"/>
                <w:b/>
                <w:bCs/>
                <w:color w:val="000000"/>
                <w:sz w:val="20"/>
                <w:szCs w:val="20"/>
              </w:rPr>
            </w:pPr>
            <w:r>
              <w:rPr>
                <w:b/>
                <w:bCs/>
                <w:color w:val="000000"/>
                <w:sz w:val="20"/>
                <w:szCs w:val="20"/>
              </w:rPr>
              <w:t>-0.647***</w:t>
            </w:r>
          </w:p>
        </w:tc>
        <w:tc>
          <w:tcPr>
            <w:tcW w:w="1213" w:type="dxa"/>
            <w:tcBorders>
              <w:top w:val="nil"/>
              <w:left w:val="nil"/>
              <w:bottom w:val="nil"/>
              <w:right w:val="nil"/>
            </w:tcBorders>
            <w:shd w:val="clear" w:color="auto" w:fill="auto"/>
            <w:noWrap/>
            <w:vAlign w:val="bottom"/>
            <w:hideMark/>
          </w:tcPr>
          <w:p w14:paraId="33E8E376" w14:textId="31CD87A4" w:rsidR="00DC7146" w:rsidRPr="00261857" w:rsidRDefault="00DC7146" w:rsidP="00DC7146">
            <w:pPr>
              <w:jc w:val="center"/>
              <w:rPr>
                <w:rFonts w:eastAsia="Times New Roman" w:cs="Times New Roman"/>
                <w:b/>
                <w:bCs/>
                <w:color w:val="000000"/>
                <w:sz w:val="20"/>
                <w:szCs w:val="20"/>
              </w:rPr>
            </w:pPr>
            <w:r>
              <w:rPr>
                <w:b/>
                <w:bCs/>
                <w:color w:val="000000"/>
                <w:sz w:val="20"/>
                <w:szCs w:val="20"/>
              </w:rPr>
              <w:t>-0.647***</w:t>
            </w:r>
          </w:p>
        </w:tc>
        <w:tc>
          <w:tcPr>
            <w:tcW w:w="1166" w:type="dxa"/>
            <w:tcBorders>
              <w:top w:val="nil"/>
              <w:left w:val="nil"/>
              <w:bottom w:val="nil"/>
              <w:right w:val="nil"/>
            </w:tcBorders>
            <w:shd w:val="clear" w:color="auto" w:fill="auto"/>
            <w:noWrap/>
            <w:vAlign w:val="bottom"/>
            <w:hideMark/>
          </w:tcPr>
          <w:p w14:paraId="086B02B5" w14:textId="12C2D704" w:rsidR="00DC7146" w:rsidRPr="00261857" w:rsidRDefault="00DC7146" w:rsidP="00DC7146">
            <w:pPr>
              <w:jc w:val="center"/>
              <w:rPr>
                <w:rFonts w:eastAsia="Times New Roman" w:cs="Times New Roman"/>
                <w:b/>
                <w:bCs/>
                <w:color w:val="000000"/>
                <w:sz w:val="20"/>
                <w:szCs w:val="20"/>
              </w:rPr>
            </w:pPr>
            <w:r>
              <w:rPr>
                <w:b/>
                <w:bCs/>
                <w:color w:val="000000"/>
                <w:sz w:val="20"/>
                <w:szCs w:val="20"/>
              </w:rPr>
              <w:t>0.118</w:t>
            </w:r>
          </w:p>
        </w:tc>
        <w:tc>
          <w:tcPr>
            <w:tcW w:w="1166" w:type="dxa"/>
            <w:tcBorders>
              <w:top w:val="nil"/>
              <w:left w:val="nil"/>
              <w:bottom w:val="nil"/>
              <w:right w:val="nil"/>
            </w:tcBorders>
            <w:shd w:val="clear" w:color="auto" w:fill="auto"/>
            <w:noWrap/>
            <w:vAlign w:val="bottom"/>
            <w:hideMark/>
          </w:tcPr>
          <w:p w14:paraId="0C538F42" w14:textId="66A0D482" w:rsidR="00DC7146" w:rsidRPr="00261857" w:rsidRDefault="00DC7146" w:rsidP="00DC7146">
            <w:pPr>
              <w:jc w:val="center"/>
              <w:rPr>
                <w:rFonts w:eastAsia="Times New Roman" w:cs="Times New Roman"/>
                <w:b/>
                <w:bCs/>
                <w:color w:val="000000"/>
                <w:sz w:val="20"/>
                <w:szCs w:val="20"/>
              </w:rPr>
            </w:pPr>
            <w:r>
              <w:rPr>
                <w:b/>
                <w:bCs/>
                <w:color w:val="000000"/>
                <w:sz w:val="20"/>
                <w:szCs w:val="20"/>
              </w:rPr>
              <w:t>0.108</w:t>
            </w:r>
          </w:p>
        </w:tc>
        <w:tc>
          <w:tcPr>
            <w:tcW w:w="1166" w:type="dxa"/>
            <w:tcBorders>
              <w:top w:val="nil"/>
              <w:left w:val="nil"/>
              <w:bottom w:val="nil"/>
              <w:right w:val="nil"/>
            </w:tcBorders>
            <w:shd w:val="clear" w:color="auto" w:fill="auto"/>
            <w:noWrap/>
            <w:vAlign w:val="bottom"/>
            <w:hideMark/>
          </w:tcPr>
          <w:p w14:paraId="7CAB7E9C" w14:textId="42335072" w:rsidR="00DC7146" w:rsidRPr="00261857" w:rsidRDefault="00DC7146" w:rsidP="00DC7146">
            <w:pPr>
              <w:jc w:val="center"/>
              <w:rPr>
                <w:rFonts w:eastAsia="Times New Roman" w:cs="Times New Roman"/>
                <w:b/>
                <w:bCs/>
                <w:color w:val="000000"/>
                <w:sz w:val="20"/>
                <w:szCs w:val="20"/>
              </w:rPr>
            </w:pPr>
            <w:r>
              <w:rPr>
                <w:b/>
                <w:bCs/>
                <w:color w:val="000000"/>
                <w:sz w:val="20"/>
                <w:szCs w:val="20"/>
              </w:rPr>
              <w:t>0.108</w:t>
            </w:r>
          </w:p>
        </w:tc>
      </w:tr>
      <w:tr w:rsidR="00DC7146" w:rsidRPr="00261857" w14:paraId="64699C46" w14:textId="77777777" w:rsidTr="00DC7146">
        <w:trPr>
          <w:trHeight w:val="255"/>
        </w:trPr>
        <w:tc>
          <w:tcPr>
            <w:tcW w:w="1920" w:type="dxa"/>
            <w:tcBorders>
              <w:top w:val="nil"/>
              <w:left w:val="nil"/>
              <w:bottom w:val="nil"/>
              <w:right w:val="nil"/>
            </w:tcBorders>
            <w:shd w:val="clear" w:color="auto" w:fill="auto"/>
            <w:noWrap/>
            <w:vAlign w:val="bottom"/>
            <w:hideMark/>
          </w:tcPr>
          <w:p w14:paraId="5ED28B3A"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4E340FD4" w14:textId="752B96DD" w:rsidR="00DC7146" w:rsidRPr="00261857" w:rsidRDefault="00DC7146" w:rsidP="00DC7146">
            <w:pPr>
              <w:jc w:val="center"/>
              <w:rPr>
                <w:rFonts w:eastAsia="Times New Roman" w:cs="Times New Roman"/>
                <w:color w:val="000000"/>
                <w:sz w:val="20"/>
                <w:szCs w:val="20"/>
              </w:rPr>
            </w:pPr>
            <w:r>
              <w:rPr>
                <w:color w:val="000000"/>
                <w:sz w:val="20"/>
                <w:szCs w:val="20"/>
              </w:rPr>
              <w:t>(0.110)</w:t>
            </w:r>
          </w:p>
        </w:tc>
        <w:tc>
          <w:tcPr>
            <w:tcW w:w="1213" w:type="dxa"/>
            <w:tcBorders>
              <w:top w:val="nil"/>
              <w:left w:val="nil"/>
              <w:bottom w:val="nil"/>
              <w:right w:val="nil"/>
            </w:tcBorders>
            <w:shd w:val="clear" w:color="auto" w:fill="auto"/>
            <w:noWrap/>
            <w:vAlign w:val="bottom"/>
            <w:hideMark/>
          </w:tcPr>
          <w:p w14:paraId="3E50171A" w14:textId="6B876AEE" w:rsidR="00DC7146" w:rsidRPr="00261857" w:rsidRDefault="00DC7146" w:rsidP="00DC7146">
            <w:pPr>
              <w:jc w:val="center"/>
              <w:rPr>
                <w:rFonts w:eastAsia="Times New Roman" w:cs="Times New Roman"/>
                <w:color w:val="000000"/>
                <w:sz w:val="20"/>
                <w:szCs w:val="20"/>
              </w:rPr>
            </w:pPr>
            <w:r>
              <w:rPr>
                <w:color w:val="000000"/>
                <w:sz w:val="20"/>
                <w:szCs w:val="20"/>
              </w:rPr>
              <w:t>(0.110)</w:t>
            </w:r>
          </w:p>
        </w:tc>
        <w:tc>
          <w:tcPr>
            <w:tcW w:w="1213" w:type="dxa"/>
            <w:tcBorders>
              <w:top w:val="nil"/>
              <w:left w:val="nil"/>
              <w:bottom w:val="nil"/>
              <w:right w:val="nil"/>
            </w:tcBorders>
            <w:shd w:val="clear" w:color="auto" w:fill="auto"/>
            <w:noWrap/>
            <w:vAlign w:val="bottom"/>
            <w:hideMark/>
          </w:tcPr>
          <w:p w14:paraId="2193072E" w14:textId="2DECD23D" w:rsidR="00DC7146" w:rsidRPr="00261857" w:rsidRDefault="00DC7146" w:rsidP="00DC7146">
            <w:pPr>
              <w:jc w:val="center"/>
              <w:rPr>
                <w:rFonts w:eastAsia="Times New Roman" w:cs="Times New Roman"/>
                <w:color w:val="000000"/>
                <w:sz w:val="20"/>
                <w:szCs w:val="20"/>
              </w:rPr>
            </w:pPr>
            <w:r>
              <w:rPr>
                <w:color w:val="000000"/>
                <w:sz w:val="20"/>
                <w:szCs w:val="20"/>
              </w:rPr>
              <w:t>(0.110)</w:t>
            </w:r>
          </w:p>
        </w:tc>
        <w:tc>
          <w:tcPr>
            <w:tcW w:w="1166" w:type="dxa"/>
            <w:tcBorders>
              <w:top w:val="nil"/>
              <w:left w:val="nil"/>
              <w:bottom w:val="nil"/>
              <w:right w:val="nil"/>
            </w:tcBorders>
            <w:shd w:val="clear" w:color="auto" w:fill="auto"/>
            <w:noWrap/>
            <w:vAlign w:val="bottom"/>
            <w:hideMark/>
          </w:tcPr>
          <w:p w14:paraId="2087352C" w14:textId="471B37CE" w:rsidR="00DC7146" w:rsidRPr="00261857" w:rsidRDefault="00DC7146" w:rsidP="00DC7146">
            <w:pPr>
              <w:jc w:val="center"/>
              <w:rPr>
                <w:rFonts w:eastAsia="Times New Roman" w:cs="Times New Roman"/>
                <w:color w:val="000000"/>
                <w:sz w:val="20"/>
                <w:szCs w:val="20"/>
              </w:rPr>
            </w:pPr>
            <w:r>
              <w:rPr>
                <w:color w:val="000000"/>
                <w:sz w:val="20"/>
                <w:szCs w:val="20"/>
              </w:rPr>
              <w:t>(0.094)</w:t>
            </w:r>
          </w:p>
        </w:tc>
        <w:tc>
          <w:tcPr>
            <w:tcW w:w="1166" w:type="dxa"/>
            <w:tcBorders>
              <w:top w:val="nil"/>
              <w:left w:val="nil"/>
              <w:bottom w:val="nil"/>
              <w:right w:val="nil"/>
            </w:tcBorders>
            <w:shd w:val="clear" w:color="auto" w:fill="auto"/>
            <w:noWrap/>
            <w:vAlign w:val="bottom"/>
            <w:hideMark/>
          </w:tcPr>
          <w:p w14:paraId="7E0F9B11" w14:textId="6C6E8439" w:rsidR="00DC7146" w:rsidRPr="00261857" w:rsidRDefault="00DC7146" w:rsidP="00DC7146">
            <w:pPr>
              <w:jc w:val="center"/>
              <w:rPr>
                <w:rFonts w:eastAsia="Times New Roman" w:cs="Times New Roman"/>
                <w:color w:val="000000"/>
                <w:sz w:val="20"/>
                <w:szCs w:val="20"/>
              </w:rPr>
            </w:pPr>
            <w:r>
              <w:rPr>
                <w:color w:val="000000"/>
                <w:sz w:val="20"/>
                <w:szCs w:val="20"/>
              </w:rPr>
              <w:t>(0.094)</w:t>
            </w:r>
          </w:p>
        </w:tc>
        <w:tc>
          <w:tcPr>
            <w:tcW w:w="1166" w:type="dxa"/>
            <w:tcBorders>
              <w:top w:val="nil"/>
              <w:left w:val="nil"/>
              <w:bottom w:val="nil"/>
              <w:right w:val="nil"/>
            </w:tcBorders>
            <w:shd w:val="clear" w:color="auto" w:fill="auto"/>
            <w:noWrap/>
            <w:vAlign w:val="bottom"/>
            <w:hideMark/>
          </w:tcPr>
          <w:p w14:paraId="37BCE352" w14:textId="5A3A0815" w:rsidR="00DC7146" w:rsidRPr="00261857" w:rsidRDefault="00DC7146" w:rsidP="00DC7146">
            <w:pPr>
              <w:jc w:val="center"/>
              <w:rPr>
                <w:rFonts w:eastAsia="Times New Roman" w:cs="Times New Roman"/>
                <w:color w:val="000000"/>
                <w:sz w:val="20"/>
                <w:szCs w:val="20"/>
              </w:rPr>
            </w:pPr>
            <w:r>
              <w:rPr>
                <w:color w:val="000000"/>
                <w:sz w:val="20"/>
                <w:szCs w:val="20"/>
              </w:rPr>
              <w:t>(0.094)</w:t>
            </w:r>
          </w:p>
        </w:tc>
      </w:tr>
      <w:tr w:rsidR="00DC7146" w:rsidRPr="00261857" w14:paraId="07E19B62" w14:textId="77777777" w:rsidTr="00DC7146">
        <w:trPr>
          <w:trHeight w:val="255"/>
        </w:trPr>
        <w:tc>
          <w:tcPr>
            <w:tcW w:w="1920" w:type="dxa"/>
            <w:tcBorders>
              <w:top w:val="nil"/>
              <w:left w:val="nil"/>
              <w:bottom w:val="nil"/>
              <w:right w:val="nil"/>
            </w:tcBorders>
            <w:shd w:val="clear" w:color="auto" w:fill="auto"/>
            <w:noWrap/>
            <w:vAlign w:val="bottom"/>
            <w:hideMark/>
          </w:tcPr>
          <w:p w14:paraId="429D2151" w14:textId="76A85F1E" w:rsidR="00DC7146" w:rsidRPr="00261857" w:rsidRDefault="00DC7146" w:rsidP="00DC7146">
            <w:pPr>
              <w:rPr>
                <w:rFonts w:eastAsia="Times New Roman" w:cs="Times New Roman"/>
                <w:color w:val="000000"/>
                <w:sz w:val="20"/>
                <w:szCs w:val="20"/>
              </w:rPr>
            </w:pPr>
            <w:r>
              <w:rPr>
                <w:color w:val="000000"/>
                <w:sz w:val="20"/>
                <w:szCs w:val="20"/>
              </w:rPr>
              <w:t>Gr 5 AY</w:t>
            </w:r>
          </w:p>
        </w:tc>
        <w:tc>
          <w:tcPr>
            <w:tcW w:w="1214" w:type="dxa"/>
            <w:tcBorders>
              <w:top w:val="nil"/>
              <w:left w:val="nil"/>
              <w:bottom w:val="nil"/>
              <w:right w:val="nil"/>
            </w:tcBorders>
            <w:shd w:val="clear" w:color="auto" w:fill="auto"/>
            <w:noWrap/>
            <w:vAlign w:val="bottom"/>
            <w:hideMark/>
          </w:tcPr>
          <w:p w14:paraId="2113EBE1" w14:textId="60C9C624" w:rsidR="00DC7146" w:rsidRPr="00261857" w:rsidRDefault="00DC7146" w:rsidP="00DC7146">
            <w:pPr>
              <w:jc w:val="center"/>
              <w:rPr>
                <w:rFonts w:eastAsia="Times New Roman" w:cs="Times New Roman"/>
                <w:color w:val="000000"/>
                <w:sz w:val="20"/>
                <w:szCs w:val="20"/>
              </w:rPr>
            </w:pPr>
            <w:r>
              <w:rPr>
                <w:color w:val="000000"/>
                <w:sz w:val="20"/>
                <w:szCs w:val="20"/>
              </w:rPr>
              <w:t>0.891***</w:t>
            </w:r>
          </w:p>
        </w:tc>
        <w:tc>
          <w:tcPr>
            <w:tcW w:w="1213" w:type="dxa"/>
            <w:tcBorders>
              <w:top w:val="nil"/>
              <w:left w:val="nil"/>
              <w:bottom w:val="nil"/>
              <w:right w:val="nil"/>
            </w:tcBorders>
            <w:shd w:val="clear" w:color="auto" w:fill="auto"/>
            <w:noWrap/>
            <w:vAlign w:val="bottom"/>
            <w:hideMark/>
          </w:tcPr>
          <w:p w14:paraId="144CED35" w14:textId="58E93F26" w:rsidR="00DC7146" w:rsidRPr="00261857" w:rsidRDefault="00DC7146" w:rsidP="00DC7146">
            <w:pPr>
              <w:jc w:val="center"/>
              <w:rPr>
                <w:rFonts w:eastAsia="Times New Roman" w:cs="Times New Roman"/>
                <w:color w:val="000000"/>
                <w:sz w:val="20"/>
                <w:szCs w:val="20"/>
              </w:rPr>
            </w:pPr>
            <w:r>
              <w:rPr>
                <w:color w:val="000000"/>
                <w:sz w:val="20"/>
                <w:szCs w:val="20"/>
              </w:rPr>
              <w:t>0.891***</w:t>
            </w:r>
          </w:p>
        </w:tc>
        <w:tc>
          <w:tcPr>
            <w:tcW w:w="1213" w:type="dxa"/>
            <w:tcBorders>
              <w:top w:val="nil"/>
              <w:left w:val="nil"/>
              <w:bottom w:val="nil"/>
              <w:right w:val="nil"/>
            </w:tcBorders>
            <w:shd w:val="clear" w:color="auto" w:fill="auto"/>
            <w:noWrap/>
            <w:vAlign w:val="bottom"/>
            <w:hideMark/>
          </w:tcPr>
          <w:p w14:paraId="6634D541" w14:textId="381D7F9A" w:rsidR="00DC7146" w:rsidRPr="00261857" w:rsidRDefault="00DC7146" w:rsidP="00DC7146">
            <w:pPr>
              <w:jc w:val="center"/>
              <w:rPr>
                <w:rFonts w:eastAsia="Times New Roman" w:cs="Times New Roman"/>
                <w:color w:val="000000"/>
                <w:sz w:val="20"/>
                <w:szCs w:val="20"/>
              </w:rPr>
            </w:pPr>
            <w:r>
              <w:rPr>
                <w:color w:val="000000"/>
                <w:sz w:val="20"/>
                <w:szCs w:val="20"/>
              </w:rPr>
              <w:t>0.891***</w:t>
            </w:r>
          </w:p>
        </w:tc>
        <w:tc>
          <w:tcPr>
            <w:tcW w:w="1166" w:type="dxa"/>
            <w:tcBorders>
              <w:top w:val="nil"/>
              <w:left w:val="nil"/>
              <w:bottom w:val="nil"/>
              <w:right w:val="nil"/>
            </w:tcBorders>
            <w:shd w:val="clear" w:color="auto" w:fill="auto"/>
            <w:noWrap/>
            <w:vAlign w:val="bottom"/>
            <w:hideMark/>
          </w:tcPr>
          <w:p w14:paraId="13E61800" w14:textId="61CDB226" w:rsidR="00DC7146" w:rsidRPr="00261857" w:rsidRDefault="00DC7146" w:rsidP="00DC7146">
            <w:pPr>
              <w:jc w:val="center"/>
              <w:rPr>
                <w:rFonts w:eastAsia="Times New Roman" w:cs="Times New Roman"/>
                <w:color w:val="000000"/>
                <w:sz w:val="20"/>
                <w:szCs w:val="20"/>
              </w:rPr>
            </w:pPr>
            <w:r>
              <w:rPr>
                <w:color w:val="000000"/>
                <w:sz w:val="20"/>
                <w:szCs w:val="20"/>
              </w:rPr>
              <w:t>0.613***</w:t>
            </w:r>
          </w:p>
        </w:tc>
        <w:tc>
          <w:tcPr>
            <w:tcW w:w="1166" w:type="dxa"/>
            <w:tcBorders>
              <w:top w:val="nil"/>
              <w:left w:val="nil"/>
              <w:bottom w:val="nil"/>
              <w:right w:val="nil"/>
            </w:tcBorders>
            <w:shd w:val="clear" w:color="auto" w:fill="auto"/>
            <w:noWrap/>
            <w:vAlign w:val="bottom"/>
            <w:hideMark/>
          </w:tcPr>
          <w:p w14:paraId="7D33755D" w14:textId="29404C27" w:rsidR="00DC7146" w:rsidRPr="00261857" w:rsidRDefault="00DC7146" w:rsidP="00DC7146">
            <w:pPr>
              <w:jc w:val="center"/>
              <w:rPr>
                <w:rFonts w:eastAsia="Times New Roman" w:cs="Times New Roman"/>
                <w:color w:val="000000"/>
                <w:sz w:val="20"/>
                <w:szCs w:val="20"/>
              </w:rPr>
            </w:pPr>
            <w:r>
              <w:rPr>
                <w:color w:val="000000"/>
                <w:sz w:val="20"/>
                <w:szCs w:val="20"/>
              </w:rPr>
              <w:t>0.613***</w:t>
            </w:r>
          </w:p>
        </w:tc>
        <w:tc>
          <w:tcPr>
            <w:tcW w:w="1166" w:type="dxa"/>
            <w:tcBorders>
              <w:top w:val="nil"/>
              <w:left w:val="nil"/>
              <w:bottom w:val="nil"/>
              <w:right w:val="nil"/>
            </w:tcBorders>
            <w:shd w:val="clear" w:color="auto" w:fill="auto"/>
            <w:noWrap/>
            <w:vAlign w:val="bottom"/>
            <w:hideMark/>
          </w:tcPr>
          <w:p w14:paraId="3A2A67EC" w14:textId="4700D2B8" w:rsidR="00DC7146" w:rsidRPr="00261857" w:rsidRDefault="00DC7146" w:rsidP="00DC7146">
            <w:pPr>
              <w:jc w:val="center"/>
              <w:rPr>
                <w:rFonts w:eastAsia="Times New Roman" w:cs="Times New Roman"/>
                <w:color w:val="000000"/>
                <w:sz w:val="20"/>
                <w:szCs w:val="20"/>
              </w:rPr>
            </w:pPr>
            <w:r>
              <w:rPr>
                <w:color w:val="000000"/>
                <w:sz w:val="20"/>
                <w:szCs w:val="20"/>
              </w:rPr>
              <w:t>0.613***</w:t>
            </w:r>
          </w:p>
        </w:tc>
      </w:tr>
      <w:tr w:rsidR="00DC7146" w:rsidRPr="00261857" w14:paraId="45B648C3" w14:textId="77777777" w:rsidTr="00DC7146">
        <w:trPr>
          <w:trHeight w:val="255"/>
        </w:trPr>
        <w:tc>
          <w:tcPr>
            <w:tcW w:w="1920" w:type="dxa"/>
            <w:tcBorders>
              <w:top w:val="nil"/>
              <w:left w:val="nil"/>
              <w:bottom w:val="nil"/>
              <w:right w:val="nil"/>
            </w:tcBorders>
            <w:shd w:val="clear" w:color="auto" w:fill="auto"/>
            <w:noWrap/>
            <w:vAlign w:val="bottom"/>
            <w:hideMark/>
          </w:tcPr>
          <w:p w14:paraId="7512BF7D"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6B4903C9" w14:textId="7F346446" w:rsidR="00DC7146" w:rsidRPr="00261857" w:rsidRDefault="00DC7146" w:rsidP="00DC7146">
            <w:pPr>
              <w:jc w:val="center"/>
              <w:rPr>
                <w:rFonts w:eastAsia="Times New Roman" w:cs="Times New Roman"/>
                <w:color w:val="000000"/>
                <w:sz w:val="20"/>
                <w:szCs w:val="20"/>
              </w:rPr>
            </w:pPr>
            <w:r>
              <w:rPr>
                <w:color w:val="000000"/>
                <w:sz w:val="20"/>
                <w:szCs w:val="20"/>
              </w:rPr>
              <w:t>(0.028)</w:t>
            </w:r>
          </w:p>
        </w:tc>
        <w:tc>
          <w:tcPr>
            <w:tcW w:w="1213" w:type="dxa"/>
            <w:tcBorders>
              <w:top w:val="nil"/>
              <w:left w:val="nil"/>
              <w:bottom w:val="nil"/>
              <w:right w:val="nil"/>
            </w:tcBorders>
            <w:shd w:val="clear" w:color="auto" w:fill="auto"/>
            <w:noWrap/>
            <w:vAlign w:val="bottom"/>
            <w:hideMark/>
          </w:tcPr>
          <w:p w14:paraId="6B232D14" w14:textId="15F90AA5" w:rsidR="00DC7146" w:rsidRPr="00261857" w:rsidRDefault="00DC7146" w:rsidP="00DC7146">
            <w:pPr>
              <w:jc w:val="center"/>
              <w:rPr>
                <w:rFonts w:eastAsia="Times New Roman" w:cs="Times New Roman"/>
                <w:color w:val="000000"/>
                <w:sz w:val="20"/>
                <w:szCs w:val="20"/>
              </w:rPr>
            </w:pPr>
            <w:r>
              <w:rPr>
                <w:color w:val="000000"/>
                <w:sz w:val="20"/>
                <w:szCs w:val="20"/>
              </w:rPr>
              <w:t>(0.028)</w:t>
            </w:r>
          </w:p>
        </w:tc>
        <w:tc>
          <w:tcPr>
            <w:tcW w:w="1213" w:type="dxa"/>
            <w:tcBorders>
              <w:top w:val="nil"/>
              <w:left w:val="nil"/>
              <w:bottom w:val="nil"/>
              <w:right w:val="nil"/>
            </w:tcBorders>
            <w:shd w:val="clear" w:color="auto" w:fill="auto"/>
            <w:noWrap/>
            <w:vAlign w:val="bottom"/>
            <w:hideMark/>
          </w:tcPr>
          <w:p w14:paraId="3F854A3B" w14:textId="17C2F993" w:rsidR="00DC7146" w:rsidRPr="00261857" w:rsidRDefault="00DC7146" w:rsidP="00DC7146">
            <w:pPr>
              <w:jc w:val="center"/>
              <w:rPr>
                <w:rFonts w:eastAsia="Times New Roman" w:cs="Times New Roman"/>
                <w:color w:val="000000"/>
                <w:sz w:val="20"/>
                <w:szCs w:val="20"/>
              </w:rPr>
            </w:pPr>
            <w:r>
              <w:rPr>
                <w:color w:val="000000"/>
                <w:sz w:val="20"/>
                <w:szCs w:val="20"/>
              </w:rPr>
              <w:t>(0.028)</w:t>
            </w:r>
          </w:p>
        </w:tc>
        <w:tc>
          <w:tcPr>
            <w:tcW w:w="1166" w:type="dxa"/>
            <w:tcBorders>
              <w:top w:val="nil"/>
              <w:left w:val="nil"/>
              <w:bottom w:val="nil"/>
              <w:right w:val="nil"/>
            </w:tcBorders>
            <w:shd w:val="clear" w:color="auto" w:fill="auto"/>
            <w:noWrap/>
            <w:vAlign w:val="bottom"/>
            <w:hideMark/>
          </w:tcPr>
          <w:p w14:paraId="777D9DE9" w14:textId="7F32FDD4" w:rsidR="00DC7146" w:rsidRPr="00261857" w:rsidRDefault="00DC7146" w:rsidP="00DC7146">
            <w:pPr>
              <w:jc w:val="center"/>
              <w:rPr>
                <w:rFonts w:eastAsia="Times New Roman" w:cs="Times New Roman"/>
                <w:color w:val="000000"/>
                <w:sz w:val="20"/>
                <w:szCs w:val="20"/>
              </w:rPr>
            </w:pPr>
            <w:r>
              <w:rPr>
                <w:color w:val="000000"/>
                <w:sz w:val="20"/>
                <w:szCs w:val="20"/>
              </w:rPr>
              <w:t>(0.031)</w:t>
            </w:r>
          </w:p>
        </w:tc>
        <w:tc>
          <w:tcPr>
            <w:tcW w:w="1166" w:type="dxa"/>
            <w:tcBorders>
              <w:top w:val="nil"/>
              <w:left w:val="nil"/>
              <w:bottom w:val="nil"/>
              <w:right w:val="nil"/>
            </w:tcBorders>
            <w:shd w:val="clear" w:color="auto" w:fill="auto"/>
            <w:noWrap/>
            <w:vAlign w:val="bottom"/>
            <w:hideMark/>
          </w:tcPr>
          <w:p w14:paraId="291FE3BD" w14:textId="676280E9" w:rsidR="00DC7146" w:rsidRPr="00261857" w:rsidRDefault="00DC7146" w:rsidP="00DC7146">
            <w:pPr>
              <w:jc w:val="center"/>
              <w:rPr>
                <w:rFonts w:eastAsia="Times New Roman" w:cs="Times New Roman"/>
                <w:color w:val="000000"/>
                <w:sz w:val="20"/>
                <w:szCs w:val="20"/>
              </w:rPr>
            </w:pPr>
            <w:r>
              <w:rPr>
                <w:color w:val="000000"/>
                <w:sz w:val="20"/>
                <w:szCs w:val="20"/>
              </w:rPr>
              <w:t>(0.031)</w:t>
            </w:r>
          </w:p>
        </w:tc>
        <w:tc>
          <w:tcPr>
            <w:tcW w:w="1166" w:type="dxa"/>
            <w:tcBorders>
              <w:top w:val="nil"/>
              <w:left w:val="nil"/>
              <w:bottom w:val="nil"/>
              <w:right w:val="nil"/>
            </w:tcBorders>
            <w:shd w:val="clear" w:color="auto" w:fill="auto"/>
            <w:noWrap/>
            <w:vAlign w:val="bottom"/>
            <w:hideMark/>
          </w:tcPr>
          <w:p w14:paraId="4770994F" w14:textId="7D30781D" w:rsidR="00DC7146" w:rsidRPr="00261857" w:rsidRDefault="00DC7146" w:rsidP="00DC7146">
            <w:pPr>
              <w:jc w:val="center"/>
              <w:rPr>
                <w:rFonts w:eastAsia="Times New Roman" w:cs="Times New Roman"/>
                <w:color w:val="000000"/>
                <w:sz w:val="20"/>
                <w:szCs w:val="20"/>
              </w:rPr>
            </w:pPr>
            <w:r>
              <w:rPr>
                <w:color w:val="000000"/>
                <w:sz w:val="20"/>
                <w:szCs w:val="20"/>
              </w:rPr>
              <w:t>(0.031)</w:t>
            </w:r>
          </w:p>
        </w:tc>
      </w:tr>
      <w:tr w:rsidR="00DC7146" w:rsidRPr="00261857" w14:paraId="118629EE" w14:textId="77777777" w:rsidTr="00DC7146">
        <w:trPr>
          <w:trHeight w:val="255"/>
        </w:trPr>
        <w:tc>
          <w:tcPr>
            <w:tcW w:w="1920" w:type="dxa"/>
            <w:tcBorders>
              <w:top w:val="nil"/>
              <w:left w:val="nil"/>
              <w:bottom w:val="nil"/>
              <w:right w:val="nil"/>
            </w:tcBorders>
            <w:shd w:val="clear" w:color="auto" w:fill="auto"/>
            <w:noWrap/>
            <w:vAlign w:val="bottom"/>
            <w:hideMark/>
          </w:tcPr>
          <w:p w14:paraId="7D122B3E" w14:textId="1D40CA73" w:rsidR="00DC7146" w:rsidRPr="00261857" w:rsidRDefault="00DC7146" w:rsidP="00DC7146">
            <w:pPr>
              <w:rPr>
                <w:rFonts w:eastAsia="Times New Roman" w:cs="Times New Roman"/>
                <w:b/>
                <w:bCs/>
                <w:color w:val="000000"/>
                <w:sz w:val="20"/>
                <w:szCs w:val="20"/>
              </w:rPr>
            </w:pPr>
            <w:r>
              <w:rPr>
                <w:b/>
                <w:bCs/>
                <w:color w:val="000000"/>
                <w:sz w:val="20"/>
                <w:szCs w:val="20"/>
              </w:rPr>
              <w:t>DL x Gr 5 AY</w:t>
            </w:r>
          </w:p>
        </w:tc>
        <w:tc>
          <w:tcPr>
            <w:tcW w:w="1214" w:type="dxa"/>
            <w:tcBorders>
              <w:top w:val="nil"/>
              <w:left w:val="nil"/>
              <w:bottom w:val="nil"/>
              <w:right w:val="nil"/>
            </w:tcBorders>
            <w:shd w:val="clear" w:color="auto" w:fill="auto"/>
            <w:noWrap/>
            <w:vAlign w:val="bottom"/>
            <w:hideMark/>
          </w:tcPr>
          <w:p w14:paraId="3D11D186" w14:textId="6B7F049E" w:rsidR="00DC7146" w:rsidRPr="00261857" w:rsidRDefault="00DC7146" w:rsidP="00DC7146">
            <w:pPr>
              <w:jc w:val="center"/>
              <w:rPr>
                <w:rFonts w:eastAsia="Times New Roman" w:cs="Times New Roman"/>
                <w:b/>
                <w:bCs/>
                <w:color w:val="000000"/>
                <w:sz w:val="20"/>
                <w:szCs w:val="20"/>
              </w:rPr>
            </w:pPr>
            <w:r>
              <w:rPr>
                <w:b/>
                <w:bCs/>
                <w:color w:val="000000"/>
                <w:sz w:val="20"/>
                <w:szCs w:val="20"/>
              </w:rPr>
              <w:t>0.282***</w:t>
            </w:r>
          </w:p>
        </w:tc>
        <w:tc>
          <w:tcPr>
            <w:tcW w:w="1213" w:type="dxa"/>
            <w:tcBorders>
              <w:top w:val="nil"/>
              <w:left w:val="nil"/>
              <w:bottom w:val="nil"/>
              <w:right w:val="nil"/>
            </w:tcBorders>
            <w:shd w:val="clear" w:color="auto" w:fill="auto"/>
            <w:noWrap/>
            <w:vAlign w:val="bottom"/>
            <w:hideMark/>
          </w:tcPr>
          <w:p w14:paraId="6F9FE003" w14:textId="0DF8EEFB" w:rsidR="00DC7146" w:rsidRPr="00261857" w:rsidRDefault="00DC7146" w:rsidP="00DC7146">
            <w:pPr>
              <w:jc w:val="center"/>
              <w:rPr>
                <w:rFonts w:eastAsia="Times New Roman" w:cs="Times New Roman"/>
                <w:b/>
                <w:bCs/>
                <w:color w:val="000000"/>
                <w:sz w:val="20"/>
                <w:szCs w:val="20"/>
              </w:rPr>
            </w:pPr>
            <w:r>
              <w:rPr>
                <w:b/>
                <w:bCs/>
                <w:color w:val="000000"/>
                <w:sz w:val="20"/>
                <w:szCs w:val="20"/>
              </w:rPr>
              <w:t>0.282***</w:t>
            </w:r>
          </w:p>
        </w:tc>
        <w:tc>
          <w:tcPr>
            <w:tcW w:w="1213" w:type="dxa"/>
            <w:tcBorders>
              <w:top w:val="nil"/>
              <w:left w:val="nil"/>
              <w:bottom w:val="nil"/>
              <w:right w:val="nil"/>
            </w:tcBorders>
            <w:shd w:val="clear" w:color="auto" w:fill="auto"/>
            <w:noWrap/>
            <w:vAlign w:val="bottom"/>
            <w:hideMark/>
          </w:tcPr>
          <w:p w14:paraId="6361C73A" w14:textId="4581D510" w:rsidR="00DC7146" w:rsidRPr="00261857" w:rsidRDefault="00DC7146" w:rsidP="00DC7146">
            <w:pPr>
              <w:jc w:val="center"/>
              <w:rPr>
                <w:rFonts w:eastAsia="Times New Roman" w:cs="Times New Roman"/>
                <w:b/>
                <w:bCs/>
                <w:color w:val="000000"/>
                <w:sz w:val="20"/>
                <w:szCs w:val="20"/>
              </w:rPr>
            </w:pPr>
            <w:r>
              <w:rPr>
                <w:b/>
                <w:bCs/>
                <w:color w:val="000000"/>
                <w:sz w:val="20"/>
                <w:szCs w:val="20"/>
              </w:rPr>
              <w:t>0.282***</w:t>
            </w:r>
          </w:p>
        </w:tc>
        <w:tc>
          <w:tcPr>
            <w:tcW w:w="1166" w:type="dxa"/>
            <w:tcBorders>
              <w:top w:val="nil"/>
              <w:left w:val="nil"/>
              <w:bottom w:val="nil"/>
              <w:right w:val="nil"/>
            </w:tcBorders>
            <w:shd w:val="clear" w:color="auto" w:fill="auto"/>
            <w:noWrap/>
            <w:vAlign w:val="bottom"/>
            <w:hideMark/>
          </w:tcPr>
          <w:p w14:paraId="3924EAE4" w14:textId="0A8E801A" w:rsidR="00DC7146" w:rsidRPr="00261857" w:rsidRDefault="00DC7146" w:rsidP="00DC7146">
            <w:pPr>
              <w:jc w:val="center"/>
              <w:rPr>
                <w:rFonts w:eastAsia="Times New Roman" w:cs="Times New Roman"/>
                <w:b/>
                <w:bCs/>
                <w:color w:val="000000"/>
                <w:sz w:val="20"/>
                <w:szCs w:val="20"/>
              </w:rPr>
            </w:pPr>
            <w:r>
              <w:rPr>
                <w:b/>
                <w:bCs/>
                <w:color w:val="000000"/>
                <w:sz w:val="20"/>
                <w:szCs w:val="20"/>
              </w:rPr>
              <w:t>0.089**</w:t>
            </w:r>
          </w:p>
        </w:tc>
        <w:tc>
          <w:tcPr>
            <w:tcW w:w="1166" w:type="dxa"/>
            <w:tcBorders>
              <w:top w:val="nil"/>
              <w:left w:val="nil"/>
              <w:bottom w:val="nil"/>
              <w:right w:val="nil"/>
            </w:tcBorders>
            <w:shd w:val="clear" w:color="auto" w:fill="auto"/>
            <w:noWrap/>
            <w:vAlign w:val="bottom"/>
            <w:hideMark/>
          </w:tcPr>
          <w:p w14:paraId="5853F91B" w14:textId="67A80AB2" w:rsidR="00DC7146" w:rsidRPr="00261857" w:rsidRDefault="00DC7146" w:rsidP="00DC7146">
            <w:pPr>
              <w:jc w:val="center"/>
              <w:rPr>
                <w:rFonts w:eastAsia="Times New Roman" w:cs="Times New Roman"/>
                <w:b/>
                <w:bCs/>
                <w:color w:val="000000"/>
                <w:sz w:val="20"/>
                <w:szCs w:val="20"/>
              </w:rPr>
            </w:pPr>
            <w:r>
              <w:rPr>
                <w:b/>
                <w:bCs/>
                <w:color w:val="000000"/>
                <w:sz w:val="20"/>
                <w:szCs w:val="20"/>
              </w:rPr>
              <w:t>0.089**</w:t>
            </w:r>
          </w:p>
        </w:tc>
        <w:tc>
          <w:tcPr>
            <w:tcW w:w="1166" w:type="dxa"/>
            <w:tcBorders>
              <w:top w:val="nil"/>
              <w:left w:val="nil"/>
              <w:bottom w:val="nil"/>
              <w:right w:val="nil"/>
            </w:tcBorders>
            <w:shd w:val="clear" w:color="auto" w:fill="auto"/>
            <w:noWrap/>
            <w:vAlign w:val="bottom"/>
            <w:hideMark/>
          </w:tcPr>
          <w:p w14:paraId="28885734" w14:textId="3F80A539" w:rsidR="00DC7146" w:rsidRPr="00261857" w:rsidRDefault="00DC7146" w:rsidP="00DC7146">
            <w:pPr>
              <w:jc w:val="center"/>
              <w:rPr>
                <w:rFonts w:eastAsia="Times New Roman" w:cs="Times New Roman"/>
                <w:b/>
                <w:bCs/>
                <w:color w:val="000000"/>
                <w:sz w:val="20"/>
                <w:szCs w:val="20"/>
              </w:rPr>
            </w:pPr>
            <w:r>
              <w:rPr>
                <w:b/>
                <w:bCs/>
                <w:color w:val="000000"/>
                <w:sz w:val="20"/>
                <w:szCs w:val="20"/>
              </w:rPr>
              <w:t>0.089**</w:t>
            </w:r>
          </w:p>
        </w:tc>
      </w:tr>
      <w:tr w:rsidR="00DC7146" w:rsidRPr="00261857" w14:paraId="54A869DC" w14:textId="77777777" w:rsidTr="00DC7146">
        <w:trPr>
          <w:trHeight w:val="255"/>
        </w:trPr>
        <w:tc>
          <w:tcPr>
            <w:tcW w:w="1920" w:type="dxa"/>
            <w:tcBorders>
              <w:top w:val="nil"/>
              <w:left w:val="nil"/>
              <w:bottom w:val="nil"/>
              <w:right w:val="nil"/>
            </w:tcBorders>
            <w:shd w:val="clear" w:color="auto" w:fill="auto"/>
            <w:noWrap/>
            <w:vAlign w:val="bottom"/>
            <w:hideMark/>
          </w:tcPr>
          <w:p w14:paraId="6303403D"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0EC44785" w14:textId="11075CB9" w:rsidR="00DC7146" w:rsidRPr="00261857" w:rsidRDefault="00DC7146" w:rsidP="00DC7146">
            <w:pPr>
              <w:jc w:val="center"/>
              <w:rPr>
                <w:rFonts w:eastAsia="Times New Roman" w:cs="Times New Roman"/>
                <w:color w:val="000000"/>
                <w:sz w:val="20"/>
                <w:szCs w:val="20"/>
              </w:rPr>
            </w:pPr>
            <w:r>
              <w:rPr>
                <w:color w:val="000000"/>
                <w:sz w:val="20"/>
                <w:szCs w:val="20"/>
              </w:rPr>
              <w:t>(0.038)</w:t>
            </w:r>
          </w:p>
        </w:tc>
        <w:tc>
          <w:tcPr>
            <w:tcW w:w="1213" w:type="dxa"/>
            <w:tcBorders>
              <w:top w:val="nil"/>
              <w:left w:val="nil"/>
              <w:bottom w:val="nil"/>
              <w:right w:val="nil"/>
            </w:tcBorders>
            <w:shd w:val="clear" w:color="auto" w:fill="auto"/>
            <w:noWrap/>
            <w:vAlign w:val="bottom"/>
            <w:hideMark/>
          </w:tcPr>
          <w:p w14:paraId="1AF86740" w14:textId="6AB401B1" w:rsidR="00DC7146" w:rsidRPr="00261857" w:rsidRDefault="00DC7146" w:rsidP="00DC7146">
            <w:pPr>
              <w:jc w:val="center"/>
              <w:rPr>
                <w:rFonts w:eastAsia="Times New Roman" w:cs="Times New Roman"/>
                <w:color w:val="000000"/>
                <w:sz w:val="20"/>
                <w:szCs w:val="20"/>
              </w:rPr>
            </w:pPr>
            <w:r>
              <w:rPr>
                <w:color w:val="000000"/>
                <w:sz w:val="20"/>
                <w:szCs w:val="20"/>
              </w:rPr>
              <w:t>(0.038)</w:t>
            </w:r>
          </w:p>
        </w:tc>
        <w:tc>
          <w:tcPr>
            <w:tcW w:w="1213" w:type="dxa"/>
            <w:tcBorders>
              <w:top w:val="nil"/>
              <w:left w:val="nil"/>
              <w:bottom w:val="nil"/>
              <w:right w:val="nil"/>
            </w:tcBorders>
            <w:shd w:val="clear" w:color="auto" w:fill="auto"/>
            <w:noWrap/>
            <w:vAlign w:val="bottom"/>
            <w:hideMark/>
          </w:tcPr>
          <w:p w14:paraId="469DC2FD" w14:textId="3FB6F174" w:rsidR="00DC7146" w:rsidRPr="00261857" w:rsidRDefault="00DC7146" w:rsidP="00DC7146">
            <w:pPr>
              <w:jc w:val="center"/>
              <w:rPr>
                <w:rFonts w:eastAsia="Times New Roman" w:cs="Times New Roman"/>
                <w:color w:val="000000"/>
                <w:sz w:val="20"/>
                <w:szCs w:val="20"/>
              </w:rPr>
            </w:pPr>
            <w:r>
              <w:rPr>
                <w:color w:val="000000"/>
                <w:sz w:val="20"/>
                <w:szCs w:val="20"/>
              </w:rPr>
              <w:t>(0.038)</w:t>
            </w:r>
          </w:p>
        </w:tc>
        <w:tc>
          <w:tcPr>
            <w:tcW w:w="1166" w:type="dxa"/>
            <w:tcBorders>
              <w:top w:val="nil"/>
              <w:left w:val="nil"/>
              <w:bottom w:val="nil"/>
              <w:right w:val="nil"/>
            </w:tcBorders>
            <w:shd w:val="clear" w:color="auto" w:fill="auto"/>
            <w:noWrap/>
            <w:vAlign w:val="bottom"/>
            <w:hideMark/>
          </w:tcPr>
          <w:p w14:paraId="2D4E3B5A" w14:textId="54CE35E5" w:rsidR="00DC7146" w:rsidRPr="00261857" w:rsidRDefault="00DC7146" w:rsidP="00DC7146">
            <w:pPr>
              <w:jc w:val="center"/>
              <w:rPr>
                <w:rFonts w:eastAsia="Times New Roman" w:cs="Times New Roman"/>
                <w:color w:val="000000"/>
                <w:sz w:val="20"/>
                <w:szCs w:val="20"/>
              </w:rPr>
            </w:pPr>
            <w:r>
              <w:rPr>
                <w:color w:val="000000"/>
                <w:sz w:val="20"/>
                <w:szCs w:val="20"/>
              </w:rPr>
              <w:t>(0.041)</w:t>
            </w:r>
          </w:p>
        </w:tc>
        <w:tc>
          <w:tcPr>
            <w:tcW w:w="1166" w:type="dxa"/>
            <w:tcBorders>
              <w:top w:val="nil"/>
              <w:left w:val="nil"/>
              <w:bottom w:val="nil"/>
              <w:right w:val="nil"/>
            </w:tcBorders>
            <w:shd w:val="clear" w:color="auto" w:fill="auto"/>
            <w:noWrap/>
            <w:vAlign w:val="bottom"/>
            <w:hideMark/>
          </w:tcPr>
          <w:p w14:paraId="2D47C490" w14:textId="58480FD6" w:rsidR="00DC7146" w:rsidRPr="00261857" w:rsidRDefault="00DC7146" w:rsidP="00DC7146">
            <w:pPr>
              <w:jc w:val="center"/>
              <w:rPr>
                <w:rFonts w:eastAsia="Times New Roman" w:cs="Times New Roman"/>
                <w:color w:val="000000"/>
                <w:sz w:val="20"/>
                <w:szCs w:val="20"/>
              </w:rPr>
            </w:pPr>
            <w:r>
              <w:rPr>
                <w:color w:val="000000"/>
                <w:sz w:val="20"/>
                <w:szCs w:val="20"/>
              </w:rPr>
              <w:t>(0.041)</w:t>
            </w:r>
          </w:p>
        </w:tc>
        <w:tc>
          <w:tcPr>
            <w:tcW w:w="1166" w:type="dxa"/>
            <w:tcBorders>
              <w:top w:val="nil"/>
              <w:left w:val="nil"/>
              <w:bottom w:val="nil"/>
              <w:right w:val="nil"/>
            </w:tcBorders>
            <w:shd w:val="clear" w:color="auto" w:fill="auto"/>
            <w:noWrap/>
            <w:vAlign w:val="bottom"/>
            <w:hideMark/>
          </w:tcPr>
          <w:p w14:paraId="354C8C20" w14:textId="5DCE9FD4" w:rsidR="00DC7146" w:rsidRPr="00261857" w:rsidRDefault="00DC7146" w:rsidP="00DC7146">
            <w:pPr>
              <w:jc w:val="center"/>
              <w:rPr>
                <w:rFonts w:eastAsia="Times New Roman" w:cs="Times New Roman"/>
                <w:color w:val="000000"/>
                <w:sz w:val="20"/>
                <w:szCs w:val="20"/>
              </w:rPr>
            </w:pPr>
            <w:r>
              <w:rPr>
                <w:color w:val="000000"/>
                <w:sz w:val="20"/>
                <w:szCs w:val="20"/>
              </w:rPr>
              <w:t>(0.041)</w:t>
            </w:r>
          </w:p>
        </w:tc>
      </w:tr>
      <w:tr w:rsidR="00DC7146" w:rsidRPr="00261857" w14:paraId="50F1AD77" w14:textId="77777777" w:rsidTr="00DC7146">
        <w:trPr>
          <w:trHeight w:val="255"/>
        </w:trPr>
        <w:tc>
          <w:tcPr>
            <w:tcW w:w="1920" w:type="dxa"/>
            <w:tcBorders>
              <w:top w:val="nil"/>
              <w:left w:val="nil"/>
              <w:bottom w:val="nil"/>
              <w:right w:val="nil"/>
            </w:tcBorders>
            <w:shd w:val="clear" w:color="auto" w:fill="auto"/>
            <w:noWrap/>
            <w:vAlign w:val="bottom"/>
            <w:hideMark/>
          </w:tcPr>
          <w:p w14:paraId="5BF20CA3" w14:textId="70210173" w:rsidR="00DC7146" w:rsidRPr="00261857" w:rsidRDefault="00DC7146" w:rsidP="00DC7146">
            <w:pPr>
              <w:rPr>
                <w:rFonts w:eastAsia="Times New Roman" w:cs="Times New Roman"/>
                <w:color w:val="000000"/>
                <w:sz w:val="20"/>
                <w:szCs w:val="20"/>
              </w:rPr>
            </w:pPr>
            <w:r>
              <w:rPr>
                <w:color w:val="000000"/>
                <w:sz w:val="20"/>
                <w:szCs w:val="20"/>
              </w:rPr>
              <w:t>Gr 5 Summer</w:t>
            </w:r>
          </w:p>
        </w:tc>
        <w:tc>
          <w:tcPr>
            <w:tcW w:w="1214" w:type="dxa"/>
            <w:tcBorders>
              <w:top w:val="nil"/>
              <w:left w:val="nil"/>
              <w:bottom w:val="nil"/>
              <w:right w:val="nil"/>
            </w:tcBorders>
            <w:shd w:val="clear" w:color="auto" w:fill="auto"/>
            <w:noWrap/>
            <w:vAlign w:val="bottom"/>
            <w:hideMark/>
          </w:tcPr>
          <w:p w14:paraId="6FDBC2BF" w14:textId="1543CD37" w:rsidR="00DC7146" w:rsidRPr="00261857" w:rsidRDefault="00DC7146" w:rsidP="00DC7146">
            <w:pPr>
              <w:jc w:val="center"/>
              <w:rPr>
                <w:rFonts w:eastAsia="Times New Roman" w:cs="Times New Roman"/>
                <w:color w:val="000000"/>
                <w:sz w:val="20"/>
                <w:szCs w:val="20"/>
              </w:rPr>
            </w:pPr>
            <w:r>
              <w:rPr>
                <w:color w:val="000000"/>
                <w:sz w:val="20"/>
                <w:szCs w:val="20"/>
              </w:rPr>
              <w:t>-1.427***</w:t>
            </w:r>
          </w:p>
        </w:tc>
        <w:tc>
          <w:tcPr>
            <w:tcW w:w="1213" w:type="dxa"/>
            <w:tcBorders>
              <w:top w:val="nil"/>
              <w:left w:val="nil"/>
              <w:bottom w:val="nil"/>
              <w:right w:val="nil"/>
            </w:tcBorders>
            <w:shd w:val="clear" w:color="auto" w:fill="auto"/>
            <w:noWrap/>
            <w:vAlign w:val="bottom"/>
            <w:hideMark/>
          </w:tcPr>
          <w:p w14:paraId="5CCB0B0D" w14:textId="40E3FE60" w:rsidR="00DC7146" w:rsidRPr="00261857" w:rsidRDefault="00DC7146" w:rsidP="00DC7146">
            <w:pPr>
              <w:jc w:val="center"/>
              <w:rPr>
                <w:rFonts w:eastAsia="Times New Roman" w:cs="Times New Roman"/>
                <w:color w:val="000000"/>
                <w:sz w:val="20"/>
                <w:szCs w:val="20"/>
              </w:rPr>
            </w:pPr>
            <w:r>
              <w:rPr>
                <w:color w:val="000000"/>
                <w:sz w:val="20"/>
                <w:szCs w:val="20"/>
              </w:rPr>
              <w:t>-1.431***</w:t>
            </w:r>
          </w:p>
        </w:tc>
        <w:tc>
          <w:tcPr>
            <w:tcW w:w="1213" w:type="dxa"/>
            <w:tcBorders>
              <w:top w:val="nil"/>
              <w:left w:val="nil"/>
              <w:bottom w:val="nil"/>
              <w:right w:val="nil"/>
            </w:tcBorders>
            <w:shd w:val="clear" w:color="auto" w:fill="auto"/>
            <w:noWrap/>
            <w:vAlign w:val="bottom"/>
            <w:hideMark/>
          </w:tcPr>
          <w:p w14:paraId="7473E0B0" w14:textId="456C6470" w:rsidR="00DC7146" w:rsidRPr="00261857" w:rsidRDefault="00DC7146" w:rsidP="00DC7146">
            <w:pPr>
              <w:jc w:val="center"/>
              <w:rPr>
                <w:rFonts w:eastAsia="Times New Roman" w:cs="Times New Roman"/>
                <w:color w:val="000000"/>
                <w:sz w:val="20"/>
                <w:szCs w:val="20"/>
              </w:rPr>
            </w:pPr>
            <w:r>
              <w:rPr>
                <w:color w:val="000000"/>
                <w:sz w:val="20"/>
                <w:szCs w:val="20"/>
              </w:rPr>
              <w:t>-1.431***</w:t>
            </w:r>
          </w:p>
        </w:tc>
        <w:tc>
          <w:tcPr>
            <w:tcW w:w="1166" w:type="dxa"/>
            <w:tcBorders>
              <w:top w:val="nil"/>
              <w:left w:val="nil"/>
              <w:bottom w:val="nil"/>
              <w:right w:val="nil"/>
            </w:tcBorders>
            <w:shd w:val="clear" w:color="auto" w:fill="auto"/>
            <w:noWrap/>
            <w:vAlign w:val="bottom"/>
            <w:hideMark/>
          </w:tcPr>
          <w:p w14:paraId="1C7FC084" w14:textId="7FFBFDE8" w:rsidR="00DC7146" w:rsidRPr="00261857" w:rsidRDefault="00DC7146" w:rsidP="00DC7146">
            <w:pPr>
              <w:jc w:val="center"/>
              <w:rPr>
                <w:rFonts w:eastAsia="Times New Roman" w:cs="Times New Roman"/>
                <w:color w:val="000000"/>
                <w:sz w:val="20"/>
                <w:szCs w:val="20"/>
              </w:rPr>
            </w:pPr>
            <w:r>
              <w:rPr>
                <w:color w:val="000000"/>
                <w:sz w:val="20"/>
                <w:szCs w:val="20"/>
              </w:rPr>
              <w:t>0.252***</w:t>
            </w:r>
          </w:p>
        </w:tc>
        <w:tc>
          <w:tcPr>
            <w:tcW w:w="1166" w:type="dxa"/>
            <w:tcBorders>
              <w:top w:val="nil"/>
              <w:left w:val="nil"/>
              <w:bottom w:val="nil"/>
              <w:right w:val="nil"/>
            </w:tcBorders>
            <w:shd w:val="clear" w:color="auto" w:fill="auto"/>
            <w:noWrap/>
            <w:vAlign w:val="bottom"/>
            <w:hideMark/>
          </w:tcPr>
          <w:p w14:paraId="6C09561A" w14:textId="5E3C884F" w:rsidR="00DC7146" w:rsidRPr="00261857" w:rsidRDefault="00DC7146" w:rsidP="00DC7146">
            <w:pPr>
              <w:jc w:val="center"/>
              <w:rPr>
                <w:rFonts w:eastAsia="Times New Roman" w:cs="Times New Roman"/>
                <w:color w:val="000000"/>
                <w:sz w:val="20"/>
                <w:szCs w:val="20"/>
              </w:rPr>
            </w:pPr>
            <w:r>
              <w:rPr>
                <w:color w:val="000000"/>
                <w:sz w:val="20"/>
                <w:szCs w:val="20"/>
              </w:rPr>
              <w:t>0.246***</w:t>
            </w:r>
          </w:p>
        </w:tc>
        <w:tc>
          <w:tcPr>
            <w:tcW w:w="1166" w:type="dxa"/>
            <w:tcBorders>
              <w:top w:val="nil"/>
              <w:left w:val="nil"/>
              <w:bottom w:val="nil"/>
              <w:right w:val="nil"/>
            </w:tcBorders>
            <w:shd w:val="clear" w:color="auto" w:fill="auto"/>
            <w:noWrap/>
            <w:vAlign w:val="bottom"/>
            <w:hideMark/>
          </w:tcPr>
          <w:p w14:paraId="3D390E98" w14:textId="464A3F30" w:rsidR="00DC7146" w:rsidRPr="00261857" w:rsidRDefault="00DC7146" w:rsidP="00DC7146">
            <w:pPr>
              <w:jc w:val="center"/>
              <w:rPr>
                <w:rFonts w:eastAsia="Times New Roman" w:cs="Times New Roman"/>
                <w:color w:val="000000"/>
                <w:sz w:val="20"/>
                <w:szCs w:val="20"/>
              </w:rPr>
            </w:pPr>
            <w:r>
              <w:rPr>
                <w:color w:val="000000"/>
                <w:sz w:val="20"/>
                <w:szCs w:val="20"/>
              </w:rPr>
              <w:t>0.246***</w:t>
            </w:r>
          </w:p>
        </w:tc>
      </w:tr>
      <w:tr w:rsidR="00DC7146" w:rsidRPr="00261857" w14:paraId="6BD47AAA" w14:textId="77777777" w:rsidTr="00DC7146">
        <w:trPr>
          <w:trHeight w:val="255"/>
        </w:trPr>
        <w:tc>
          <w:tcPr>
            <w:tcW w:w="1920" w:type="dxa"/>
            <w:tcBorders>
              <w:top w:val="nil"/>
              <w:left w:val="nil"/>
              <w:bottom w:val="nil"/>
              <w:right w:val="nil"/>
            </w:tcBorders>
            <w:shd w:val="clear" w:color="auto" w:fill="auto"/>
            <w:noWrap/>
            <w:vAlign w:val="bottom"/>
            <w:hideMark/>
          </w:tcPr>
          <w:p w14:paraId="62989CAC"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13BF68A6" w14:textId="6BB63823" w:rsidR="00DC7146" w:rsidRPr="00261857" w:rsidRDefault="00DC7146" w:rsidP="00DC7146">
            <w:pPr>
              <w:jc w:val="center"/>
              <w:rPr>
                <w:rFonts w:eastAsia="Times New Roman" w:cs="Times New Roman"/>
                <w:color w:val="000000"/>
                <w:sz w:val="20"/>
                <w:szCs w:val="20"/>
              </w:rPr>
            </w:pPr>
            <w:r>
              <w:rPr>
                <w:color w:val="000000"/>
                <w:sz w:val="20"/>
                <w:szCs w:val="20"/>
              </w:rPr>
              <w:t>(0.082)</w:t>
            </w:r>
          </w:p>
        </w:tc>
        <w:tc>
          <w:tcPr>
            <w:tcW w:w="1213" w:type="dxa"/>
            <w:tcBorders>
              <w:top w:val="nil"/>
              <w:left w:val="nil"/>
              <w:bottom w:val="nil"/>
              <w:right w:val="nil"/>
            </w:tcBorders>
            <w:shd w:val="clear" w:color="auto" w:fill="auto"/>
            <w:noWrap/>
            <w:vAlign w:val="bottom"/>
            <w:hideMark/>
          </w:tcPr>
          <w:p w14:paraId="311E6CF1" w14:textId="04A5A732" w:rsidR="00DC7146" w:rsidRPr="00261857" w:rsidRDefault="00DC7146" w:rsidP="00DC7146">
            <w:pPr>
              <w:jc w:val="center"/>
              <w:rPr>
                <w:rFonts w:eastAsia="Times New Roman" w:cs="Times New Roman"/>
                <w:color w:val="000000"/>
                <w:sz w:val="20"/>
                <w:szCs w:val="20"/>
              </w:rPr>
            </w:pPr>
            <w:r>
              <w:rPr>
                <w:color w:val="000000"/>
                <w:sz w:val="20"/>
                <w:szCs w:val="20"/>
              </w:rPr>
              <w:t>(0.082)</w:t>
            </w:r>
          </w:p>
        </w:tc>
        <w:tc>
          <w:tcPr>
            <w:tcW w:w="1213" w:type="dxa"/>
            <w:tcBorders>
              <w:top w:val="nil"/>
              <w:left w:val="nil"/>
              <w:bottom w:val="nil"/>
              <w:right w:val="nil"/>
            </w:tcBorders>
            <w:shd w:val="clear" w:color="auto" w:fill="auto"/>
            <w:noWrap/>
            <w:vAlign w:val="bottom"/>
            <w:hideMark/>
          </w:tcPr>
          <w:p w14:paraId="77461BB6" w14:textId="7B057DCB" w:rsidR="00DC7146" w:rsidRPr="00261857" w:rsidRDefault="00DC7146" w:rsidP="00DC7146">
            <w:pPr>
              <w:jc w:val="center"/>
              <w:rPr>
                <w:rFonts w:eastAsia="Times New Roman" w:cs="Times New Roman"/>
                <w:color w:val="000000"/>
                <w:sz w:val="20"/>
                <w:szCs w:val="20"/>
              </w:rPr>
            </w:pPr>
            <w:r>
              <w:rPr>
                <w:color w:val="000000"/>
                <w:sz w:val="20"/>
                <w:szCs w:val="20"/>
              </w:rPr>
              <w:t>(0.082)</w:t>
            </w:r>
          </w:p>
        </w:tc>
        <w:tc>
          <w:tcPr>
            <w:tcW w:w="1166" w:type="dxa"/>
            <w:tcBorders>
              <w:top w:val="nil"/>
              <w:left w:val="nil"/>
              <w:bottom w:val="nil"/>
              <w:right w:val="nil"/>
            </w:tcBorders>
            <w:shd w:val="clear" w:color="auto" w:fill="auto"/>
            <w:noWrap/>
            <w:vAlign w:val="bottom"/>
            <w:hideMark/>
          </w:tcPr>
          <w:p w14:paraId="57A1FDDE" w14:textId="500A4722" w:rsidR="00DC7146" w:rsidRPr="00261857" w:rsidRDefault="00DC7146" w:rsidP="00DC7146">
            <w:pPr>
              <w:jc w:val="center"/>
              <w:rPr>
                <w:rFonts w:eastAsia="Times New Roman" w:cs="Times New Roman"/>
                <w:color w:val="000000"/>
                <w:sz w:val="20"/>
                <w:szCs w:val="20"/>
              </w:rPr>
            </w:pPr>
            <w:r>
              <w:rPr>
                <w:color w:val="000000"/>
                <w:sz w:val="20"/>
                <w:szCs w:val="20"/>
              </w:rPr>
              <w:t>(0.095)</w:t>
            </w:r>
          </w:p>
        </w:tc>
        <w:tc>
          <w:tcPr>
            <w:tcW w:w="1166" w:type="dxa"/>
            <w:tcBorders>
              <w:top w:val="nil"/>
              <w:left w:val="nil"/>
              <w:bottom w:val="nil"/>
              <w:right w:val="nil"/>
            </w:tcBorders>
            <w:shd w:val="clear" w:color="auto" w:fill="auto"/>
            <w:noWrap/>
            <w:vAlign w:val="bottom"/>
            <w:hideMark/>
          </w:tcPr>
          <w:p w14:paraId="7C950516" w14:textId="05184EE9" w:rsidR="00DC7146" w:rsidRPr="00261857" w:rsidRDefault="00DC7146" w:rsidP="00DC7146">
            <w:pPr>
              <w:jc w:val="center"/>
              <w:rPr>
                <w:rFonts w:eastAsia="Times New Roman" w:cs="Times New Roman"/>
                <w:color w:val="000000"/>
                <w:sz w:val="20"/>
                <w:szCs w:val="20"/>
              </w:rPr>
            </w:pPr>
            <w:r>
              <w:rPr>
                <w:color w:val="000000"/>
                <w:sz w:val="20"/>
                <w:szCs w:val="20"/>
              </w:rPr>
              <w:t>(0.095)</w:t>
            </w:r>
          </w:p>
        </w:tc>
        <w:tc>
          <w:tcPr>
            <w:tcW w:w="1166" w:type="dxa"/>
            <w:tcBorders>
              <w:top w:val="nil"/>
              <w:left w:val="nil"/>
              <w:bottom w:val="nil"/>
              <w:right w:val="nil"/>
            </w:tcBorders>
            <w:shd w:val="clear" w:color="auto" w:fill="auto"/>
            <w:noWrap/>
            <w:vAlign w:val="bottom"/>
            <w:hideMark/>
          </w:tcPr>
          <w:p w14:paraId="7BF11C38" w14:textId="330F5D52" w:rsidR="00DC7146" w:rsidRPr="00261857" w:rsidRDefault="00DC7146" w:rsidP="00DC7146">
            <w:pPr>
              <w:jc w:val="center"/>
              <w:rPr>
                <w:rFonts w:eastAsia="Times New Roman" w:cs="Times New Roman"/>
                <w:color w:val="000000"/>
                <w:sz w:val="20"/>
                <w:szCs w:val="20"/>
              </w:rPr>
            </w:pPr>
            <w:r>
              <w:rPr>
                <w:color w:val="000000"/>
                <w:sz w:val="20"/>
                <w:szCs w:val="20"/>
              </w:rPr>
              <w:t>(0.095)</w:t>
            </w:r>
          </w:p>
        </w:tc>
      </w:tr>
      <w:tr w:rsidR="00DC7146" w:rsidRPr="00261857" w14:paraId="498A1CBB" w14:textId="77777777" w:rsidTr="00DC7146">
        <w:trPr>
          <w:trHeight w:val="255"/>
        </w:trPr>
        <w:tc>
          <w:tcPr>
            <w:tcW w:w="1920" w:type="dxa"/>
            <w:tcBorders>
              <w:top w:val="nil"/>
              <w:left w:val="nil"/>
              <w:bottom w:val="nil"/>
              <w:right w:val="nil"/>
            </w:tcBorders>
            <w:shd w:val="clear" w:color="auto" w:fill="auto"/>
            <w:noWrap/>
            <w:vAlign w:val="bottom"/>
            <w:hideMark/>
          </w:tcPr>
          <w:p w14:paraId="5172C25E" w14:textId="7CADF6A3" w:rsidR="00DC7146" w:rsidRPr="00261857" w:rsidRDefault="00DC7146" w:rsidP="00DC7146">
            <w:pPr>
              <w:rPr>
                <w:rFonts w:eastAsia="Times New Roman" w:cs="Times New Roman"/>
                <w:b/>
                <w:bCs/>
                <w:color w:val="000000"/>
                <w:sz w:val="20"/>
                <w:szCs w:val="20"/>
              </w:rPr>
            </w:pPr>
            <w:r>
              <w:rPr>
                <w:b/>
                <w:bCs/>
                <w:color w:val="000000"/>
                <w:sz w:val="20"/>
                <w:szCs w:val="20"/>
              </w:rPr>
              <w:t>DL x Gr 5 Summer</w:t>
            </w:r>
          </w:p>
        </w:tc>
        <w:tc>
          <w:tcPr>
            <w:tcW w:w="1214" w:type="dxa"/>
            <w:tcBorders>
              <w:top w:val="nil"/>
              <w:left w:val="nil"/>
              <w:bottom w:val="nil"/>
              <w:right w:val="nil"/>
            </w:tcBorders>
            <w:shd w:val="clear" w:color="auto" w:fill="auto"/>
            <w:noWrap/>
            <w:vAlign w:val="bottom"/>
            <w:hideMark/>
          </w:tcPr>
          <w:p w14:paraId="3A977EAB" w14:textId="60DE7339" w:rsidR="00DC7146" w:rsidRPr="00261857" w:rsidRDefault="00DC7146" w:rsidP="00DC7146">
            <w:pPr>
              <w:jc w:val="center"/>
              <w:rPr>
                <w:rFonts w:eastAsia="Times New Roman" w:cs="Times New Roman"/>
                <w:b/>
                <w:bCs/>
                <w:color w:val="000000"/>
                <w:sz w:val="20"/>
                <w:szCs w:val="20"/>
              </w:rPr>
            </w:pPr>
            <w:r>
              <w:rPr>
                <w:b/>
                <w:bCs/>
                <w:color w:val="000000"/>
                <w:sz w:val="20"/>
                <w:szCs w:val="20"/>
              </w:rPr>
              <w:t>-0.618***</w:t>
            </w:r>
          </w:p>
        </w:tc>
        <w:tc>
          <w:tcPr>
            <w:tcW w:w="1213" w:type="dxa"/>
            <w:tcBorders>
              <w:top w:val="nil"/>
              <w:left w:val="nil"/>
              <w:bottom w:val="nil"/>
              <w:right w:val="nil"/>
            </w:tcBorders>
            <w:shd w:val="clear" w:color="auto" w:fill="auto"/>
            <w:noWrap/>
            <w:vAlign w:val="bottom"/>
            <w:hideMark/>
          </w:tcPr>
          <w:p w14:paraId="60E33CE3" w14:textId="37D52E6F" w:rsidR="00DC7146" w:rsidRPr="00261857" w:rsidRDefault="00DC7146" w:rsidP="00DC7146">
            <w:pPr>
              <w:jc w:val="center"/>
              <w:rPr>
                <w:rFonts w:eastAsia="Times New Roman" w:cs="Times New Roman"/>
                <w:b/>
                <w:bCs/>
                <w:color w:val="000000"/>
                <w:sz w:val="20"/>
                <w:szCs w:val="20"/>
              </w:rPr>
            </w:pPr>
            <w:r>
              <w:rPr>
                <w:b/>
                <w:bCs/>
                <w:color w:val="000000"/>
                <w:sz w:val="20"/>
                <w:szCs w:val="20"/>
              </w:rPr>
              <w:t>-0.615***</w:t>
            </w:r>
          </w:p>
        </w:tc>
        <w:tc>
          <w:tcPr>
            <w:tcW w:w="1213" w:type="dxa"/>
            <w:tcBorders>
              <w:top w:val="nil"/>
              <w:left w:val="nil"/>
              <w:bottom w:val="nil"/>
              <w:right w:val="nil"/>
            </w:tcBorders>
            <w:shd w:val="clear" w:color="auto" w:fill="auto"/>
            <w:noWrap/>
            <w:vAlign w:val="bottom"/>
            <w:hideMark/>
          </w:tcPr>
          <w:p w14:paraId="08A3B758" w14:textId="5F7CF2F5" w:rsidR="00DC7146" w:rsidRPr="00261857" w:rsidRDefault="00DC7146" w:rsidP="00DC7146">
            <w:pPr>
              <w:jc w:val="center"/>
              <w:rPr>
                <w:rFonts w:eastAsia="Times New Roman" w:cs="Times New Roman"/>
                <w:b/>
                <w:bCs/>
                <w:color w:val="000000"/>
                <w:sz w:val="20"/>
                <w:szCs w:val="20"/>
              </w:rPr>
            </w:pPr>
            <w:r>
              <w:rPr>
                <w:b/>
                <w:bCs/>
                <w:color w:val="000000"/>
                <w:sz w:val="20"/>
                <w:szCs w:val="20"/>
              </w:rPr>
              <w:t>-0.615***</w:t>
            </w:r>
          </w:p>
        </w:tc>
        <w:tc>
          <w:tcPr>
            <w:tcW w:w="1166" w:type="dxa"/>
            <w:tcBorders>
              <w:top w:val="nil"/>
              <w:left w:val="nil"/>
              <w:bottom w:val="nil"/>
              <w:right w:val="nil"/>
            </w:tcBorders>
            <w:shd w:val="clear" w:color="auto" w:fill="auto"/>
            <w:noWrap/>
            <w:vAlign w:val="bottom"/>
            <w:hideMark/>
          </w:tcPr>
          <w:p w14:paraId="0BBD6D82" w14:textId="1D32E391" w:rsidR="00DC7146" w:rsidRPr="00261857" w:rsidRDefault="00DC7146" w:rsidP="00DC7146">
            <w:pPr>
              <w:jc w:val="center"/>
              <w:rPr>
                <w:rFonts w:eastAsia="Times New Roman" w:cs="Times New Roman"/>
                <w:b/>
                <w:bCs/>
                <w:color w:val="000000"/>
                <w:sz w:val="20"/>
                <w:szCs w:val="20"/>
              </w:rPr>
            </w:pPr>
            <w:r>
              <w:rPr>
                <w:b/>
                <w:bCs/>
                <w:color w:val="000000"/>
                <w:sz w:val="20"/>
                <w:szCs w:val="20"/>
              </w:rPr>
              <w:t>-0.048</w:t>
            </w:r>
          </w:p>
        </w:tc>
        <w:tc>
          <w:tcPr>
            <w:tcW w:w="1166" w:type="dxa"/>
            <w:tcBorders>
              <w:top w:val="nil"/>
              <w:left w:val="nil"/>
              <w:bottom w:val="nil"/>
              <w:right w:val="nil"/>
            </w:tcBorders>
            <w:shd w:val="clear" w:color="auto" w:fill="auto"/>
            <w:noWrap/>
            <w:vAlign w:val="bottom"/>
            <w:hideMark/>
          </w:tcPr>
          <w:p w14:paraId="7D1ED317" w14:textId="6F6DEF96" w:rsidR="00DC7146" w:rsidRPr="00261857" w:rsidRDefault="00DC7146" w:rsidP="00DC7146">
            <w:pPr>
              <w:jc w:val="center"/>
              <w:rPr>
                <w:rFonts w:eastAsia="Times New Roman" w:cs="Times New Roman"/>
                <w:b/>
                <w:bCs/>
                <w:color w:val="000000"/>
                <w:sz w:val="20"/>
                <w:szCs w:val="20"/>
              </w:rPr>
            </w:pPr>
            <w:r>
              <w:rPr>
                <w:b/>
                <w:bCs/>
                <w:color w:val="000000"/>
                <w:sz w:val="20"/>
                <w:szCs w:val="20"/>
              </w:rPr>
              <w:t>-0.046</w:t>
            </w:r>
          </w:p>
        </w:tc>
        <w:tc>
          <w:tcPr>
            <w:tcW w:w="1166" w:type="dxa"/>
            <w:tcBorders>
              <w:top w:val="nil"/>
              <w:left w:val="nil"/>
              <w:bottom w:val="nil"/>
              <w:right w:val="nil"/>
            </w:tcBorders>
            <w:shd w:val="clear" w:color="auto" w:fill="auto"/>
            <w:noWrap/>
            <w:vAlign w:val="bottom"/>
            <w:hideMark/>
          </w:tcPr>
          <w:p w14:paraId="22950268" w14:textId="30DC6F01" w:rsidR="00DC7146" w:rsidRPr="00261857" w:rsidRDefault="00DC7146" w:rsidP="00DC7146">
            <w:pPr>
              <w:jc w:val="center"/>
              <w:rPr>
                <w:rFonts w:eastAsia="Times New Roman" w:cs="Times New Roman"/>
                <w:b/>
                <w:bCs/>
                <w:color w:val="000000"/>
                <w:sz w:val="20"/>
                <w:szCs w:val="20"/>
              </w:rPr>
            </w:pPr>
            <w:r>
              <w:rPr>
                <w:b/>
                <w:bCs/>
                <w:color w:val="000000"/>
                <w:sz w:val="20"/>
                <w:szCs w:val="20"/>
              </w:rPr>
              <w:t>-0.047</w:t>
            </w:r>
          </w:p>
        </w:tc>
      </w:tr>
      <w:tr w:rsidR="00DC7146" w:rsidRPr="00261857" w14:paraId="1BEC9411" w14:textId="77777777" w:rsidTr="00DC7146">
        <w:trPr>
          <w:trHeight w:val="255"/>
        </w:trPr>
        <w:tc>
          <w:tcPr>
            <w:tcW w:w="1920" w:type="dxa"/>
            <w:tcBorders>
              <w:top w:val="nil"/>
              <w:left w:val="nil"/>
              <w:bottom w:val="nil"/>
              <w:right w:val="nil"/>
            </w:tcBorders>
            <w:shd w:val="clear" w:color="auto" w:fill="auto"/>
            <w:noWrap/>
            <w:vAlign w:val="bottom"/>
            <w:hideMark/>
          </w:tcPr>
          <w:p w14:paraId="527D20AD"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255B7886" w14:textId="46CB7AF8" w:rsidR="00DC7146" w:rsidRPr="00261857" w:rsidRDefault="00DC7146" w:rsidP="00DC7146">
            <w:pPr>
              <w:jc w:val="center"/>
              <w:rPr>
                <w:rFonts w:eastAsia="Times New Roman" w:cs="Times New Roman"/>
                <w:color w:val="000000"/>
                <w:sz w:val="20"/>
                <w:szCs w:val="20"/>
              </w:rPr>
            </w:pPr>
            <w:r>
              <w:rPr>
                <w:color w:val="000000"/>
                <w:sz w:val="20"/>
                <w:szCs w:val="20"/>
              </w:rPr>
              <w:t>(0.102)</w:t>
            </w:r>
          </w:p>
        </w:tc>
        <w:tc>
          <w:tcPr>
            <w:tcW w:w="1213" w:type="dxa"/>
            <w:tcBorders>
              <w:top w:val="nil"/>
              <w:left w:val="nil"/>
              <w:bottom w:val="nil"/>
              <w:right w:val="nil"/>
            </w:tcBorders>
            <w:shd w:val="clear" w:color="auto" w:fill="auto"/>
            <w:noWrap/>
            <w:vAlign w:val="bottom"/>
            <w:hideMark/>
          </w:tcPr>
          <w:p w14:paraId="412B60D4" w14:textId="401DC6EA" w:rsidR="00DC7146" w:rsidRPr="00261857" w:rsidRDefault="00DC7146" w:rsidP="00DC7146">
            <w:pPr>
              <w:jc w:val="center"/>
              <w:rPr>
                <w:rFonts w:eastAsia="Times New Roman" w:cs="Times New Roman"/>
                <w:color w:val="000000"/>
                <w:sz w:val="20"/>
                <w:szCs w:val="20"/>
              </w:rPr>
            </w:pPr>
            <w:r>
              <w:rPr>
                <w:color w:val="000000"/>
                <w:sz w:val="20"/>
                <w:szCs w:val="20"/>
              </w:rPr>
              <w:t>(0.102)</w:t>
            </w:r>
          </w:p>
        </w:tc>
        <w:tc>
          <w:tcPr>
            <w:tcW w:w="1213" w:type="dxa"/>
            <w:tcBorders>
              <w:top w:val="nil"/>
              <w:left w:val="nil"/>
              <w:bottom w:val="nil"/>
              <w:right w:val="nil"/>
            </w:tcBorders>
            <w:shd w:val="clear" w:color="auto" w:fill="auto"/>
            <w:noWrap/>
            <w:vAlign w:val="bottom"/>
            <w:hideMark/>
          </w:tcPr>
          <w:p w14:paraId="382E8F0A" w14:textId="264CDE15" w:rsidR="00DC7146" w:rsidRPr="00261857" w:rsidRDefault="00DC7146" w:rsidP="00DC7146">
            <w:pPr>
              <w:jc w:val="center"/>
              <w:rPr>
                <w:rFonts w:eastAsia="Times New Roman" w:cs="Times New Roman"/>
                <w:color w:val="000000"/>
                <w:sz w:val="20"/>
                <w:szCs w:val="20"/>
              </w:rPr>
            </w:pPr>
            <w:r>
              <w:rPr>
                <w:color w:val="000000"/>
                <w:sz w:val="20"/>
                <w:szCs w:val="20"/>
              </w:rPr>
              <w:t>(0.102)</w:t>
            </w:r>
          </w:p>
        </w:tc>
        <w:tc>
          <w:tcPr>
            <w:tcW w:w="1166" w:type="dxa"/>
            <w:tcBorders>
              <w:top w:val="nil"/>
              <w:left w:val="nil"/>
              <w:bottom w:val="nil"/>
              <w:right w:val="nil"/>
            </w:tcBorders>
            <w:shd w:val="clear" w:color="auto" w:fill="auto"/>
            <w:noWrap/>
            <w:vAlign w:val="bottom"/>
            <w:hideMark/>
          </w:tcPr>
          <w:p w14:paraId="6D324D4B" w14:textId="4045C997" w:rsidR="00DC7146" w:rsidRPr="00261857" w:rsidRDefault="00DC7146" w:rsidP="00DC7146">
            <w:pPr>
              <w:jc w:val="center"/>
              <w:rPr>
                <w:rFonts w:eastAsia="Times New Roman" w:cs="Times New Roman"/>
                <w:color w:val="000000"/>
                <w:sz w:val="20"/>
                <w:szCs w:val="20"/>
              </w:rPr>
            </w:pPr>
            <w:r>
              <w:rPr>
                <w:color w:val="000000"/>
                <w:sz w:val="20"/>
                <w:szCs w:val="20"/>
              </w:rPr>
              <w:t>(0.113)</w:t>
            </w:r>
          </w:p>
        </w:tc>
        <w:tc>
          <w:tcPr>
            <w:tcW w:w="1166" w:type="dxa"/>
            <w:tcBorders>
              <w:top w:val="nil"/>
              <w:left w:val="nil"/>
              <w:bottom w:val="nil"/>
              <w:right w:val="nil"/>
            </w:tcBorders>
            <w:shd w:val="clear" w:color="auto" w:fill="auto"/>
            <w:noWrap/>
            <w:vAlign w:val="bottom"/>
            <w:hideMark/>
          </w:tcPr>
          <w:p w14:paraId="3DCC2E35" w14:textId="2E3422E4" w:rsidR="00DC7146" w:rsidRPr="00261857" w:rsidRDefault="00DC7146" w:rsidP="00DC7146">
            <w:pPr>
              <w:jc w:val="center"/>
              <w:rPr>
                <w:rFonts w:eastAsia="Times New Roman" w:cs="Times New Roman"/>
                <w:color w:val="000000"/>
                <w:sz w:val="20"/>
                <w:szCs w:val="20"/>
              </w:rPr>
            </w:pPr>
            <w:r>
              <w:rPr>
                <w:color w:val="000000"/>
                <w:sz w:val="20"/>
                <w:szCs w:val="20"/>
              </w:rPr>
              <w:t>(0.113)</w:t>
            </w:r>
          </w:p>
        </w:tc>
        <w:tc>
          <w:tcPr>
            <w:tcW w:w="1166" w:type="dxa"/>
            <w:tcBorders>
              <w:top w:val="nil"/>
              <w:left w:val="nil"/>
              <w:bottom w:val="nil"/>
              <w:right w:val="nil"/>
            </w:tcBorders>
            <w:shd w:val="clear" w:color="auto" w:fill="auto"/>
            <w:noWrap/>
            <w:vAlign w:val="bottom"/>
            <w:hideMark/>
          </w:tcPr>
          <w:p w14:paraId="5D1579C0" w14:textId="13B407A6" w:rsidR="00DC7146" w:rsidRPr="00261857" w:rsidRDefault="00DC7146" w:rsidP="00DC7146">
            <w:pPr>
              <w:jc w:val="center"/>
              <w:rPr>
                <w:rFonts w:eastAsia="Times New Roman" w:cs="Times New Roman"/>
                <w:color w:val="000000"/>
                <w:sz w:val="20"/>
                <w:szCs w:val="20"/>
              </w:rPr>
            </w:pPr>
            <w:r>
              <w:rPr>
                <w:color w:val="000000"/>
                <w:sz w:val="20"/>
                <w:szCs w:val="20"/>
              </w:rPr>
              <w:t>(0.113)</w:t>
            </w:r>
          </w:p>
        </w:tc>
      </w:tr>
      <w:tr w:rsidR="00DC7146" w:rsidRPr="00261857" w14:paraId="506EC0B2" w14:textId="77777777" w:rsidTr="00DC7146">
        <w:trPr>
          <w:trHeight w:val="255"/>
        </w:trPr>
        <w:tc>
          <w:tcPr>
            <w:tcW w:w="1920" w:type="dxa"/>
            <w:tcBorders>
              <w:top w:val="nil"/>
              <w:left w:val="nil"/>
              <w:bottom w:val="nil"/>
              <w:right w:val="nil"/>
            </w:tcBorders>
            <w:shd w:val="clear" w:color="auto" w:fill="auto"/>
            <w:noWrap/>
            <w:vAlign w:val="bottom"/>
            <w:hideMark/>
          </w:tcPr>
          <w:p w14:paraId="5DF9176E" w14:textId="24A0C1EB" w:rsidR="00DC7146" w:rsidRPr="00261857" w:rsidRDefault="00DC7146" w:rsidP="00DC7146">
            <w:pPr>
              <w:rPr>
                <w:rFonts w:eastAsia="Times New Roman" w:cs="Times New Roman"/>
                <w:color w:val="000000"/>
                <w:sz w:val="20"/>
                <w:szCs w:val="20"/>
              </w:rPr>
            </w:pPr>
            <w:r>
              <w:rPr>
                <w:color w:val="000000"/>
                <w:sz w:val="20"/>
                <w:szCs w:val="20"/>
              </w:rPr>
              <w:t>Gr 6 AY</w:t>
            </w:r>
          </w:p>
        </w:tc>
        <w:tc>
          <w:tcPr>
            <w:tcW w:w="1214" w:type="dxa"/>
            <w:tcBorders>
              <w:top w:val="nil"/>
              <w:left w:val="nil"/>
              <w:bottom w:val="nil"/>
              <w:right w:val="nil"/>
            </w:tcBorders>
            <w:shd w:val="clear" w:color="auto" w:fill="auto"/>
            <w:noWrap/>
            <w:vAlign w:val="bottom"/>
            <w:hideMark/>
          </w:tcPr>
          <w:p w14:paraId="3804CD33" w14:textId="0B7B39AD" w:rsidR="00DC7146" w:rsidRPr="00261857" w:rsidRDefault="00DC7146" w:rsidP="00DC7146">
            <w:pPr>
              <w:jc w:val="center"/>
              <w:rPr>
                <w:rFonts w:eastAsia="Times New Roman" w:cs="Times New Roman"/>
                <w:color w:val="000000"/>
                <w:sz w:val="20"/>
                <w:szCs w:val="20"/>
              </w:rPr>
            </w:pPr>
            <w:r>
              <w:rPr>
                <w:color w:val="000000"/>
                <w:sz w:val="20"/>
                <w:szCs w:val="20"/>
              </w:rPr>
              <w:t>0.878***</w:t>
            </w:r>
          </w:p>
        </w:tc>
        <w:tc>
          <w:tcPr>
            <w:tcW w:w="1213" w:type="dxa"/>
            <w:tcBorders>
              <w:top w:val="nil"/>
              <w:left w:val="nil"/>
              <w:bottom w:val="nil"/>
              <w:right w:val="nil"/>
            </w:tcBorders>
            <w:shd w:val="clear" w:color="auto" w:fill="auto"/>
            <w:noWrap/>
            <w:vAlign w:val="bottom"/>
            <w:hideMark/>
          </w:tcPr>
          <w:p w14:paraId="2B40E922" w14:textId="3726694B" w:rsidR="00DC7146" w:rsidRPr="00261857" w:rsidRDefault="00DC7146" w:rsidP="00DC7146">
            <w:pPr>
              <w:jc w:val="center"/>
              <w:rPr>
                <w:rFonts w:eastAsia="Times New Roman" w:cs="Times New Roman"/>
                <w:color w:val="000000"/>
                <w:sz w:val="20"/>
                <w:szCs w:val="20"/>
              </w:rPr>
            </w:pPr>
            <w:r>
              <w:rPr>
                <w:color w:val="000000"/>
                <w:sz w:val="20"/>
                <w:szCs w:val="20"/>
              </w:rPr>
              <w:t>0.878***</w:t>
            </w:r>
          </w:p>
        </w:tc>
        <w:tc>
          <w:tcPr>
            <w:tcW w:w="1213" w:type="dxa"/>
            <w:tcBorders>
              <w:top w:val="nil"/>
              <w:left w:val="nil"/>
              <w:bottom w:val="nil"/>
              <w:right w:val="nil"/>
            </w:tcBorders>
            <w:shd w:val="clear" w:color="auto" w:fill="auto"/>
            <w:noWrap/>
            <w:vAlign w:val="bottom"/>
            <w:hideMark/>
          </w:tcPr>
          <w:p w14:paraId="743C7B64" w14:textId="02391416" w:rsidR="00DC7146" w:rsidRPr="00261857" w:rsidRDefault="00DC7146" w:rsidP="00DC7146">
            <w:pPr>
              <w:jc w:val="center"/>
              <w:rPr>
                <w:rFonts w:eastAsia="Times New Roman" w:cs="Times New Roman"/>
                <w:color w:val="000000"/>
                <w:sz w:val="20"/>
                <w:szCs w:val="20"/>
              </w:rPr>
            </w:pPr>
            <w:r>
              <w:rPr>
                <w:color w:val="000000"/>
                <w:sz w:val="20"/>
                <w:szCs w:val="20"/>
              </w:rPr>
              <w:t>0.878***</w:t>
            </w:r>
          </w:p>
        </w:tc>
        <w:tc>
          <w:tcPr>
            <w:tcW w:w="1166" w:type="dxa"/>
            <w:tcBorders>
              <w:top w:val="nil"/>
              <w:left w:val="nil"/>
              <w:bottom w:val="nil"/>
              <w:right w:val="nil"/>
            </w:tcBorders>
            <w:shd w:val="clear" w:color="auto" w:fill="auto"/>
            <w:noWrap/>
            <w:vAlign w:val="bottom"/>
            <w:hideMark/>
          </w:tcPr>
          <w:p w14:paraId="4F569474" w14:textId="1FA4D587" w:rsidR="00DC7146" w:rsidRPr="00261857" w:rsidRDefault="00DC7146" w:rsidP="00DC7146">
            <w:pPr>
              <w:jc w:val="center"/>
              <w:rPr>
                <w:rFonts w:eastAsia="Times New Roman" w:cs="Times New Roman"/>
                <w:color w:val="000000"/>
                <w:sz w:val="20"/>
                <w:szCs w:val="20"/>
              </w:rPr>
            </w:pPr>
            <w:r>
              <w:rPr>
                <w:color w:val="000000"/>
                <w:sz w:val="20"/>
                <w:szCs w:val="20"/>
              </w:rPr>
              <w:t>0.489***</w:t>
            </w:r>
          </w:p>
        </w:tc>
        <w:tc>
          <w:tcPr>
            <w:tcW w:w="1166" w:type="dxa"/>
            <w:tcBorders>
              <w:top w:val="nil"/>
              <w:left w:val="nil"/>
              <w:bottom w:val="nil"/>
              <w:right w:val="nil"/>
            </w:tcBorders>
            <w:shd w:val="clear" w:color="auto" w:fill="auto"/>
            <w:noWrap/>
            <w:vAlign w:val="bottom"/>
            <w:hideMark/>
          </w:tcPr>
          <w:p w14:paraId="4789F9FC" w14:textId="500E7C5B" w:rsidR="00DC7146" w:rsidRPr="00261857" w:rsidRDefault="00DC7146" w:rsidP="00DC7146">
            <w:pPr>
              <w:jc w:val="center"/>
              <w:rPr>
                <w:rFonts w:eastAsia="Times New Roman" w:cs="Times New Roman"/>
                <w:color w:val="000000"/>
                <w:sz w:val="20"/>
                <w:szCs w:val="20"/>
              </w:rPr>
            </w:pPr>
            <w:r>
              <w:rPr>
                <w:color w:val="000000"/>
                <w:sz w:val="20"/>
                <w:szCs w:val="20"/>
              </w:rPr>
              <w:t>0.490***</w:t>
            </w:r>
          </w:p>
        </w:tc>
        <w:tc>
          <w:tcPr>
            <w:tcW w:w="1166" w:type="dxa"/>
            <w:tcBorders>
              <w:top w:val="nil"/>
              <w:left w:val="nil"/>
              <w:bottom w:val="nil"/>
              <w:right w:val="nil"/>
            </w:tcBorders>
            <w:shd w:val="clear" w:color="auto" w:fill="auto"/>
            <w:noWrap/>
            <w:vAlign w:val="bottom"/>
            <w:hideMark/>
          </w:tcPr>
          <w:p w14:paraId="13481C34" w14:textId="743884AE" w:rsidR="00DC7146" w:rsidRPr="00261857" w:rsidRDefault="00DC7146" w:rsidP="00DC7146">
            <w:pPr>
              <w:jc w:val="center"/>
              <w:rPr>
                <w:rFonts w:eastAsia="Times New Roman" w:cs="Times New Roman"/>
                <w:color w:val="000000"/>
                <w:sz w:val="20"/>
                <w:szCs w:val="20"/>
              </w:rPr>
            </w:pPr>
            <w:r>
              <w:rPr>
                <w:color w:val="000000"/>
                <w:sz w:val="20"/>
                <w:szCs w:val="20"/>
              </w:rPr>
              <w:t>0.490***</w:t>
            </w:r>
          </w:p>
        </w:tc>
      </w:tr>
      <w:tr w:rsidR="00DC7146" w:rsidRPr="00261857" w14:paraId="5F539B79" w14:textId="77777777" w:rsidTr="00DC7146">
        <w:trPr>
          <w:trHeight w:val="255"/>
        </w:trPr>
        <w:tc>
          <w:tcPr>
            <w:tcW w:w="1920" w:type="dxa"/>
            <w:tcBorders>
              <w:top w:val="nil"/>
              <w:left w:val="nil"/>
              <w:bottom w:val="nil"/>
              <w:right w:val="nil"/>
            </w:tcBorders>
            <w:shd w:val="clear" w:color="auto" w:fill="auto"/>
            <w:noWrap/>
            <w:vAlign w:val="bottom"/>
            <w:hideMark/>
          </w:tcPr>
          <w:p w14:paraId="43E34348"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0098FA1A" w14:textId="3878FBE9" w:rsidR="00DC7146" w:rsidRPr="00261857" w:rsidRDefault="00DC7146" w:rsidP="00DC7146">
            <w:pPr>
              <w:jc w:val="center"/>
              <w:rPr>
                <w:rFonts w:eastAsia="Times New Roman" w:cs="Times New Roman"/>
                <w:color w:val="000000"/>
                <w:sz w:val="20"/>
                <w:szCs w:val="20"/>
              </w:rPr>
            </w:pPr>
            <w:r>
              <w:rPr>
                <w:color w:val="000000"/>
                <w:sz w:val="20"/>
                <w:szCs w:val="20"/>
              </w:rPr>
              <w:t>(0.029)</w:t>
            </w:r>
          </w:p>
        </w:tc>
        <w:tc>
          <w:tcPr>
            <w:tcW w:w="1213" w:type="dxa"/>
            <w:tcBorders>
              <w:top w:val="nil"/>
              <w:left w:val="nil"/>
              <w:bottom w:val="nil"/>
              <w:right w:val="nil"/>
            </w:tcBorders>
            <w:shd w:val="clear" w:color="auto" w:fill="auto"/>
            <w:noWrap/>
            <w:vAlign w:val="bottom"/>
            <w:hideMark/>
          </w:tcPr>
          <w:p w14:paraId="07BF5BDD" w14:textId="0064C7A5" w:rsidR="00DC7146" w:rsidRPr="00261857" w:rsidRDefault="00DC7146" w:rsidP="00DC7146">
            <w:pPr>
              <w:jc w:val="center"/>
              <w:rPr>
                <w:rFonts w:eastAsia="Times New Roman" w:cs="Times New Roman"/>
                <w:color w:val="000000"/>
                <w:sz w:val="20"/>
                <w:szCs w:val="20"/>
              </w:rPr>
            </w:pPr>
            <w:r>
              <w:rPr>
                <w:color w:val="000000"/>
                <w:sz w:val="20"/>
                <w:szCs w:val="20"/>
              </w:rPr>
              <w:t>(0.029)</w:t>
            </w:r>
          </w:p>
        </w:tc>
        <w:tc>
          <w:tcPr>
            <w:tcW w:w="1213" w:type="dxa"/>
            <w:tcBorders>
              <w:top w:val="nil"/>
              <w:left w:val="nil"/>
              <w:bottom w:val="nil"/>
              <w:right w:val="nil"/>
            </w:tcBorders>
            <w:shd w:val="clear" w:color="auto" w:fill="auto"/>
            <w:noWrap/>
            <w:vAlign w:val="bottom"/>
            <w:hideMark/>
          </w:tcPr>
          <w:p w14:paraId="5333EB67" w14:textId="3495968E" w:rsidR="00DC7146" w:rsidRPr="00261857" w:rsidRDefault="00DC7146" w:rsidP="00DC7146">
            <w:pPr>
              <w:jc w:val="center"/>
              <w:rPr>
                <w:rFonts w:eastAsia="Times New Roman" w:cs="Times New Roman"/>
                <w:color w:val="000000"/>
                <w:sz w:val="20"/>
                <w:szCs w:val="20"/>
              </w:rPr>
            </w:pPr>
            <w:r>
              <w:rPr>
                <w:color w:val="000000"/>
                <w:sz w:val="20"/>
                <w:szCs w:val="20"/>
              </w:rPr>
              <w:t>(0.029)</w:t>
            </w:r>
          </w:p>
        </w:tc>
        <w:tc>
          <w:tcPr>
            <w:tcW w:w="1166" w:type="dxa"/>
            <w:tcBorders>
              <w:top w:val="nil"/>
              <w:left w:val="nil"/>
              <w:bottom w:val="nil"/>
              <w:right w:val="nil"/>
            </w:tcBorders>
            <w:shd w:val="clear" w:color="auto" w:fill="auto"/>
            <w:noWrap/>
            <w:vAlign w:val="bottom"/>
            <w:hideMark/>
          </w:tcPr>
          <w:p w14:paraId="09DAA3A7" w14:textId="28D69E93" w:rsidR="00DC7146" w:rsidRPr="00261857" w:rsidRDefault="00DC7146" w:rsidP="00DC7146">
            <w:pPr>
              <w:jc w:val="center"/>
              <w:rPr>
                <w:rFonts w:eastAsia="Times New Roman" w:cs="Times New Roman"/>
                <w:color w:val="000000"/>
                <w:sz w:val="20"/>
                <w:szCs w:val="20"/>
              </w:rPr>
            </w:pPr>
            <w:r>
              <w:rPr>
                <w:color w:val="000000"/>
                <w:sz w:val="20"/>
                <w:szCs w:val="20"/>
              </w:rPr>
              <w:t>(0.023)</w:t>
            </w:r>
          </w:p>
        </w:tc>
        <w:tc>
          <w:tcPr>
            <w:tcW w:w="1166" w:type="dxa"/>
            <w:tcBorders>
              <w:top w:val="nil"/>
              <w:left w:val="nil"/>
              <w:bottom w:val="nil"/>
              <w:right w:val="nil"/>
            </w:tcBorders>
            <w:shd w:val="clear" w:color="auto" w:fill="auto"/>
            <w:noWrap/>
            <w:vAlign w:val="bottom"/>
            <w:hideMark/>
          </w:tcPr>
          <w:p w14:paraId="23C4F591" w14:textId="087850E6" w:rsidR="00DC7146" w:rsidRPr="00261857" w:rsidRDefault="00DC7146" w:rsidP="00DC7146">
            <w:pPr>
              <w:jc w:val="center"/>
              <w:rPr>
                <w:rFonts w:eastAsia="Times New Roman" w:cs="Times New Roman"/>
                <w:color w:val="000000"/>
                <w:sz w:val="20"/>
                <w:szCs w:val="20"/>
              </w:rPr>
            </w:pPr>
            <w:r>
              <w:rPr>
                <w:color w:val="000000"/>
                <w:sz w:val="20"/>
                <w:szCs w:val="20"/>
              </w:rPr>
              <w:t>(0.023)</w:t>
            </w:r>
          </w:p>
        </w:tc>
        <w:tc>
          <w:tcPr>
            <w:tcW w:w="1166" w:type="dxa"/>
            <w:tcBorders>
              <w:top w:val="nil"/>
              <w:left w:val="nil"/>
              <w:bottom w:val="nil"/>
              <w:right w:val="nil"/>
            </w:tcBorders>
            <w:shd w:val="clear" w:color="auto" w:fill="auto"/>
            <w:noWrap/>
            <w:vAlign w:val="bottom"/>
            <w:hideMark/>
          </w:tcPr>
          <w:p w14:paraId="560D827B" w14:textId="255B909B" w:rsidR="00DC7146" w:rsidRPr="00261857" w:rsidRDefault="00DC7146" w:rsidP="00DC7146">
            <w:pPr>
              <w:jc w:val="center"/>
              <w:rPr>
                <w:rFonts w:eastAsia="Times New Roman" w:cs="Times New Roman"/>
                <w:color w:val="000000"/>
                <w:sz w:val="20"/>
                <w:szCs w:val="20"/>
              </w:rPr>
            </w:pPr>
            <w:r>
              <w:rPr>
                <w:color w:val="000000"/>
                <w:sz w:val="20"/>
                <w:szCs w:val="20"/>
              </w:rPr>
              <w:t>(0.023)</w:t>
            </w:r>
          </w:p>
        </w:tc>
      </w:tr>
      <w:tr w:rsidR="00DC7146" w:rsidRPr="00261857" w14:paraId="231DD560" w14:textId="77777777" w:rsidTr="00DC7146">
        <w:trPr>
          <w:trHeight w:val="255"/>
        </w:trPr>
        <w:tc>
          <w:tcPr>
            <w:tcW w:w="1920" w:type="dxa"/>
            <w:tcBorders>
              <w:top w:val="nil"/>
              <w:left w:val="nil"/>
              <w:bottom w:val="nil"/>
              <w:right w:val="nil"/>
            </w:tcBorders>
            <w:shd w:val="clear" w:color="auto" w:fill="auto"/>
            <w:noWrap/>
            <w:vAlign w:val="bottom"/>
            <w:hideMark/>
          </w:tcPr>
          <w:p w14:paraId="2580554A" w14:textId="2D93D76C" w:rsidR="00DC7146" w:rsidRPr="00261857" w:rsidRDefault="00DC7146" w:rsidP="00DC7146">
            <w:pPr>
              <w:rPr>
                <w:rFonts w:eastAsia="Times New Roman" w:cs="Times New Roman"/>
                <w:b/>
                <w:bCs/>
                <w:color w:val="000000"/>
                <w:sz w:val="20"/>
                <w:szCs w:val="20"/>
              </w:rPr>
            </w:pPr>
            <w:r>
              <w:rPr>
                <w:b/>
                <w:bCs/>
                <w:color w:val="000000"/>
                <w:sz w:val="20"/>
                <w:szCs w:val="20"/>
              </w:rPr>
              <w:t>DL x Gr 6 AY</w:t>
            </w:r>
          </w:p>
        </w:tc>
        <w:tc>
          <w:tcPr>
            <w:tcW w:w="1214" w:type="dxa"/>
            <w:tcBorders>
              <w:top w:val="nil"/>
              <w:left w:val="nil"/>
              <w:bottom w:val="nil"/>
              <w:right w:val="nil"/>
            </w:tcBorders>
            <w:shd w:val="clear" w:color="auto" w:fill="auto"/>
            <w:noWrap/>
            <w:vAlign w:val="bottom"/>
            <w:hideMark/>
          </w:tcPr>
          <w:p w14:paraId="4754B3AD" w14:textId="19007E43" w:rsidR="00DC7146" w:rsidRPr="00261857" w:rsidRDefault="00DC7146" w:rsidP="00DC7146">
            <w:pPr>
              <w:jc w:val="center"/>
              <w:rPr>
                <w:rFonts w:eastAsia="Times New Roman" w:cs="Times New Roman"/>
                <w:b/>
                <w:bCs/>
                <w:color w:val="000000"/>
                <w:sz w:val="20"/>
                <w:szCs w:val="20"/>
              </w:rPr>
            </w:pPr>
            <w:r>
              <w:rPr>
                <w:b/>
                <w:bCs/>
                <w:color w:val="000000"/>
                <w:sz w:val="20"/>
                <w:szCs w:val="20"/>
              </w:rPr>
              <w:t>0.034</w:t>
            </w:r>
          </w:p>
        </w:tc>
        <w:tc>
          <w:tcPr>
            <w:tcW w:w="1213" w:type="dxa"/>
            <w:tcBorders>
              <w:top w:val="nil"/>
              <w:left w:val="nil"/>
              <w:bottom w:val="nil"/>
              <w:right w:val="nil"/>
            </w:tcBorders>
            <w:shd w:val="clear" w:color="auto" w:fill="auto"/>
            <w:noWrap/>
            <w:vAlign w:val="bottom"/>
            <w:hideMark/>
          </w:tcPr>
          <w:p w14:paraId="177DCBBE" w14:textId="54A9064B" w:rsidR="00DC7146" w:rsidRPr="00261857" w:rsidRDefault="00DC7146" w:rsidP="00DC7146">
            <w:pPr>
              <w:jc w:val="center"/>
              <w:rPr>
                <w:rFonts w:eastAsia="Times New Roman" w:cs="Times New Roman"/>
                <w:b/>
                <w:bCs/>
                <w:color w:val="000000"/>
                <w:sz w:val="20"/>
                <w:szCs w:val="20"/>
              </w:rPr>
            </w:pPr>
            <w:r>
              <w:rPr>
                <w:b/>
                <w:bCs/>
                <w:color w:val="000000"/>
                <w:sz w:val="20"/>
                <w:szCs w:val="20"/>
              </w:rPr>
              <w:t>0.035</w:t>
            </w:r>
          </w:p>
        </w:tc>
        <w:tc>
          <w:tcPr>
            <w:tcW w:w="1213" w:type="dxa"/>
            <w:tcBorders>
              <w:top w:val="nil"/>
              <w:left w:val="nil"/>
              <w:bottom w:val="nil"/>
              <w:right w:val="nil"/>
            </w:tcBorders>
            <w:shd w:val="clear" w:color="auto" w:fill="auto"/>
            <w:noWrap/>
            <w:vAlign w:val="bottom"/>
            <w:hideMark/>
          </w:tcPr>
          <w:p w14:paraId="4FFDEDF9" w14:textId="43134684" w:rsidR="00DC7146" w:rsidRPr="00261857" w:rsidRDefault="00DC7146" w:rsidP="00DC7146">
            <w:pPr>
              <w:jc w:val="center"/>
              <w:rPr>
                <w:rFonts w:eastAsia="Times New Roman" w:cs="Times New Roman"/>
                <w:b/>
                <w:bCs/>
                <w:color w:val="000000"/>
                <w:sz w:val="20"/>
                <w:szCs w:val="20"/>
              </w:rPr>
            </w:pPr>
            <w:r>
              <w:rPr>
                <w:b/>
                <w:bCs/>
                <w:color w:val="000000"/>
                <w:sz w:val="20"/>
                <w:szCs w:val="20"/>
              </w:rPr>
              <w:t>0.035</w:t>
            </w:r>
          </w:p>
        </w:tc>
        <w:tc>
          <w:tcPr>
            <w:tcW w:w="1166" w:type="dxa"/>
            <w:tcBorders>
              <w:top w:val="nil"/>
              <w:left w:val="nil"/>
              <w:bottom w:val="nil"/>
              <w:right w:val="nil"/>
            </w:tcBorders>
            <w:shd w:val="clear" w:color="auto" w:fill="auto"/>
            <w:noWrap/>
            <w:vAlign w:val="bottom"/>
            <w:hideMark/>
          </w:tcPr>
          <w:p w14:paraId="5B9F3AE7" w14:textId="6E0361AC" w:rsidR="00DC7146" w:rsidRPr="00261857" w:rsidRDefault="00DC7146" w:rsidP="00DC7146">
            <w:pPr>
              <w:jc w:val="center"/>
              <w:rPr>
                <w:rFonts w:eastAsia="Times New Roman" w:cs="Times New Roman"/>
                <w:b/>
                <w:bCs/>
                <w:color w:val="000000"/>
                <w:sz w:val="20"/>
                <w:szCs w:val="20"/>
              </w:rPr>
            </w:pPr>
            <w:r>
              <w:rPr>
                <w:b/>
                <w:bCs/>
                <w:color w:val="000000"/>
                <w:sz w:val="20"/>
                <w:szCs w:val="20"/>
              </w:rPr>
              <w:t>0.042</w:t>
            </w:r>
          </w:p>
        </w:tc>
        <w:tc>
          <w:tcPr>
            <w:tcW w:w="1166" w:type="dxa"/>
            <w:tcBorders>
              <w:top w:val="nil"/>
              <w:left w:val="nil"/>
              <w:bottom w:val="nil"/>
              <w:right w:val="nil"/>
            </w:tcBorders>
            <w:shd w:val="clear" w:color="auto" w:fill="auto"/>
            <w:noWrap/>
            <w:vAlign w:val="bottom"/>
            <w:hideMark/>
          </w:tcPr>
          <w:p w14:paraId="06A39AC5" w14:textId="7669D9C1" w:rsidR="00DC7146" w:rsidRPr="00261857" w:rsidRDefault="00DC7146" w:rsidP="00DC7146">
            <w:pPr>
              <w:jc w:val="center"/>
              <w:rPr>
                <w:rFonts w:eastAsia="Times New Roman" w:cs="Times New Roman"/>
                <w:b/>
                <w:bCs/>
                <w:color w:val="000000"/>
                <w:sz w:val="20"/>
                <w:szCs w:val="20"/>
              </w:rPr>
            </w:pPr>
            <w:r>
              <w:rPr>
                <w:b/>
                <w:bCs/>
                <w:color w:val="000000"/>
                <w:sz w:val="20"/>
                <w:szCs w:val="20"/>
              </w:rPr>
              <w:t>0.043</w:t>
            </w:r>
          </w:p>
        </w:tc>
        <w:tc>
          <w:tcPr>
            <w:tcW w:w="1166" w:type="dxa"/>
            <w:tcBorders>
              <w:top w:val="nil"/>
              <w:left w:val="nil"/>
              <w:bottom w:val="nil"/>
              <w:right w:val="nil"/>
            </w:tcBorders>
            <w:shd w:val="clear" w:color="auto" w:fill="auto"/>
            <w:noWrap/>
            <w:vAlign w:val="bottom"/>
            <w:hideMark/>
          </w:tcPr>
          <w:p w14:paraId="4D752BCA" w14:textId="33EEDD50" w:rsidR="00DC7146" w:rsidRPr="00261857" w:rsidRDefault="00DC7146" w:rsidP="00DC7146">
            <w:pPr>
              <w:jc w:val="center"/>
              <w:rPr>
                <w:rFonts w:eastAsia="Times New Roman" w:cs="Times New Roman"/>
                <w:b/>
                <w:bCs/>
                <w:color w:val="000000"/>
                <w:sz w:val="20"/>
                <w:szCs w:val="20"/>
              </w:rPr>
            </w:pPr>
            <w:r>
              <w:rPr>
                <w:b/>
                <w:bCs/>
                <w:color w:val="000000"/>
                <w:sz w:val="20"/>
                <w:szCs w:val="20"/>
              </w:rPr>
              <w:t>0.043</w:t>
            </w:r>
          </w:p>
        </w:tc>
      </w:tr>
      <w:tr w:rsidR="00DC7146" w:rsidRPr="00261857" w14:paraId="5E42DFD5" w14:textId="77777777" w:rsidTr="00DC7146">
        <w:trPr>
          <w:trHeight w:val="255"/>
        </w:trPr>
        <w:tc>
          <w:tcPr>
            <w:tcW w:w="1920" w:type="dxa"/>
            <w:tcBorders>
              <w:top w:val="nil"/>
              <w:left w:val="nil"/>
              <w:bottom w:val="nil"/>
              <w:right w:val="nil"/>
            </w:tcBorders>
            <w:shd w:val="clear" w:color="auto" w:fill="auto"/>
            <w:noWrap/>
            <w:vAlign w:val="bottom"/>
            <w:hideMark/>
          </w:tcPr>
          <w:p w14:paraId="4A8F9A6B"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0223CCD9" w14:textId="2662CA72" w:rsidR="00DC7146" w:rsidRPr="00261857" w:rsidRDefault="00DC7146" w:rsidP="00DC7146">
            <w:pPr>
              <w:jc w:val="center"/>
              <w:rPr>
                <w:rFonts w:eastAsia="Times New Roman" w:cs="Times New Roman"/>
                <w:color w:val="000000"/>
                <w:sz w:val="20"/>
                <w:szCs w:val="20"/>
              </w:rPr>
            </w:pPr>
            <w:r>
              <w:rPr>
                <w:color w:val="000000"/>
                <w:sz w:val="20"/>
                <w:szCs w:val="20"/>
              </w:rPr>
              <w:t>(0.035)</w:t>
            </w:r>
          </w:p>
        </w:tc>
        <w:tc>
          <w:tcPr>
            <w:tcW w:w="1213" w:type="dxa"/>
            <w:tcBorders>
              <w:top w:val="nil"/>
              <w:left w:val="nil"/>
              <w:bottom w:val="nil"/>
              <w:right w:val="nil"/>
            </w:tcBorders>
            <w:shd w:val="clear" w:color="auto" w:fill="auto"/>
            <w:noWrap/>
            <w:vAlign w:val="bottom"/>
            <w:hideMark/>
          </w:tcPr>
          <w:p w14:paraId="3276495F" w14:textId="2AAAEFC2" w:rsidR="00DC7146" w:rsidRPr="00261857" w:rsidRDefault="00DC7146" w:rsidP="00DC7146">
            <w:pPr>
              <w:jc w:val="center"/>
              <w:rPr>
                <w:rFonts w:eastAsia="Times New Roman" w:cs="Times New Roman"/>
                <w:color w:val="000000"/>
                <w:sz w:val="20"/>
                <w:szCs w:val="20"/>
              </w:rPr>
            </w:pPr>
            <w:r>
              <w:rPr>
                <w:color w:val="000000"/>
                <w:sz w:val="20"/>
                <w:szCs w:val="20"/>
              </w:rPr>
              <w:t>(0.035)</w:t>
            </w:r>
          </w:p>
        </w:tc>
        <w:tc>
          <w:tcPr>
            <w:tcW w:w="1213" w:type="dxa"/>
            <w:tcBorders>
              <w:top w:val="nil"/>
              <w:left w:val="nil"/>
              <w:bottom w:val="nil"/>
              <w:right w:val="nil"/>
            </w:tcBorders>
            <w:shd w:val="clear" w:color="auto" w:fill="auto"/>
            <w:noWrap/>
            <w:vAlign w:val="bottom"/>
            <w:hideMark/>
          </w:tcPr>
          <w:p w14:paraId="7EE97F40" w14:textId="3488E92B" w:rsidR="00DC7146" w:rsidRPr="00261857" w:rsidRDefault="00DC7146" w:rsidP="00DC7146">
            <w:pPr>
              <w:jc w:val="center"/>
              <w:rPr>
                <w:rFonts w:eastAsia="Times New Roman" w:cs="Times New Roman"/>
                <w:color w:val="000000"/>
                <w:sz w:val="20"/>
                <w:szCs w:val="20"/>
              </w:rPr>
            </w:pPr>
            <w:r>
              <w:rPr>
                <w:color w:val="000000"/>
                <w:sz w:val="20"/>
                <w:szCs w:val="20"/>
              </w:rPr>
              <w:t>(0.035)</w:t>
            </w:r>
          </w:p>
        </w:tc>
        <w:tc>
          <w:tcPr>
            <w:tcW w:w="1166" w:type="dxa"/>
            <w:tcBorders>
              <w:top w:val="nil"/>
              <w:left w:val="nil"/>
              <w:bottom w:val="nil"/>
              <w:right w:val="nil"/>
            </w:tcBorders>
            <w:shd w:val="clear" w:color="auto" w:fill="auto"/>
            <w:noWrap/>
            <w:vAlign w:val="bottom"/>
            <w:hideMark/>
          </w:tcPr>
          <w:p w14:paraId="5EC3C4DE" w14:textId="79C3A528" w:rsidR="00DC7146" w:rsidRPr="00261857" w:rsidRDefault="00DC7146" w:rsidP="00DC7146">
            <w:pPr>
              <w:jc w:val="center"/>
              <w:rPr>
                <w:rFonts w:eastAsia="Times New Roman" w:cs="Times New Roman"/>
                <w:color w:val="000000"/>
                <w:sz w:val="20"/>
                <w:szCs w:val="20"/>
              </w:rPr>
            </w:pPr>
            <w:r>
              <w:rPr>
                <w:color w:val="000000"/>
                <w:sz w:val="20"/>
                <w:szCs w:val="20"/>
              </w:rPr>
              <w:t>(0.037)</w:t>
            </w:r>
          </w:p>
        </w:tc>
        <w:tc>
          <w:tcPr>
            <w:tcW w:w="1166" w:type="dxa"/>
            <w:tcBorders>
              <w:top w:val="nil"/>
              <w:left w:val="nil"/>
              <w:bottom w:val="nil"/>
              <w:right w:val="nil"/>
            </w:tcBorders>
            <w:shd w:val="clear" w:color="auto" w:fill="auto"/>
            <w:noWrap/>
            <w:vAlign w:val="bottom"/>
            <w:hideMark/>
          </w:tcPr>
          <w:p w14:paraId="176453FD" w14:textId="6684AFD2" w:rsidR="00DC7146" w:rsidRPr="00261857" w:rsidRDefault="00DC7146" w:rsidP="00DC7146">
            <w:pPr>
              <w:jc w:val="center"/>
              <w:rPr>
                <w:rFonts w:eastAsia="Times New Roman" w:cs="Times New Roman"/>
                <w:color w:val="000000"/>
                <w:sz w:val="20"/>
                <w:szCs w:val="20"/>
              </w:rPr>
            </w:pPr>
            <w:r>
              <w:rPr>
                <w:color w:val="000000"/>
                <w:sz w:val="20"/>
                <w:szCs w:val="20"/>
              </w:rPr>
              <w:t>(0.037)</w:t>
            </w:r>
          </w:p>
        </w:tc>
        <w:tc>
          <w:tcPr>
            <w:tcW w:w="1166" w:type="dxa"/>
            <w:tcBorders>
              <w:top w:val="nil"/>
              <w:left w:val="nil"/>
              <w:bottom w:val="nil"/>
              <w:right w:val="nil"/>
            </w:tcBorders>
            <w:shd w:val="clear" w:color="auto" w:fill="auto"/>
            <w:noWrap/>
            <w:vAlign w:val="bottom"/>
            <w:hideMark/>
          </w:tcPr>
          <w:p w14:paraId="7EF6D47E" w14:textId="16F3A3E8" w:rsidR="00DC7146" w:rsidRPr="00261857" w:rsidRDefault="00DC7146" w:rsidP="00DC7146">
            <w:pPr>
              <w:jc w:val="center"/>
              <w:rPr>
                <w:rFonts w:eastAsia="Times New Roman" w:cs="Times New Roman"/>
                <w:color w:val="000000"/>
                <w:sz w:val="20"/>
                <w:szCs w:val="20"/>
              </w:rPr>
            </w:pPr>
            <w:r>
              <w:rPr>
                <w:color w:val="000000"/>
                <w:sz w:val="20"/>
                <w:szCs w:val="20"/>
              </w:rPr>
              <w:t>(0.037)</w:t>
            </w:r>
          </w:p>
        </w:tc>
      </w:tr>
      <w:tr w:rsidR="00DC7146" w:rsidRPr="00261857" w14:paraId="5F606827" w14:textId="77777777" w:rsidTr="00DC7146">
        <w:trPr>
          <w:trHeight w:val="255"/>
        </w:trPr>
        <w:tc>
          <w:tcPr>
            <w:tcW w:w="1920" w:type="dxa"/>
            <w:tcBorders>
              <w:top w:val="nil"/>
              <w:left w:val="nil"/>
              <w:bottom w:val="nil"/>
              <w:right w:val="nil"/>
            </w:tcBorders>
            <w:shd w:val="clear" w:color="auto" w:fill="auto"/>
            <w:noWrap/>
            <w:vAlign w:val="bottom"/>
            <w:hideMark/>
          </w:tcPr>
          <w:p w14:paraId="4691C42C" w14:textId="0B8599B1" w:rsidR="00DC7146" w:rsidRPr="00261857" w:rsidRDefault="00DC7146" w:rsidP="00DC7146">
            <w:pPr>
              <w:rPr>
                <w:rFonts w:eastAsia="Times New Roman" w:cs="Times New Roman"/>
                <w:color w:val="000000"/>
                <w:sz w:val="20"/>
                <w:szCs w:val="20"/>
              </w:rPr>
            </w:pPr>
            <w:r>
              <w:rPr>
                <w:color w:val="000000"/>
                <w:sz w:val="20"/>
                <w:szCs w:val="20"/>
              </w:rPr>
              <w:t>Gr 6 Summer</w:t>
            </w:r>
          </w:p>
        </w:tc>
        <w:tc>
          <w:tcPr>
            <w:tcW w:w="1214" w:type="dxa"/>
            <w:tcBorders>
              <w:top w:val="nil"/>
              <w:left w:val="nil"/>
              <w:bottom w:val="nil"/>
              <w:right w:val="nil"/>
            </w:tcBorders>
            <w:shd w:val="clear" w:color="auto" w:fill="auto"/>
            <w:noWrap/>
            <w:vAlign w:val="bottom"/>
            <w:hideMark/>
          </w:tcPr>
          <w:p w14:paraId="611FA4FF" w14:textId="1FDFD849" w:rsidR="00DC7146" w:rsidRPr="00261857" w:rsidRDefault="00DC7146" w:rsidP="00DC7146">
            <w:pPr>
              <w:jc w:val="center"/>
              <w:rPr>
                <w:rFonts w:eastAsia="Times New Roman" w:cs="Times New Roman"/>
                <w:color w:val="000000"/>
                <w:sz w:val="20"/>
                <w:szCs w:val="20"/>
              </w:rPr>
            </w:pPr>
            <w:r>
              <w:rPr>
                <w:color w:val="000000"/>
                <w:sz w:val="20"/>
                <w:szCs w:val="20"/>
              </w:rPr>
              <w:t>-0.957***</w:t>
            </w:r>
          </w:p>
        </w:tc>
        <w:tc>
          <w:tcPr>
            <w:tcW w:w="1213" w:type="dxa"/>
            <w:tcBorders>
              <w:top w:val="nil"/>
              <w:left w:val="nil"/>
              <w:bottom w:val="nil"/>
              <w:right w:val="nil"/>
            </w:tcBorders>
            <w:shd w:val="clear" w:color="auto" w:fill="auto"/>
            <w:noWrap/>
            <w:vAlign w:val="bottom"/>
            <w:hideMark/>
          </w:tcPr>
          <w:p w14:paraId="1609C2C0" w14:textId="699AD01F" w:rsidR="00DC7146" w:rsidRPr="00261857" w:rsidRDefault="00DC7146" w:rsidP="00DC7146">
            <w:pPr>
              <w:jc w:val="center"/>
              <w:rPr>
                <w:rFonts w:eastAsia="Times New Roman" w:cs="Times New Roman"/>
                <w:color w:val="000000"/>
                <w:sz w:val="20"/>
                <w:szCs w:val="20"/>
              </w:rPr>
            </w:pPr>
            <w:r>
              <w:rPr>
                <w:color w:val="000000"/>
                <w:sz w:val="20"/>
                <w:szCs w:val="20"/>
              </w:rPr>
              <w:t>-0.957***</w:t>
            </w:r>
          </w:p>
        </w:tc>
        <w:tc>
          <w:tcPr>
            <w:tcW w:w="1213" w:type="dxa"/>
            <w:tcBorders>
              <w:top w:val="nil"/>
              <w:left w:val="nil"/>
              <w:bottom w:val="nil"/>
              <w:right w:val="nil"/>
            </w:tcBorders>
            <w:shd w:val="clear" w:color="auto" w:fill="auto"/>
            <w:noWrap/>
            <w:vAlign w:val="bottom"/>
            <w:hideMark/>
          </w:tcPr>
          <w:p w14:paraId="0F80F9BF" w14:textId="71E9ED04" w:rsidR="00DC7146" w:rsidRPr="00261857" w:rsidRDefault="00DC7146" w:rsidP="00DC7146">
            <w:pPr>
              <w:jc w:val="center"/>
              <w:rPr>
                <w:rFonts w:eastAsia="Times New Roman" w:cs="Times New Roman"/>
                <w:color w:val="000000"/>
                <w:sz w:val="20"/>
                <w:szCs w:val="20"/>
              </w:rPr>
            </w:pPr>
            <w:r>
              <w:rPr>
                <w:color w:val="000000"/>
                <w:sz w:val="20"/>
                <w:szCs w:val="20"/>
              </w:rPr>
              <w:t>-0.958***</w:t>
            </w:r>
          </w:p>
        </w:tc>
        <w:tc>
          <w:tcPr>
            <w:tcW w:w="1166" w:type="dxa"/>
            <w:tcBorders>
              <w:top w:val="nil"/>
              <w:left w:val="nil"/>
              <w:bottom w:val="nil"/>
              <w:right w:val="nil"/>
            </w:tcBorders>
            <w:shd w:val="clear" w:color="auto" w:fill="auto"/>
            <w:noWrap/>
            <w:vAlign w:val="bottom"/>
            <w:hideMark/>
          </w:tcPr>
          <w:p w14:paraId="61F9DE7D" w14:textId="6A6834AC" w:rsidR="00DC7146" w:rsidRPr="00261857" w:rsidRDefault="00DC7146" w:rsidP="00DC7146">
            <w:pPr>
              <w:jc w:val="center"/>
              <w:rPr>
                <w:rFonts w:eastAsia="Times New Roman" w:cs="Times New Roman"/>
                <w:color w:val="000000"/>
                <w:sz w:val="20"/>
                <w:szCs w:val="20"/>
              </w:rPr>
            </w:pPr>
            <w:r>
              <w:rPr>
                <w:color w:val="000000"/>
                <w:sz w:val="20"/>
                <w:szCs w:val="20"/>
              </w:rPr>
              <w:t>-0.356***</w:t>
            </w:r>
          </w:p>
        </w:tc>
        <w:tc>
          <w:tcPr>
            <w:tcW w:w="1166" w:type="dxa"/>
            <w:tcBorders>
              <w:top w:val="nil"/>
              <w:left w:val="nil"/>
              <w:bottom w:val="nil"/>
              <w:right w:val="nil"/>
            </w:tcBorders>
            <w:shd w:val="clear" w:color="auto" w:fill="auto"/>
            <w:noWrap/>
            <w:vAlign w:val="bottom"/>
            <w:hideMark/>
          </w:tcPr>
          <w:p w14:paraId="49D953E6" w14:textId="0023901F" w:rsidR="00DC7146" w:rsidRPr="00261857" w:rsidRDefault="00DC7146" w:rsidP="00DC7146">
            <w:pPr>
              <w:jc w:val="center"/>
              <w:rPr>
                <w:rFonts w:eastAsia="Times New Roman" w:cs="Times New Roman"/>
                <w:color w:val="000000"/>
                <w:sz w:val="20"/>
                <w:szCs w:val="20"/>
              </w:rPr>
            </w:pPr>
            <w:r>
              <w:rPr>
                <w:color w:val="000000"/>
                <w:sz w:val="20"/>
                <w:szCs w:val="20"/>
              </w:rPr>
              <w:t>-0.356***</w:t>
            </w:r>
          </w:p>
        </w:tc>
        <w:tc>
          <w:tcPr>
            <w:tcW w:w="1166" w:type="dxa"/>
            <w:tcBorders>
              <w:top w:val="nil"/>
              <w:left w:val="nil"/>
              <w:bottom w:val="nil"/>
              <w:right w:val="nil"/>
            </w:tcBorders>
            <w:shd w:val="clear" w:color="auto" w:fill="auto"/>
            <w:noWrap/>
            <w:vAlign w:val="bottom"/>
            <w:hideMark/>
          </w:tcPr>
          <w:p w14:paraId="31748D60" w14:textId="51438683" w:rsidR="00DC7146" w:rsidRPr="00261857" w:rsidRDefault="00DC7146" w:rsidP="00DC7146">
            <w:pPr>
              <w:jc w:val="center"/>
              <w:rPr>
                <w:rFonts w:eastAsia="Times New Roman" w:cs="Times New Roman"/>
                <w:color w:val="000000"/>
                <w:sz w:val="20"/>
                <w:szCs w:val="20"/>
              </w:rPr>
            </w:pPr>
            <w:r>
              <w:rPr>
                <w:color w:val="000000"/>
                <w:sz w:val="20"/>
                <w:szCs w:val="20"/>
              </w:rPr>
              <w:t>-0.357***</w:t>
            </w:r>
          </w:p>
        </w:tc>
      </w:tr>
      <w:tr w:rsidR="00DC7146" w:rsidRPr="00261857" w14:paraId="28F7BB1C" w14:textId="77777777" w:rsidTr="00DC7146">
        <w:trPr>
          <w:trHeight w:val="255"/>
        </w:trPr>
        <w:tc>
          <w:tcPr>
            <w:tcW w:w="1920" w:type="dxa"/>
            <w:tcBorders>
              <w:top w:val="nil"/>
              <w:left w:val="nil"/>
              <w:bottom w:val="nil"/>
              <w:right w:val="nil"/>
            </w:tcBorders>
            <w:shd w:val="clear" w:color="auto" w:fill="auto"/>
            <w:noWrap/>
            <w:vAlign w:val="bottom"/>
            <w:hideMark/>
          </w:tcPr>
          <w:p w14:paraId="10887690"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5E393659" w14:textId="6D2C0F74" w:rsidR="00DC7146" w:rsidRPr="00261857" w:rsidRDefault="00DC7146" w:rsidP="00DC7146">
            <w:pPr>
              <w:jc w:val="center"/>
              <w:rPr>
                <w:rFonts w:eastAsia="Times New Roman" w:cs="Times New Roman"/>
                <w:color w:val="000000"/>
                <w:sz w:val="20"/>
                <w:szCs w:val="20"/>
              </w:rPr>
            </w:pPr>
            <w:r>
              <w:rPr>
                <w:color w:val="000000"/>
                <w:sz w:val="20"/>
                <w:szCs w:val="20"/>
              </w:rPr>
              <w:t>(0.079)</w:t>
            </w:r>
          </w:p>
        </w:tc>
        <w:tc>
          <w:tcPr>
            <w:tcW w:w="1213" w:type="dxa"/>
            <w:tcBorders>
              <w:top w:val="nil"/>
              <w:left w:val="nil"/>
              <w:bottom w:val="nil"/>
              <w:right w:val="nil"/>
            </w:tcBorders>
            <w:shd w:val="clear" w:color="auto" w:fill="auto"/>
            <w:noWrap/>
            <w:vAlign w:val="bottom"/>
            <w:hideMark/>
          </w:tcPr>
          <w:p w14:paraId="53E6CB79" w14:textId="660731F9" w:rsidR="00DC7146" w:rsidRPr="00261857" w:rsidRDefault="00DC7146" w:rsidP="00DC7146">
            <w:pPr>
              <w:jc w:val="center"/>
              <w:rPr>
                <w:rFonts w:eastAsia="Times New Roman" w:cs="Times New Roman"/>
                <w:color w:val="000000"/>
                <w:sz w:val="20"/>
                <w:szCs w:val="20"/>
              </w:rPr>
            </w:pPr>
            <w:r>
              <w:rPr>
                <w:color w:val="000000"/>
                <w:sz w:val="20"/>
                <w:szCs w:val="20"/>
              </w:rPr>
              <w:t>(0.079)</w:t>
            </w:r>
          </w:p>
        </w:tc>
        <w:tc>
          <w:tcPr>
            <w:tcW w:w="1213" w:type="dxa"/>
            <w:tcBorders>
              <w:top w:val="nil"/>
              <w:left w:val="nil"/>
              <w:bottom w:val="nil"/>
              <w:right w:val="nil"/>
            </w:tcBorders>
            <w:shd w:val="clear" w:color="auto" w:fill="auto"/>
            <w:noWrap/>
            <w:vAlign w:val="bottom"/>
            <w:hideMark/>
          </w:tcPr>
          <w:p w14:paraId="5818C450" w14:textId="6D3C9848" w:rsidR="00DC7146" w:rsidRPr="00261857" w:rsidRDefault="00DC7146" w:rsidP="00DC7146">
            <w:pPr>
              <w:jc w:val="center"/>
              <w:rPr>
                <w:rFonts w:eastAsia="Times New Roman" w:cs="Times New Roman"/>
                <w:color w:val="000000"/>
                <w:sz w:val="20"/>
                <w:szCs w:val="20"/>
              </w:rPr>
            </w:pPr>
            <w:r>
              <w:rPr>
                <w:color w:val="000000"/>
                <w:sz w:val="20"/>
                <w:szCs w:val="20"/>
              </w:rPr>
              <w:t>(0.079)</w:t>
            </w:r>
          </w:p>
        </w:tc>
        <w:tc>
          <w:tcPr>
            <w:tcW w:w="1166" w:type="dxa"/>
            <w:tcBorders>
              <w:top w:val="nil"/>
              <w:left w:val="nil"/>
              <w:bottom w:val="nil"/>
              <w:right w:val="nil"/>
            </w:tcBorders>
            <w:shd w:val="clear" w:color="auto" w:fill="auto"/>
            <w:noWrap/>
            <w:vAlign w:val="bottom"/>
            <w:hideMark/>
          </w:tcPr>
          <w:p w14:paraId="4930055B" w14:textId="60811808" w:rsidR="00DC7146" w:rsidRPr="00261857" w:rsidRDefault="00DC7146" w:rsidP="00DC7146">
            <w:pPr>
              <w:jc w:val="center"/>
              <w:rPr>
                <w:rFonts w:eastAsia="Times New Roman" w:cs="Times New Roman"/>
                <w:color w:val="000000"/>
                <w:sz w:val="20"/>
                <w:szCs w:val="20"/>
              </w:rPr>
            </w:pPr>
            <w:r>
              <w:rPr>
                <w:color w:val="000000"/>
                <w:sz w:val="20"/>
                <w:szCs w:val="20"/>
              </w:rPr>
              <w:t>(0.064)</w:t>
            </w:r>
          </w:p>
        </w:tc>
        <w:tc>
          <w:tcPr>
            <w:tcW w:w="1166" w:type="dxa"/>
            <w:tcBorders>
              <w:top w:val="nil"/>
              <w:left w:val="nil"/>
              <w:bottom w:val="nil"/>
              <w:right w:val="nil"/>
            </w:tcBorders>
            <w:shd w:val="clear" w:color="auto" w:fill="auto"/>
            <w:noWrap/>
            <w:vAlign w:val="bottom"/>
            <w:hideMark/>
          </w:tcPr>
          <w:p w14:paraId="524A5B29" w14:textId="028CB4A3" w:rsidR="00DC7146" w:rsidRPr="00261857" w:rsidRDefault="00DC7146" w:rsidP="00DC7146">
            <w:pPr>
              <w:jc w:val="center"/>
              <w:rPr>
                <w:rFonts w:eastAsia="Times New Roman" w:cs="Times New Roman"/>
                <w:color w:val="000000"/>
                <w:sz w:val="20"/>
                <w:szCs w:val="20"/>
              </w:rPr>
            </w:pPr>
            <w:r>
              <w:rPr>
                <w:color w:val="000000"/>
                <w:sz w:val="20"/>
                <w:szCs w:val="20"/>
              </w:rPr>
              <w:t>(0.064)</w:t>
            </w:r>
          </w:p>
        </w:tc>
        <w:tc>
          <w:tcPr>
            <w:tcW w:w="1166" w:type="dxa"/>
            <w:tcBorders>
              <w:top w:val="nil"/>
              <w:left w:val="nil"/>
              <w:bottom w:val="nil"/>
              <w:right w:val="nil"/>
            </w:tcBorders>
            <w:shd w:val="clear" w:color="auto" w:fill="auto"/>
            <w:noWrap/>
            <w:vAlign w:val="bottom"/>
            <w:hideMark/>
          </w:tcPr>
          <w:p w14:paraId="09980B57" w14:textId="29BE1516" w:rsidR="00DC7146" w:rsidRPr="00261857" w:rsidRDefault="00DC7146" w:rsidP="00DC7146">
            <w:pPr>
              <w:jc w:val="center"/>
              <w:rPr>
                <w:rFonts w:eastAsia="Times New Roman" w:cs="Times New Roman"/>
                <w:color w:val="000000"/>
                <w:sz w:val="20"/>
                <w:szCs w:val="20"/>
              </w:rPr>
            </w:pPr>
            <w:r>
              <w:rPr>
                <w:color w:val="000000"/>
                <w:sz w:val="20"/>
                <w:szCs w:val="20"/>
              </w:rPr>
              <w:t>(0.064)</w:t>
            </w:r>
          </w:p>
        </w:tc>
      </w:tr>
      <w:tr w:rsidR="00DC7146" w:rsidRPr="00261857" w14:paraId="58658426" w14:textId="77777777" w:rsidTr="00DC7146">
        <w:trPr>
          <w:trHeight w:val="255"/>
        </w:trPr>
        <w:tc>
          <w:tcPr>
            <w:tcW w:w="1920" w:type="dxa"/>
            <w:tcBorders>
              <w:top w:val="nil"/>
              <w:left w:val="nil"/>
              <w:bottom w:val="nil"/>
              <w:right w:val="nil"/>
            </w:tcBorders>
            <w:shd w:val="clear" w:color="auto" w:fill="auto"/>
            <w:noWrap/>
            <w:vAlign w:val="bottom"/>
            <w:hideMark/>
          </w:tcPr>
          <w:p w14:paraId="42D1E4FB" w14:textId="19D5073F" w:rsidR="00DC7146" w:rsidRPr="00261857" w:rsidRDefault="00DC7146" w:rsidP="00DC7146">
            <w:pPr>
              <w:rPr>
                <w:rFonts w:eastAsia="Times New Roman" w:cs="Times New Roman"/>
                <w:b/>
                <w:bCs/>
                <w:color w:val="000000"/>
                <w:sz w:val="20"/>
                <w:szCs w:val="20"/>
              </w:rPr>
            </w:pPr>
            <w:r>
              <w:rPr>
                <w:b/>
                <w:bCs/>
                <w:color w:val="000000"/>
                <w:sz w:val="20"/>
                <w:szCs w:val="20"/>
              </w:rPr>
              <w:t>DL x Gr 6 Summer</w:t>
            </w:r>
          </w:p>
        </w:tc>
        <w:tc>
          <w:tcPr>
            <w:tcW w:w="1214" w:type="dxa"/>
            <w:tcBorders>
              <w:top w:val="nil"/>
              <w:left w:val="nil"/>
              <w:bottom w:val="nil"/>
              <w:right w:val="nil"/>
            </w:tcBorders>
            <w:shd w:val="clear" w:color="auto" w:fill="auto"/>
            <w:noWrap/>
            <w:vAlign w:val="bottom"/>
            <w:hideMark/>
          </w:tcPr>
          <w:p w14:paraId="094A59CA" w14:textId="05413990" w:rsidR="00DC7146" w:rsidRPr="00261857" w:rsidRDefault="00DC7146" w:rsidP="00DC7146">
            <w:pPr>
              <w:jc w:val="center"/>
              <w:rPr>
                <w:rFonts w:eastAsia="Times New Roman" w:cs="Times New Roman"/>
                <w:b/>
                <w:bCs/>
                <w:color w:val="000000"/>
                <w:sz w:val="20"/>
                <w:szCs w:val="20"/>
              </w:rPr>
            </w:pPr>
            <w:r>
              <w:rPr>
                <w:b/>
                <w:bCs/>
                <w:color w:val="000000"/>
                <w:sz w:val="20"/>
                <w:szCs w:val="20"/>
              </w:rPr>
              <w:t>-0.312***</w:t>
            </w:r>
          </w:p>
        </w:tc>
        <w:tc>
          <w:tcPr>
            <w:tcW w:w="1213" w:type="dxa"/>
            <w:tcBorders>
              <w:top w:val="nil"/>
              <w:left w:val="nil"/>
              <w:bottom w:val="nil"/>
              <w:right w:val="nil"/>
            </w:tcBorders>
            <w:shd w:val="clear" w:color="auto" w:fill="auto"/>
            <w:noWrap/>
            <w:vAlign w:val="bottom"/>
            <w:hideMark/>
          </w:tcPr>
          <w:p w14:paraId="04633D61" w14:textId="59687A97" w:rsidR="00DC7146" w:rsidRPr="00261857" w:rsidRDefault="00DC7146" w:rsidP="00DC7146">
            <w:pPr>
              <w:jc w:val="center"/>
              <w:rPr>
                <w:rFonts w:eastAsia="Times New Roman" w:cs="Times New Roman"/>
                <w:b/>
                <w:bCs/>
                <w:color w:val="000000"/>
                <w:sz w:val="20"/>
                <w:szCs w:val="20"/>
              </w:rPr>
            </w:pPr>
            <w:r>
              <w:rPr>
                <w:b/>
                <w:bCs/>
                <w:color w:val="000000"/>
                <w:sz w:val="20"/>
                <w:szCs w:val="20"/>
              </w:rPr>
              <w:t>-0.312***</w:t>
            </w:r>
          </w:p>
        </w:tc>
        <w:tc>
          <w:tcPr>
            <w:tcW w:w="1213" w:type="dxa"/>
            <w:tcBorders>
              <w:top w:val="nil"/>
              <w:left w:val="nil"/>
              <w:bottom w:val="nil"/>
              <w:right w:val="nil"/>
            </w:tcBorders>
            <w:shd w:val="clear" w:color="auto" w:fill="auto"/>
            <w:noWrap/>
            <w:vAlign w:val="bottom"/>
            <w:hideMark/>
          </w:tcPr>
          <w:p w14:paraId="6E365F0B" w14:textId="1959F6A5" w:rsidR="00DC7146" w:rsidRPr="00261857" w:rsidRDefault="00DC7146" w:rsidP="00DC7146">
            <w:pPr>
              <w:jc w:val="center"/>
              <w:rPr>
                <w:rFonts w:eastAsia="Times New Roman" w:cs="Times New Roman"/>
                <w:b/>
                <w:bCs/>
                <w:color w:val="000000"/>
                <w:sz w:val="20"/>
                <w:szCs w:val="20"/>
              </w:rPr>
            </w:pPr>
            <w:r>
              <w:rPr>
                <w:b/>
                <w:bCs/>
                <w:color w:val="000000"/>
                <w:sz w:val="20"/>
                <w:szCs w:val="20"/>
              </w:rPr>
              <w:t>-0.311***</w:t>
            </w:r>
          </w:p>
        </w:tc>
        <w:tc>
          <w:tcPr>
            <w:tcW w:w="1166" w:type="dxa"/>
            <w:tcBorders>
              <w:top w:val="nil"/>
              <w:left w:val="nil"/>
              <w:bottom w:val="nil"/>
              <w:right w:val="nil"/>
            </w:tcBorders>
            <w:shd w:val="clear" w:color="auto" w:fill="auto"/>
            <w:noWrap/>
            <w:vAlign w:val="bottom"/>
            <w:hideMark/>
          </w:tcPr>
          <w:p w14:paraId="36E91AAA" w14:textId="6417C30A" w:rsidR="00DC7146" w:rsidRPr="00261857" w:rsidRDefault="00DC7146" w:rsidP="00DC7146">
            <w:pPr>
              <w:jc w:val="center"/>
              <w:rPr>
                <w:rFonts w:eastAsia="Times New Roman" w:cs="Times New Roman"/>
                <w:b/>
                <w:bCs/>
                <w:color w:val="000000"/>
                <w:sz w:val="20"/>
                <w:szCs w:val="20"/>
              </w:rPr>
            </w:pPr>
            <w:r>
              <w:rPr>
                <w:b/>
                <w:bCs/>
                <w:color w:val="000000"/>
                <w:sz w:val="20"/>
                <w:szCs w:val="20"/>
              </w:rPr>
              <w:t>-0.006</w:t>
            </w:r>
          </w:p>
        </w:tc>
        <w:tc>
          <w:tcPr>
            <w:tcW w:w="1166" w:type="dxa"/>
            <w:tcBorders>
              <w:top w:val="nil"/>
              <w:left w:val="nil"/>
              <w:bottom w:val="nil"/>
              <w:right w:val="nil"/>
            </w:tcBorders>
            <w:shd w:val="clear" w:color="auto" w:fill="auto"/>
            <w:noWrap/>
            <w:vAlign w:val="bottom"/>
            <w:hideMark/>
          </w:tcPr>
          <w:p w14:paraId="27B0B45D" w14:textId="30DF4FF9" w:rsidR="00DC7146" w:rsidRPr="00261857" w:rsidRDefault="00DC7146" w:rsidP="00DC7146">
            <w:pPr>
              <w:jc w:val="center"/>
              <w:rPr>
                <w:rFonts w:eastAsia="Times New Roman" w:cs="Times New Roman"/>
                <w:b/>
                <w:bCs/>
                <w:color w:val="000000"/>
                <w:sz w:val="20"/>
                <w:szCs w:val="20"/>
              </w:rPr>
            </w:pPr>
            <w:r>
              <w:rPr>
                <w:b/>
                <w:bCs/>
                <w:color w:val="000000"/>
                <w:sz w:val="20"/>
                <w:szCs w:val="20"/>
              </w:rPr>
              <w:t>-0.009</w:t>
            </w:r>
          </w:p>
        </w:tc>
        <w:tc>
          <w:tcPr>
            <w:tcW w:w="1166" w:type="dxa"/>
            <w:tcBorders>
              <w:top w:val="nil"/>
              <w:left w:val="nil"/>
              <w:bottom w:val="nil"/>
              <w:right w:val="nil"/>
            </w:tcBorders>
            <w:shd w:val="clear" w:color="auto" w:fill="auto"/>
            <w:noWrap/>
            <w:vAlign w:val="bottom"/>
            <w:hideMark/>
          </w:tcPr>
          <w:p w14:paraId="41042E00" w14:textId="1A471487" w:rsidR="00DC7146" w:rsidRPr="00261857" w:rsidRDefault="00DC7146" w:rsidP="00DC7146">
            <w:pPr>
              <w:jc w:val="center"/>
              <w:rPr>
                <w:rFonts w:eastAsia="Times New Roman" w:cs="Times New Roman"/>
                <w:b/>
                <w:bCs/>
                <w:color w:val="000000"/>
                <w:sz w:val="20"/>
                <w:szCs w:val="20"/>
              </w:rPr>
            </w:pPr>
            <w:r>
              <w:rPr>
                <w:b/>
                <w:bCs/>
                <w:color w:val="000000"/>
                <w:sz w:val="20"/>
                <w:szCs w:val="20"/>
              </w:rPr>
              <w:t>-0.009</w:t>
            </w:r>
          </w:p>
        </w:tc>
      </w:tr>
      <w:tr w:rsidR="00DC7146" w:rsidRPr="00261857" w14:paraId="696A9A2D" w14:textId="77777777" w:rsidTr="00DC7146">
        <w:trPr>
          <w:trHeight w:val="255"/>
        </w:trPr>
        <w:tc>
          <w:tcPr>
            <w:tcW w:w="1920" w:type="dxa"/>
            <w:tcBorders>
              <w:top w:val="nil"/>
              <w:left w:val="nil"/>
              <w:bottom w:val="nil"/>
              <w:right w:val="nil"/>
            </w:tcBorders>
            <w:shd w:val="clear" w:color="auto" w:fill="auto"/>
            <w:noWrap/>
            <w:vAlign w:val="bottom"/>
            <w:hideMark/>
          </w:tcPr>
          <w:p w14:paraId="498B90F4"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0A44B0BE" w14:textId="63AA2236" w:rsidR="00DC7146" w:rsidRPr="00261857" w:rsidRDefault="00DC7146" w:rsidP="00DC7146">
            <w:pPr>
              <w:jc w:val="center"/>
              <w:rPr>
                <w:rFonts w:eastAsia="Times New Roman" w:cs="Times New Roman"/>
                <w:color w:val="000000"/>
                <w:sz w:val="20"/>
                <w:szCs w:val="20"/>
              </w:rPr>
            </w:pPr>
            <w:r>
              <w:rPr>
                <w:color w:val="000000"/>
                <w:sz w:val="20"/>
                <w:szCs w:val="20"/>
              </w:rPr>
              <w:t>(0.103)</w:t>
            </w:r>
          </w:p>
        </w:tc>
        <w:tc>
          <w:tcPr>
            <w:tcW w:w="1213" w:type="dxa"/>
            <w:tcBorders>
              <w:top w:val="nil"/>
              <w:left w:val="nil"/>
              <w:bottom w:val="nil"/>
              <w:right w:val="nil"/>
            </w:tcBorders>
            <w:shd w:val="clear" w:color="auto" w:fill="auto"/>
            <w:noWrap/>
            <w:vAlign w:val="bottom"/>
            <w:hideMark/>
          </w:tcPr>
          <w:p w14:paraId="083D232C" w14:textId="483FACE4" w:rsidR="00DC7146" w:rsidRPr="00261857" w:rsidRDefault="00DC7146" w:rsidP="00DC7146">
            <w:pPr>
              <w:jc w:val="center"/>
              <w:rPr>
                <w:rFonts w:eastAsia="Times New Roman" w:cs="Times New Roman"/>
                <w:color w:val="000000"/>
                <w:sz w:val="20"/>
                <w:szCs w:val="20"/>
              </w:rPr>
            </w:pPr>
            <w:r>
              <w:rPr>
                <w:color w:val="000000"/>
                <w:sz w:val="20"/>
                <w:szCs w:val="20"/>
              </w:rPr>
              <w:t>(0.103)</w:t>
            </w:r>
          </w:p>
        </w:tc>
        <w:tc>
          <w:tcPr>
            <w:tcW w:w="1213" w:type="dxa"/>
            <w:tcBorders>
              <w:top w:val="nil"/>
              <w:left w:val="nil"/>
              <w:bottom w:val="nil"/>
              <w:right w:val="nil"/>
            </w:tcBorders>
            <w:shd w:val="clear" w:color="auto" w:fill="auto"/>
            <w:noWrap/>
            <w:vAlign w:val="bottom"/>
            <w:hideMark/>
          </w:tcPr>
          <w:p w14:paraId="2C7B00AA" w14:textId="048DE027" w:rsidR="00DC7146" w:rsidRPr="00261857" w:rsidRDefault="00DC7146" w:rsidP="00DC7146">
            <w:pPr>
              <w:jc w:val="center"/>
              <w:rPr>
                <w:rFonts w:eastAsia="Times New Roman" w:cs="Times New Roman"/>
                <w:color w:val="000000"/>
                <w:sz w:val="20"/>
                <w:szCs w:val="20"/>
              </w:rPr>
            </w:pPr>
            <w:r>
              <w:rPr>
                <w:color w:val="000000"/>
                <w:sz w:val="20"/>
                <w:szCs w:val="20"/>
              </w:rPr>
              <w:t>(0.103)</w:t>
            </w:r>
          </w:p>
        </w:tc>
        <w:tc>
          <w:tcPr>
            <w:tcW w:w="1166" w:type="dxa"/>
            <w:tcBorders>
              <w:top w:val="nil"/>
              <w:left w:val="nil"/>
              <w:bottom w:val="nil"/>
              <w:right w:val="nil"/>
            </w:tcBorders>
            <w:shd w:val="clear" w:color="auto" w:fill="auto"/>
            <w:noWrap/>
            <w:vAlign w:val="bottom"/>
            <w:hideMark/>
          </w:tcPr>
          <w:p w14:paraId="05D53DA6" w14:textId="22C7906F" w:rsidR="00DC7146" w:rsidRPr="00261857" w:rsidRDefault="00DC7146" w:rsidP="00DC7146">
            <w:pPr>
              <w:jc w:val="center"/>
              <w:rPr>
                <w:rFonts w:eastAsia="Times New Roman" w:cs="Times New Roman"/>
                <w:color w:val="000000"/>
                <w:sz w:val="20"/>
                <w:szCs w:val="20"/>
              </w:rPr>
            </w:pPr>
            <w:r>
              <w:rPr>
                <w:color w:val="000000"/>
                <w:sz w:val="20"/>
                <w:szCs w:val="20"/>
              </w:rPr>
              <w:t>(0.108)</w:t>
            </w:r>
          </w:p>
        </w:tc>
        <w:tc>
          <w:tcPr>
            <w:tcW w:w="1166" w:type="dxa"/>
            <w:tcBorders>
              <w:top w:val="nil"/>
              <w:left w:val="nil"/>
              <w:bottom w:val="nil"/>
              <w:right w:val="nil"/>
            </w:tcBorders>
            <w:shd w:val="clear" w:color="auto" w:fill="auto"/>
            <w:noWrap/>
            <w:vAlign w:val="bottom"/>
            <w:hideMark/>
          </w:tcPr>
          <w:p w14:paraId="60AAAC25" w14:textId="682BA4B2" w:rsidR="00DC7146" w:rsidRPr="00261857" w:rsidRDefault="00DC7146" w:rsidP="00DC7146">
            <w:pPr>
              <w:jc w:val="center"/>
              <w:rPr>
                <w:rFonts w:eastAsia="Times New Roman" w:cs="Times New Roman"/>
                <w:color w:val="000000"/>
                <w:sz w:val="20"/>
                <w:szCs w:val="20"/>
              </w:rPr>
            </w:pPr>
            <w:r>
              <w:rPr>
                <w:color w:val="000000"/>
                <w:sz w:val="20"/>
                <w:szCs w:val="20"/>
              </w:rPr>
              <w:t>(0.109)</w:t>
            </w:r>
          </w:p>
        </w:tc>
        <w:tc>
          <w:tcPr>
            <w:tcW w:w="1166" w:type="dxa"/>
            <w:tcBorders>
              <w:top w:val="nil"/>
              <w:left w:val="nil"/>
              <w:bottom w:val="nil"/>
              <w:right w:val="nil"/>
            </w:tcBorders>
            <w:shd w:val="clear" w:color="auto" w:fill="auto"/>
            <w:noWrap/>
            <w:vAlign w:val="bottom"/>
            <w:hideMark/>
          </w:tcPr>
          <w:p w14:paraId="0E9AF30B" w14:textId="391B85F8" w:rsidR="00DC7146" w:rsidRPr="00261857" w:rsidRDefault="00DC7146" w:rsidP="00DC7146">
            <w:pPr>
              <w:jc w:val="center"/>
              <w:rPr>
                <w:rFonts w:eastAsia="Times New Roman" w:cs="Times New Roman"/>
                <w:color w:val="000000"/>
                <w:sz w:val="20"/>
                <w:szCs w:val="20"/>
              </w:rPr>
            </w:pPr>
            <w:r>
              <w:rPr>
                <w:color w:val="000000"/>
                <w:sz w:val="20"/>
                <w:szCs w:val="20"/>
              </w:rPr>
              <w:t>(0.109)</w:t>
            </w:r>
          </w:p>
        </w:tc>
      </w:tr>
      <w:tr w:rsidR="00DC7146" w:rsidRPr="00261857" w14:paraId="24156182" w14:textId="77777777" w:rsidTr="00DC7146">
        <w:trPr>
          <w:trHeight w:val="255"/>
        </w:trPr>
        <w:tc>
          <w:tcPr>
            <w:tcW w:w="1920" w:type="dxa"/>
            <w:tcBorders>
              <w:top w:val="nil"/>
              <w:left w:val="nil"/>
              <w:bottom w:val="nil"/>
              <w:right w:val="nil"/>
            </w:tcBorders>
            <w:shd w:val="clear" w:color="auto" w:fill="auto"/>
            <w:noWrap/>
            <w:vAlign w:val="bottom"/>
            <w:hideMark/>
          </w:tcPr>
          <w:p w14:paraId="39A99E7E" w14:textId="4B88E746" w:rsidR="00DC7146" w:rsidRPr="00261857" w:rsidRDefault="00DC7146" w:rsidP="00DC7146">
            <w:pPr>
              <w:rPr>
                <w:rFonts w:eastAsia="Times New Roman" w:cs="Times New Roman"/>
                <w:color w:val="000000"/>
                <w:sz w:val="20"/>
                <w:szCs w:val="20"/>
              </w:rPr>
            </w:pPr>
            <w:r>
              <w:rPr>
                <w:color w:val="000000"/>
                <w:sz w:val="20"/>
                <w:szCs w:val="20"/>
              </w:rPr>
              <w:t>Gr 7 AY</w:t>
            </w:r>
          </w:p>
        </w:tc>
        <w:tc>
          <w:tcPr>
            <w:tcW w:w="1214" w:type="dxa"/>
            <w:tcBorders>
              <w:top w:val="nil"/>
              <w:left w:val="nil"/>
              <w:bottom w:val="nil"/>
              <w:right w:val="nil"/>
            </w:tcBorders>
            <w:shd w:val="clear" w:color="auto" w:fill="auto"/>
            <w:noWrap/>
            <w:vAlign w:val="bottom"/>
            <w:hideMark/>
          </w:tcPr>
          <w:p w14:paraId="3B322210" w14:textId="2167BB0E" w:rsidR="00DC7146" w:rsidRPr="00261857" w:rsidRDefault="00DC7146" w:rsidP="00DC7146">
            <w:pPr>
              <w:jc w:val="center"/>
              <w:rPr>
                <w:rFonts w:eastAsia="Times New Roman" w:cs="Times New Roman"/>
                <w:color w:val="000000"/>
                <w:sz w:val="20"/>
                <w:szCs w:val="20"/>
              </w:rPr>
            </w:pPr>
            <w:r>
              <w:rPr>
                <w:color w:val="000000"/>
                <w:sz w:val="20"/>
                <w:szCs w:val="20"/>
              </w:rPr>
              <w:t>0.613***</w:t>
            </w:r>
          </w:p>
        </w:tc>
        <w:tc>
          <w:tcPr>
            <w:tcW w:w="1213" w:type="dxa"/>
            <w:tcBorders>
              <w:top w:val="nil"/>
              <w:left w:val="nil"/>
              <w:bottom w:val="nil"/>
              <w:right w:val="nil"/>
            </w:tcBorders>
            <w:shd w:val="clear" w:color="auto" w:fill="auto"/>
            <w:noWrap/>
            <w:vAlign w:val="bottom"/>
            <w:hideMark/>
          </w:tcPr>
          <w:p w14:paraId="0D5194EF" w14:textId="775988D3" w:rsidR="00DC7146" w:rsidRPr="00261857" w:rsidRDefault="00DC7146" w:rsidP="00DC7146">
            <w:pPr>
              <w:jc w:val="center"/>
              <w:rPr>
                <w:rFonts w:eastAsia="Times New Roman" w:cs="Times New Roman"/>
                <w:color w:val="000000"/>
                <w:sz w:val="20"/>
                <w:szCs w:val="20"/>
              </w:rPr>
            </w:pPr>
            <w:r>
              <w:rPr>
                <w:color w:val="000000"/>
                <w:sz w:val="20"/>
                <w:szCs w:val="20"/>
              </w:rPr>
              <w:t>0.613***</w:t>
            </w:r>
          </w:p>
        </w:tc>
        <w:tc>
          <w:tcPr>
            <w:tcW w:w="1213" w:type="dxa"/>
            <w:tcBorders>
              <w:top w:val="nil"/>
              <w:left w:val="nil"/>
              <w:bottom w:val="nil"/>
              <w:right w:val="nil"/>
            </w:tcBorders>
            <w:shd w:val="clear" w:color="auto" w:fill="auto"/>
            <w:noWrap/>
            <w:vAlign w:val="bottom"/>
            <w:hideMark/>
          </w:tcPr>
          <w:p w14:paraId="0DCB557E" w14:textId="5FE9D88C" w:rsidR="00DC7146" w:rsidRPr="00261857" w:rsidRDefault="00DC7146" w:rsidP="00DC7146">
            <w:pPr>
              <w:jc w:val="center"/>
              <w:rPr>
                <w:rFonts w:eastAsia="Times New Roman" w:cs="Times New Roman"/>
                <w:color w:val="000000"/>
                <w:sz w:val="20"/>
                <w:szCs w:val="20"/>
              </w:rPr>
            </w:pPr>
            <w:r>
              <w:rPr>
                <w:color w:val="000000"/>
                <w:sz w:val="20"/>
                <w:szCs w:val="20"/>
              </w:rPr>
              <w:t>0.613***</w:t>
            </w:r>
          </w:p>
        </w:tc>
        <w:tc>
          <w:tcPr>
            <w:tcW w:w="1166" w:type="dxa"/>
            <w:tcBorders>
              <w:top w:val="nil"/>
              <w:left w:val="nil"/>
              <w:bottom w:val="nil"/>
              <w:right w:val="nil"/>
            </w:tcBorders>
            <w:shd w:val="clear" w:color="auto" w:fill="auto"/>
            <w:noWrap/>
            <w:vAlign w:val="bottom"/>
            <w:hideMark/>
          </w:tcPr>
          <w:p w14:paraId="4C9B6CE2" w14:textId="180D546A" w:rsidR="00DC7146" w:rsidRPr="00261857" w:rsidRDefault="00DC7146" w:rsidP="00DC7146">
            <w:pPr>
              <w:jc w:val="center"/>
              <w:rPr>
                <w:rFonts w:eastAsia="Times New Roman" w:cs="Times New Roman"/>
                <w:color w:val="000000"/>
                <w:sz w:val="20"/>
                <w:szCs w:val="20"/>
              </w:rPr>
            </w:pPr>
            <w:r>
              <w:rPr>
                <w:color w:val="000000"/>
                <w:sz w:val="20"/>
                <w:szCs w:val="20"/>
              </w:rPr>
              <w:t>0.315***</w:t>
            </w:r>
          </w:p>
        </w:tc>
        <w:tc>
          <w:tcPr>
            <w:tcW w:w="1166" w:type="dxa"/>
            <w:tcBorders>
              <w:top w:val="nil"/>
              <w:left w:val="nil"/>
              <w:bottom w:val="nil"/>
              <w:right w:val="nil"/>
            </w:tcBorders>
            <w:shd w:val="clear" w:color="auto" w:fill="auto"/>
            <w:noWrap/>
            <w:vAlign w:val="bottom"/>
            <w:hideMark/>
          </w:tcPr>
          <w:p w14:paraId="01ACF717" w14:textId="1CAE565D" w:rsidR="00DC7146" w:rsidRPr="00261857" w:rsidRDefault="00DC7146" w:rsidP="00DC7146">
            <w:pPr>
              <w:jc w:val="center"/>
              <w:rPr>
                <w:rFonts w:eastAsia="Times New Roman" w:cs="Times New Roman"/>
                <w:color w:val="000000"/>
                <w:sz w:val="20"/>
                <w:szCs w:val="20"/>
              </w:rPr>
            </w:pPr>
            <w:r>
              <w:rPr>
                <w:color w:val="000000"/>
                <w:sz w:val="20"/>
                <w:szCs w:val="20"/>
              </w:rPr>
              <w:t>0.316***</w:t>
            </w:r>
          </w:p>
        </w:tc>
        <w:tc>
          <w:tcPr>
            <w:tcW w:w="1166" w:type="dxa"/>
            <w:tcBorders>
              <w:top w:val="nil"/>
              <w:left w:val="nil"/>
              <w:bottom w:val="nil"/>
              <w:right w:val="nil"/>
            </w:tcBorders>
            <w:shd w:val="clear" w:color="auto" w:fill="auto"/>
            <w:noWrap/>
            <w:vAlign w:val="bottom"/>
            <w:hideMark/>
          </w:tcPr>
          <w:p w14:paraId="638FF0CA" w14:textId="4BD43ED5" w:rsidR="00DC7146" w:rsidRPr="00261857" w:rsidRDefault="00DC7146" w:rsidP="00DC7146">
            <w:pPr>
              <w:jc w:val="center"/>
              <w:rPr>
                <w:rFonts w:eastAsia="Times New Roman" w:cs="Times New Roman"/>
                <w:color w:val="000000"/>
                <w:sz w:val="20"/>
                <w:szCs w:val="20"/>
              </w:rPr>
            </w:pPr>
            <w:r>
              <w:rPr>
                <w:color w:val="000000"/>
                <w:sz w:val="20"/>
                <w:szCs w:val="20"/>
              </w:rPr>
              <w:t>0.316***</w:t>
            </w:r>
          </w:p>
        </w:tc>
      </w:tr>
      <w:tr w:rsidR="00DC7146" w:rsidRPr="00261857" w14:paraId="48721556" w14:textId="77777777" w:rsidTr="00DC7146">
        <w:trPr>
          <w:trHeight w:val="255"/>
        </w:trPr>
        <w:tc>
          <w:tcPr>
            <w:tcW w:w="1920" w:type="dxa"/>
            <w:tcBorders>
              <w:top w:val="nil"/>
              <w:left w:val="nil"/>
              <w:bottom w:val="nil"/>
              <w:right w:val="nil"/>
            </w:tcBorders>
            <w:shd w:val="clear" w:color="auto" w:fill="auto"/>
            <w:noWrap/>
            <w:vAlign w:val="bottom"/>
            <w:hideMark/>
          </w:tcPr>
          <w:p w14:paraId="634A86D3"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3D233B3F" w14:textId="1BFBE0C9" w:rsidR="00DC7146" w:rsidRPr="00261857" w:rsidRDefault="00DC7146" w:rsidP="00DC7146">
            <w:pPr>
              <w:jc w:val="center"/>
              <w:rPr>
                <w:rFonts w:eastAsia="Times New Roman" w:cs="Times New Roman"/>
                <w:color w:val="000000"/>
                <w:sz w:val="20"/>
                <w:szCs w:val="20"/>
              </w:rPr>
            </w:pPr>
            <w:r>
              <w:rPr>
                <w:color w:val="000000"/>
                <w:sz w:val="20"/>
                <w:szCs w:val="20"/>
              </w:rPr>
              <w:t>(0.035)</w:t>
            </w:r>
          </w:p>
        </w:tc>
        <w:tc>
          <w:tcPr>
            <w:tcW w:w="1213" w:type="dxa"/>
            <w:tcBorders>
              <w:top w:val="nil"/>
              <w:left w:val="nil"/>
              <w:bottom w:val="nil"/>
              <w:right w:val="nil"/>
            </w:tcBorders>
            <w:shd w:val="clear" w:color="auto" w:fill="auto"/>
            <w:noWrap/>
            <w:vAlign w:val="bottom"/>
            <w:hideMark/>
          </w:tcPr>
          <w:p w14:paraId="0BA4BDA0" w14:textId="6660F13D" w:rsidR="00DC7146" w:rsidRPr="00261857" w:rsidRDefault="00DC7146" w:rsidP="00DC7146">
            <w:pPr>
              <w:jc w:val="center"/>
              <w:rPr>
                <w:rFonts w:eastAsia="Times New Roman" w:cs="Times New Roman"/>
                <w:color w:val="000000"/>
                <w:sz w:val="20"/>
                <w:szCs w:val="20"/>
              </w:rPr>
            </w:pPr>
            <w:r>
              <w:rPr>
                <w:color w:val="000000"/>
                <w:sz w:val="20"/>
                <w:szCs w:val="20"/>
              </w:rPr>
              <w:t>(0.035)</w:t>
            </w:r>
          </w:p>
        </w:tc>
        <w:tc>
          <w:tcPr>
            <w:tcW w:w="1213" w:type="dxa"/>
            <w:tcBorders>
              <w:top w:val="nil"/>
              <w:left w:val="nil"/>
              <w:bottom w:val="nil"/>
              <w:right w:val="nil"/>
            </w:tcBorders>
            <w:shd w:val="clear" w:color="auto" w:fill="auto"/>
            <w:noWrap/>
            <w:vAlign w:val="bottom"/>
            <w:hideMark/>
          </w:tcPr>
          <w:p w14:paraId="4A0B5F84" w14:textId="7E73EF5C" w:rsidR="00DC7146" w:rsidRPr="00261857" w:rsidRDefault="00DC7146" w:rsidP="00DC7146">
            <w:pPr>
              <w:jc w:val="center"/>
              <w:rPr>
                <w:rFonts w:eastAsia="Times New Roman" w:cs="Times New Roman"/>
                <w:color w:val="000000"/>
                <w:sz w:val="20"/>
                <w:szCs w:val="20"/>
              </w:rPr>
            </w:pPr>
            <w:r>
              <w:rPr>
                <w:color w:val="000000"/>
                <w:sz w:val="20"/>
                <w:szCs w:val="20"/>
              </w:rPr>
              <w:t>(0.035)</w:t>
            </w:r>
          </w:p>
        </w:tc>
        <w:tc>
          <w:tcPr>
            <w:tcW w:w="1166" w:type="dxa"/>
            <w:tcBorders>
              <w:top w:val="nil"/>
              <w:left w:val="nil"/>
              <w:bottom w:val="nil"/>
              <w:right w:val="nil"/>
            </w:tcBorders>
            <w:shd w:val="clear" w:color="auto" w:fill="auto"/>
            <w:noWrap/>
            <w:vAlign w:val="bottom"/>
            <w:hideMark/>
          </w:tcPr>
          <w:p w14:paraId="315C343B" w14:textId="1DB12926" w:rsidR="00DC7146" w:rsidRPr="00261857" w:rsidRDefault="00DC7146" w:rsidP="00DC7146">
            <w:pPr>
              <w:jc w:val="center"/>
              <w:rPr>
                <w:rFonts w:eastAsia="Times New Roman" w:cs="Times New Roman"/>
                <w:color w:val="000000"/>
                <w:sz w:val="20"/>
                <w:szCs w:val="20"/>
              </w:rPr>
            </w:pPr>
            <w:r>
              <w:rPr>
                <w:color w:val="000000"/>
                <w:sz w:val="20"/>
                <w:szCs w:val="20"/>
              </w:rPr>
              <w:t>(0.026)</w:t>
            </w:r>
          </w:p>
        </w:tc>
        <w:tc>
          <w:tcPr>
            <w:tcW w:w="1166" w:type="dxa"/>
            <w:tcBorders>
              <w:top w:val="nil"/>
              <w:left w:val="nil"/>
              <w:bottom w:val="nil"/>
              <w:right w:val="nil"/>
            </w:tcBorders>
            <w:shd w:val="clear" w:color="auto" w:fill="auto"/>
            <w:noWrap/>
            <w:vAlign w:val="bottom"/>
            <w:hideMark/>
          </w:tcPr>
          <w:p w14:paraId="394C76C7" w14:textId="61CE7389" w:rsidR="00DC7146" w:rsidRPr="00261857" w:rsidRDefault="00DC7146" w:rsidP="00DC7146">
            <w:pPr>
              <w:jc w:val="center"/>
              <w:rPr>
                <w:rFonts w:eastAsia="Times New Roman" w:cs="Times New Roman"/>
                <w:color w:val="000000"/>
                <w:sz w:val="20"/>
                <w:szCs w:val="20"/>
              </w:rPr>
            </w:pPr>
            <w:r>
              <w:rPr>
                <w:color w:val="000000"/>
                <w:sz w:val="20"/>
                <w:szCs w:val="20"/>
              </w:rPr>
              <w:t>(0.026)</w:t>
            </w:r>
          </w:p>
        </w:tc>
        <w:tc>
          <w:tcPr>
            <w:tcW w:w="1166" w:type="dxa"/>
            <w:tcBorders>
              <w:top w:val="nil"/>
              <w:left w:val="nil"/>
              <w:bottom w:val="nil"/>
              <w:right w:val="nil"/>
            </w:tcBorders>
            <w:shd w:val="clear" w:color="auto" w:fill="auto"/>
            <w:noWrap/>
            <w:vAlign w:val="bottom"/>
            <w:hideMark/>
          </w:tcPr>
          <w:p w14:paraId="457584BD" w14:textId="729D614F" w:rsidR="00DC7146" w:rsidRPr="00261857" w:rsidRDefault="00DC7146" w:rsidP="00DC7146">
            <w:pPr>
              <w:jc w:val="center"/>
              <w:rPr>
                <w:rFonts w:eastAsia="Times New Roman" w:cs="Times New Roman"/>
                <w:color w:val="000000"/>
                <w:sz w:val="20"/>
                <w:szCs w:val="20"/>
              </w:rPr>
            </w:pPr>
            <w:r>
              <w:rPr>
                <w:color w:val="000000"/>
                <w:sz w:val="20"/>
                <w:szCs w:val="20"/>
              </w:rPr>
              <w:t>(0.026)</w:t>
            </w:r>
          </w:p>
        </w:tc>
      </w:tr>
      <w:tr w:rsidR="00DC7146" w:rsidRPr="00261857" w14:paraId="67AB750C" w14:textId="77777777" w:rsidTr="00DC7146">
        <w:trPr>
          <w:trHeight w:val="255"/>
        </w:trPr>
        <w:tc>
          <w:tcPr>
            <w:tcW w:w="1920" w:type="dxa"/>
            <w:tcBorders>
              <w:top w:val="nil"/>
              <w:left w:val="nil"/>
              <w:bottom w:val="nil"/>
              <w:right w:val="nil"/>
            </w:tcBorders>
            <w:shd w:val="clear" w:color="auto" w:fill="auto"/>
            <w:noWrap/>
            <w:vAlign w:val="bottom"/>
            <w:hideMark/>
          </w:tcPr>
          <w:p w14:paraId="5BA95371" w14:textId="2DF11038" w:rsidR="00DC7146" w:rsidRPr="00261857" w:rsidRDefault="00DC7146" w:rsidP="00DC7146">
            <w:pPr>
              <w:rPr>
                <w:rFonts w:eastAsia="Times New Roman" w:cs="Times New Roman"/>
                <w:b/>
                <w:bCs/>
                <w:color w:val="000000"/>
                <w:sz w:val="20"/>
                <w:szCs w:val="20"/>
              </w:rPr>
            </w:pPr>
            <w:r>
              <w:rPr>
                <w:b/>
                <w:bCs/>
                <w:color w:val="000000"/>
                <w:sz w:val="20"/>
                <w:szCs w:val="20"/>
              </w:rPr>
              <w:t>DL x Gr 7 AY</w:t>
            </w:r>
          </w:p>
        </w:tc>
        <w:tc>
          <w:tcPr>
            <w:tcW w:w="1214" w:type="dxa"/>
            <w:tcBorders>
              <w:top w:val="nil"/>
              <w:left w:val="nil"/>
              <w:bottom w:val="nil"/>
              <w:right w:val="nil"/>
            </w:tcBorders>
            <w:shd w:val="clear" w:color="auto" w:fill="auto"/>
            <w:noWrap/>
            <w:vAlign w:val="bottom"/>
            <w:hideMark/>
          </w:tcPr>
          <w:p w14:paraId="09F2EFAB" w14:textId="114932F4" w:rsidR="00DC7146" w:rsidRPr="00261857" w:rsidRDefault="00DC7146" w:rsidP="00DC7146">
            <w:pPr>
              <w:jc w:val="center"/>
              <w:rPr>
                <w:rFonts w:eastAsia="Times New Roman" w:cs="Times New Roman"/>
                <w:b/>
                <w:bCs/>
                <w:color w:val="000000"/>
                <w:sz w:val="20"/>
                <w:szCs w:val="20"/>
              </w:rPr>
            </w:pPr>
            <w:r>
              <w:rPr>
                <w:b/>
                <w:bCs/>
                <w:color w:val="000000"/>
                <w:sz w:val="20"/>
                <w:szCs w:val="20"/>
              </w:rPr>
              <w:t>-0.054</w:t>
            </w:r>
          </w:p>
        </w:tc>
        <w:tc>
          <w:tcPr>
            <w:tcW w:w="1213" w:type="dxa"/>
            <w:tcBorders>
              <w:top w:val="nil"/>
              <w:left w:val="nil"/>
              <w:bottom w:val="nil"/>
              <w:right w:val="nil"/>
            </w:tcBorders>
            <w:shd w:val="clear" w:color="auto" w:fill="auto"/>
            <w:noWrap/>
            <w:vAlign w:val="bottom"/>
            <w:hideMark/>
          </w:tcPr>
          <w:p w14:paraId="47E12FE3" w14:textId="34ED3808" w:rsidR="00DC7146" w:rsidRPr="00261857" w:rsidRDefault="00DC7146" w:rsidP="00DC7146">
            <w:pPr>
              <w:jc w:val="center"/>
              <w:rPr>
                <w:rFonts w:eastAsia="Times New Roman" w:cs="Times New Roman"/>
                <w:b/>
                <w:bCs/>
                <w:color w:val="000000"/>
                <w:sz w:val="20"/>
                <w:szCs w:val="20"/>
              </w:rPr>
            </w:pPr>
            <w:r>
              <w:rPr>
                <w:b/>
                <w:bCs/>
                <w:color w:val="000000"/>
                <w:sz w:val="20"/>
                <w:szCs w:val="20"/>
              </w:rPr>
              <w:t>-0.055</w:t>
            </w:r>
          </w:p>
        </w:tc>
        <w:tc>
          <w:tcPr>
            <w:tcW w:w="1213" w:type="dxa"/>
            <w:tcBorders>
              <w:top w:val="nil"/>
              <w:left w:val="nil"/>
              <w:bottom w:val="nil"/>
              <w:right w:val="nil"/>
            </w:tcBorders>
            <w:shd w:val="clear" w:color="auto" w:fill="auto"/>
            <w:noWrap/>
            <w:vAlign w:val="bottom"/>
            <w:hideMark/>
          </w:tcPr>
          <w:p w14:paraId="24F6FD38" w14:textId="7AB686CF" w:rsidR="00DC7146" w:rsidRPr="00261857" w:rsidRDefault="00DC7146" w:rsidP="00DC7146">
            <w:pPr>
              <w:jc w:val="center"/>
              <w:rPr>
                <w:rFonts w:eastAsia="Times New Roman" w:cs="Times New Roman"/>
                <w:b/>
                <w:bCs/>
                <w:color w:val="000000"/>
                <w:sz w:val="20"/>
                <w:szCs w:val="20"/>
              </w:rPr>
            </w:pPr>
            <w:r>
              <w:rPr>
                <w:b/>
                <w:bCs/>
                <w:color w:val="000000"/>
                <w:sz w:val="20"/>
                <w:szCs w:val="20"/>
              </w:rPr>
              <w:t>-0.055</w:t>
            </w:r>
          </w:p>
        </w:tc>
        <w:tc>
          <w:tcPr>
            <w:tcW w:w="1166" w:type="dxa"/>
            <w:tcBorders>
              <w:top w:val="nil"/>
              <w:left w:val="nil"/>
              <w:bottom w:val="nil"/>
              <w:right w:val="nil"/>
            </w:tcBorders>
            <w:shd w:val="clear" w:color="auto" w:fill="auto"/>
            <w:noWrap/>
            <w:vAlign w:val="bottom"/>
            <w:hideMark/>
          </w:tcPr>
          <w:p w14:paraId="325D1A72" w14:textId="173AA669" w:rsidR="00DC7146" w:rsidRPr="00261857" w:rsidRDefault="00DC7146" w:rsidP="00DC7146">
            <w:pPr>
              <w:jc w:val="center"/>
              <w:rPr>
                <w:rFonts w:eastAsia="Times New Roman" w:cs="Times New Roman"/>
                <w:b/>
                <w:bCs/>
                <w:color w:val="000000"/>
                <w:sz w:val="20"/>
                <w:szCs w:val="20"/>
              </w:rPr>
            </w:pPr>
            <w:r>
              <w:rPr>
                <w:b/>
                <w:bCs/>
                <w:color w:val="000000"/>
                <w:sz w:val="20"/>
                <w:szCs w:val="20"/>
              </w:rPr>
              <w:t>0.086**</w:t>
            </w:r>
          </w:p>
        </w:tc>
        <w:tc>
          <w:tcPr>
            <w:tcW w:w="1166" w:type="dxa"/>
            <w:tcBorders>
              <w:top w:val="nil"/>
              <w:left w:val="nil"/>
              <w:bottom w:val="nil"/>
              <w:right w:val="nil"/>
            </w:tcBorders>
            <w:shd w:val="clear" w:color="auto" w:fill="auto"/>
            <w:noWrap/>
            <w:vAlign w:val="bottom"/>
            <w:hideMark/>
          </w:tcPr>
          <w:p w14:paraId="38CC5DBB" w14:textId="13F44740" w:rsidR="00DC7146" w:rsidRPr="00261857" w:rsidRDefault="00DC7146" w:rsidP="00DC7146">
            <w:pPr>
              <w:jc w:val="center"/>
              <w:rPr>
                <w:rFonts w:eastAsia="Times New Roman" w:cs="Times New Roman"/>
                <w:b/>
                <w:bCs/>
                <w:color w:val="000000"/>
                <w:sz w:val="20"/>
                <w:szCs w:val="20"/>
              </w:rPr>
            </w:pPr>
            <w:r>
              <w:rPr>
                <w:b/>
                <w:bCs/>
                <w:color w:val="000000"/>
                <w:sz w:val="20"/>
                <w:szCs w:val="20"/>
              </w:rPr>
              <w:t>0.085**</w:t>
            </w:r>
          </w:p>
        </w:tc>
        <w:tc>
          <w:tcPr>
            <w:tcW w:w="1166" w:type="dxa"/>
            <w:tcBorders>
              <w:top w:val="nil"/>
              <w:left w:val="nil"/>
              <w:bottom w:val="nil"/>
              <w:right w:val="nil"/>
            </w:tcBorders>
            <w:shd w:val="clear" w:color="auto" w:fill="auto"/>
            <w:noWrap/>
            <w:vAlign w:val="bottom"/>
            <w:hideMark/>
          </w:tcPr>
          <w:p w14:paraId="1334B25E" w14:textId="3FFB1525" w:rsidR="00DC7146" w:rsidRPr="00261857" w:rsidRDefault="00DC7146" w:rsidP="00DC7146">
            <w:pPr>
              <w:jc w:val="center"/>
              <w:rPr>
                <w:rFonts w:eastAsia="Times New Roman" w:cs="Times New Roman"/>
                <w:b/>
                <w:bCs/>
                <w:color w:val="000000"/>
                <w:sz w:val="20"/>
                <w:szCs w:val="20"/>
              </w:rPr>
            </w:pPr>
            <w:r>
              <w:rPr>
                <w:b/>
                <w:bCs/>
                <w:color w:val="000000"/>
                <w:sz w:val="20"/>
                <w:szCs w:val="20"/>
              </w:rPr>
              <w:t>0.085**</w:t>
            </w:r>
          </w:p>
        </w:tc>
      </w:tr>
      <w:tr w:rsidR="00DC7146" w:rsidRPr="00261857" w14:paraId="2DAA566C" w14:textId="77777777" w:rsidTr="00DC7146">
        <w:trPr>
          <w:trHeight w:val="255"/>
        </w:trPr>
        <w:tc>
          <w:tcPr>
            <w:tcW w:w="1920" w:type="dxa"/>
            <w:tcBorders>
              <w:top w:val="nil"/>
              <w:left w:val="nil"/>
              <w:bottom w:val="nil"/>
              <w:right w:val="nil"/>
            </w:tcBorders>
            <w:shd w:val="clear" w:color="auto" w:fill="auto"/>
            <w:noWrap/>
            <w:vAlign w:val="bottom"/>
            <w:hideMark/>
          </w:tcPr>
          <w:p w14:paraId="37B63057"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6369516B" w14:textId="705D75DA" w:rsidR="00DC7146" w:rsidRPr="00261857" w:rsidRDefault="00DC7146" w:rsidP="00DC7146">
            <w:pPr>
              <w:jc w:val="center"/>
              <w:rPr>
                <w:rFonts w:eastAsia="Times New Roman" w:cs="Times New Roman"/>
                <w:color w:val="000000"/>
                <w:sz w:val="20"/>
                <w:szCs w:val="20"/>
              </w:rPr>
            </w:pPr>
            <w:r>
              <w:rPr>
                <w:color w:val="000000"/>
                <w:sz w:val="20"/>
                <w:szCs w:val="20"/>
              </w:rPr>
              <w:t>(0.043)</w:t>
            </w:r>
          </w:p>
        </w:tc>
        <w:tc>
          <w:tcPr>
            <w:tcW w:w="1213" w:type="dxa"/>
            <w:tcBorders>
              <w:top w:val="nil"/>
              <w:left w:val="nil"/>
              <w:bottom w:val="nil"/>
              <w:right w:val="nil"/>
            </w:tcBorders>
            <w:shd w:val="clear" w:color="auto" w:fill="auto"/>
            <w:noWrap/>
            <w:vAlign w:val="bottom"/>
            <w:hideMark/>
          </w:tcPr>
          <w:p w14:paraId="5A657194" w14:textId="45B77826" w:rsidR="00DC7146" w:rsidRPr="00261857" w:rsidRDefault="00DC7146" w:rsidP="00DC7146">
            <w:pPr>
              <w:jc w:val="center"/>
              <w:rPr>
                <w:rFonts w:eastAsia="Times New Roman" w:cs="Times New Roman"/>
                <w:color w:val="000000"/>
                <w:sz w:val="20"/>
                <w:szCs w:val="20"/>
              </w:rPr>
            </w:pPr>
            <w:r>
              <w:rPr>
                <w:color w:val="000000"/>
                <w:sz w:val="20"/>
                <w:szCs w:val="20"/>
              </w:rPr>
              <w:t>(0.043)</w:t>
            </w:r>
          </w:p>
        </w:tc>
        <w:tc>
          <w:tcPr>
            <w:tcW w:w="1213" w:type="dxa"/>
            <w:tcBorders>
              <w:top w:val="nil"/>
              <w:left w:val="nil"/>
              <w:bottom w:val="nil"/>
              <w:right w:val="nil"/>
            </w:tcBorders>
            <w:shd w:val="clear" w:color="auto" w:fill="auto"/>
            <w:noWrap/>
            <w:vAlign w:val="bottom"/>
            <w:hideMark/>
          </w:tcPr>
          <w:p w14:paraId="00C31057" w14:textId="6B23575C" w:rsidR="00DC7146" w:rsidRPr="00261857" w:rsidRDefault="00DC7146" w:rsidP="00DC7146">
            <w:pPr>
              <w:jc w:val="center"/>
              <w:rPr>
                <w:rFonts w:eastAsia="Times New Roman" w:cs="Times New Roman"/>
                <w:color w:val="000000"/>
                <w:sz w:val="20"/>
                <w:szCs w:val="20"/>
              </w:rPr>
            </w:pPr>
            <w:r>
              <w:rPr>
                <w:color w:val="000000"/>
                <w:sz w:val="20"/>
                <w:szCs w:val="20"/>
              </w:rPr>
              <w:t>(0.043)</w:t>
            </w:r>
          </w:p>
        </w:tc>
        <w:tc>
          <w:tcPr>
            <w:tcW w:w="1166" w:type="dxa"/>
            <w:tcBorders>
              <w:top w:val="nil"/>
              <w:left w:val="nil"/>
              <w:bottom w:val="nil"/>
              <w:right w:val="nil"/>
            </w:tcBorders>
            <w:shd w:val="clear" w:color="auto" w:fill="auto"/>
            <w:noWrap/>
            <w:vAlign w:val="bottom"/>
            <w:hideMark/>
          </w:tcPr>
          <w:p w14:paraId="5656775A" w14:textId="0AA21778" w:rsidR="00DC7146" w:rsidRPr="00261857" w:rsidRDefault="00DC7146" w:rsidP="00DC7146">
            <w:pPr>
              <w:jc w:val="center"/>
              <w:rPr>
                <w:rFonts w:eastAsia="Times New Roman" w:cs="Times New Roman"/>
                <w:color w:val="000000"/>
                <w:sz w:val="20"/>
                <w:szCs w:val="20"/>
              </w:rPr>
            </w:pPr>
            <w:r>
              <w:rPr>
                <w:color w:val="000000"/>
                <w:sz w:val="20"/>
                <w:szCs w:val="20"/>
              </w:rPr>
              <w:t>(0.038)</w:t>
            </w:r>
          </w:p>
        </w:tc>
        <w:tc>
          <w:tcPr>
            <w:tcW w:w="1166" w:type="dxa"/>
            <w:tcBorders>
              <w:top w:val="nil"/>
              <w:left w:val="nil"/>
              <w:bottom w:val="nil"/>
              <w:right w:val="nil"/>
            </w:tcBorders>
            <w:shd w:val="clear" w:color="auto" w:fill="auto"/>
            <w:noWrap/>
            <w:vAlign w:val="bottom"/>
            <w:hideMark/>
          </w:tcPr>
          <w:p w14:paraId="4E2D95CE" w14:textId="2E65DD9F" w:rsidR="00DC7146" w:rsidRPr="00261857" w:rsidRDefault="00DC7146" w:rsidP="00DC7146">
            <w:pPr>
              <w:jc w:val="center"/>
              <w:rPr>
                <w:rFonts w:eastAsia="Times New Roman" w:cs="Times New Roman"/>
                <w:color w:val="000000"/>
                <w:sz w:val="20"/>
                <w:szCs w:val="20"/>
              </w:rPr>
            </w:pPr>
            <w:r>
              <w:rPr>
                <w:color w:val="000000"/>
                <w:sz w:val="20"/>
                <w:szCs w:val="20"/>
              </w:rPr>
              <w:t>(0.038)</w:t>
            </w:r>
          </w:p>
        </w:tc>
        <w:tc>
          <w:tcPr>
            <w:tcW w:w="1166" w:type="dxa"/>
            <w:tcBorders>
              <w:top w:val="nil"/>
              <w:left w:val="nil"/>
              <w:bottom w:val="nil"/>
              <w:right w:val="nil"/>
            </w:tcBorders>
            <w:shd w:val="clear" w:color="auto" w:fill="auto"/>
            <w:noWrap/>
            <w:vAlign w:val="bottom"/>
            <w:hideMark/>
          </w:tcPr>
          <w:p w14:paraId="45D8EA89" w14:textId="6B03C940" w:rsidR="00DC7146" w:rsidRPr="00261857" w:rsidRDefault="00DC7146" w:rsidP="00DC7146">
            <w:pPr>
              <w:jc w:val="center"/>
              <w:rPr>
                <w:rFonts w:eastAsia="Times New Roman" w:cs="Times New Roman"/>
                <w:color w:val="000000"/>
                <w:sz w:val="20"/>
                <w:szCs w:val="20"/>
              </w:rPr>
            </w:pPr>
            <w:r>
              <w:rPr>
                <w:color w:val="000000"/>
                <w:sz w:val="20"/>
                <w:szCs w:val="20"/>
              </w:rPr>
              <w:t>(0.038)</w:t>
            </w:r>
          </w:p>
        </w:tc>
      </w:tr>
      <w:tr w:rsidR="00DC7146" w:rsidRPr="00261857" w14:paraId="78035005" w14:textId="77777777" w:rsidTr="00DC7146">
        <w:trPr>
          <w:trHeight w:val="255"/>
        </w:trPr>
        <w:tc>
          <w:tcPr>
            <w:tcW w:w="1920" w:type="dxa"/>
            <w:tcBorders>
              <w:top w:val="nil"/>
              <w:left w:val="nil"/>
              <w:bottom w:val="nil"/>
              <w:right w:val="nil"/>
            </w:tcBorders>
            <w:shd w:val="clear" w:color="auto" w:fill="auto"/>
            <w:noWrap/>
            <w:vAlign w:val="bottom"/>
            <w:hideMark/>
          </w:tcPr>
          <w:p w14:paraId="7AC2401A" w14:textId="10C831C2" w:rsidR="00DC7146" w:rsidRPr="00261857" w:rsidRDefault="00DC7146" w:rsidP="00DC7146">
            <w:pPr>
              <w:rPr>
                <w:rFonts w:eastAsia="Times New Roman" w:cs="Times New Roman"/>
                <w:color w:val="000000"/>
                <w:sz w:val="20"/>
                <w:szCs w:val="20"/>
              </w:rPr>
            </w:pPr>
            <w:r>
              <w:rPr>
                <w:color w:val="000000"/>
                <w:sz w:val="20"/>
                <w:szCs w:val="20"/>
              </w:rPr>
              <w:lastRenderedPageBreak/>
              <w:t>Gr 7 Summer</w:t>
            </w:r>
          </w:p>
        </w:tc>
        <w:tc>
          <w:tcPr>
            <w:tcW w:w="1214" w:type="dxa"/>
            <w:tcBorders>
              <w:top w:val="nil"/>
              <w:left w:val="nil"/>
              <w:bottom w:val="nil"/>
              <w:right w:val="nil"/>
            </w:tcBorders>
            <w:shd w:val="clear" w:color="auto" w:fill="auto"/>
            <w:noWrap/>
            <w:vAlign w:val="bottom"/>
            <w:hideMark/>
          </w:tcPr>
          <w:p w14:paraId="0922219B" w14:textId="334B1F95" w:rsidR="00DC7146" w:rsidRPr="00261857" w:rsidRDefault="00DC7146" w:rsidP="00DC7146">
            <w:pPr>
              <w:jc w:val="center"/>
              <w:rPr>
                <w:rFonts w:eastAsia="Times New Roman" w:cs="Times New Roman"/>
                <w:color w:val="000000"/>
                <w:sz w:val="20"/>
                <w:szCs w:val="20"/>
              </w:rPr>
            </w:pPr>
            <w:r>
              <w:rPr>
                <w:color w:val="000000"/>
                <w:sz w:val="20"/>
                <w:szCs w:val="20"/>
              </w:rPr>
              <w:t>-0.410***</w:t>
            </w:r>
          </w:p>
        </w:tc>
        <w:tc>
          <w:tcPr>
            <w:tcW w:w="1213" w:type="dxa"/>
            <w:tcBorders>
              <w:top w:val="nil"/>
              <w:left w:val="nil"/>
              <w:bottom w:val="nil"/>
              <w:right w:val="nil"/>
            </w:tcBorders>
            <w:shd w:val="clear" w:color="auto" w:fill="auto"/>
            <w:noWrap/>
            <w:vAlign w:val="bottom"/>
            <w:hideMark/>
          </w:tcPr>
          <w:p w14:paraId="7D6FEA08" w14:textId="0C7FEC07" w:rsidR="00DC7146" w:rsidRPr="00261857" w:rsidRDefault="00DC7146" w:rsidP="00DC7146">
            <w:pPr>
              <w:jc w:val="center"/>
              <w:rPr>
                <w:rFonts w:eastAsia="Times New Roman" w:cs="Times New Roman"/>
                <w:color w:val="000000"/>
                <w:sz w:val="20"/>
                <w:szCs w:val="20"/>
              </w:rPr>
            </w:pPr>
            <w:r>
              <w:rPr>
                <w:color w:val="000000"/>
                <w:sz w:val="20"/>
                <w:szCs w:val="20"/>
              </w:rPr>
              <w:t>-0.411***</w:t>
            </w:r>
          </w:p>
        </w:tc>
        <w:tc>
          <w:tcPr>
            <w:tcW w:w="1213" w:type="dxa"/>
            <w:tcBorders>
              <w:top w:val="nil"/>
              <w:left w:val="nil"/>
              <w:bottom w:val="nil"/>
              <w:right w:val="nil"/>
            </w:tcBorders>
            <w:shd w:val="clear" w:color="auto" w:fill="auto"/>
            <w:noWrap/>
            <w:vAlign w:val="bottom"/>
            <w:hideMark/>
          </w:tcPr>
          <w:p w14:paraId="497233FC" w14:textId="5063900A" w:rsidR="00DC7146" w:rsidRPr="00261857" w:rsidRDefault="00DC7146" w:rsidP="00DC7146">
            <w:pPr>
              <w:jc w:val="center"/>
              <w:rPr>
                <w:rFonts w:eastAsia="Times New Roman" w:cs="Times New Roman"/>
                <w:color w:val="000000"/>
                <w:sz w:val="20"/>
                <w:szCs w:val="20"/>
              </w:rPr>
            </w:pPr>
            <w:r>
              <w:rPr>
                <w:color w:val="000000"/>
                <w:sz w:val="20"/>
                <w:szCs w:val="20"/>
              </w:rPr>
              <w:t>-0.412***</w:t>
            </w:r>
          </w:p>
        </w:tc>
        <w:tc>
          <w:tcPr>
            <w:tcW w:w="1166" w:type="dxa"/>
            <w:tcBorders>
              <w:top w:val="nil"/>
              <w:left w:val="nil"/>
              <w:bottom w:val="nil"/>
              <w:right w:val="nil"/>
            </w:tcBorders>
            <w:shd w:val="clear" w:color="auto" w:fill="auto"/>
            <w:noWrap/>
            <w:vAlign w:val="bottom"/>
            <w:hideMark/>
          </w:tcPr>
          <w:p w14:paraId="3D4126C9" w14:textId="1EF924CA" w:rsidR="00DC7146" w:rsidRPr="00261857" w:rsidRDefault="00DC7146" w:rsidP="00DC7146">
            <w:pPr>
              <w:jc w:val="center"/>
              <w:rPr>
                <w:rFonts w:eastAsia="Times New Roman" w:cs="Times New Roman"/>
                <w:color w:val="000000"/>
                <w:sz w:val="20"/>
                <w:szCs w:val="20"/>
              </w:rPr>
            </w:pPr>
            <w:r>
              <w:rPr>
                <w:color w:val="000000"/>
                <w:sz w:val="20"/>
                <w:szCs w:val="20"/>
              </w:rPr>
              <w:t>0.239**</w:t>
            </w:r>
          </w:p>
        </w:tc>
        <w:tc>
          <w:tcPr>
            <w:tcW w:w="1166" w:type="dxa"/>
            <w:tcBorders>
              <w:top w:val="nil"/>
              <w:left w:val="nil"/>
              <w:bottom w:val="nil"/>
              <w:right w:val="nil"/>
            </w:tcBorders>
            <w:shd w:val="clear" w:color="auto" w:fill="auto"/>
            <w:noWrap/>
            <w:vAlign w:val="bottom"/>
            <w:hideMark/>
          </w:tcPr>
          <w:p w14:paraId="0779B781" w14:textId="78499FE6" w:rsidR="00DC7146" w:rsidRPr="00261857" w:rsidRDefault="00DC7146" w:rsidP="00DC7146">
            <w:pPr>
              <w:jc w:val="center"/>
              <w:rPr>
                <w:rFonts w:eastAsia="Times New Roman" w:cs="Times New Roman"/>
                <w:color w:val="000000"/>
                <w:sz w:val="20"/>
                <w:szCs w:val="20"/>
              </w:rPr>
            </w:pPr>
            <w:r>
              <w:rPr>
                <w:color w:val="000000"/>
                <w:sz w:val="20"/>
                <w:szCs w:val="20"/>
              </w:rPr>
              <w:t>0.238**</w:t>
            </w:r>
          </w:p>
        </w:tc>
        <w:tc>
          <w:tcPr>
            <w:tcW w:w="1166" w:type="dxa"/>
            <w:tcBorders>
              <w:top w:val="nil"/>
              <w:left w:val="nil"/>
              <w:bottom w:val="nil"/>
              <w:right w:val="nil"/>
            </w:tcBorders>
            <w:shd w:val="clear" w:color="auto" w:fill="auto"/>
            <w:noWrap/>
            <w:vAlign w:val="bottom"/>
            <w:hideMark/>
          </w:tcPr>
          <w:p w14:paraId="6381721B" w14:textId="75C424E4" w:rsidR="00DC7146" w:rsidRPr="00261857" w:rsidRDefault="00DC7146" w:rsidP="00DC7146">
            <w:pPr>
              <w:jc w:val="center"/>
              <w:rPr>
                <w:rFonts w:eastAsia="Times New Roman" w:cs="Times New Roman"/>
                <w:color w:val="000000"/>
                <w:sz w:val="20"/>
                <w:szCs w:val="20"/>
              </w:rPr>
            </w:pPr>
            <w:r>
              <w:rPr>
                <w:color w:val="000000"/>
                <w:sz w:val="20"/>
                <w:szCs w:val="20"/>
              </w:rPr>
              <w:t>0.238**</w:t>
            </w:r>
          </w:p>
        </w:tc>
      </w:tr>
      <w:tr w:rsidR="00DC7146" w:rsidRPr="00261857" w14:paraId="72EF28F7" w14:textId="77777777" w:rsidTr="00DC7146">
        <w:trPr>
          <w:trHeight w:val="255"/>
        </w:trPr>
        <w:tc>
          <w:tcPr>
            <w:tcW w:w="1920" w:type="dxa"/>
            <w:tcBorders>
              <w:top w:val="nil"/>
              <w:left w:val="nil"/>
              <w:bottom w:val="nil"/>
              <w:right w:val="nil"/>
            </w:tcBorders>
            <w:shd w:val="clear" w:color="auto" w:fill="auto"/>
            <w:noWrap/>
            <w:vAlign w:val="bottom"/>
            <w:hideMark/>
          </w:tcPr>
          <w:p w14:paraId="3221C455"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5475B5BD" w14:textId="1BDC5674" w:rsidR="00DC7146" w:rsidRPr="00261857" w:rsidRDefault="00DC7146" w:rsidP="00DC7146">
            <w:pPr>
              <w:jc w:val="center"/>
              <w:rPr>
                <w:rFonts w:eastAsia="Times New Roman" w:cs="Times New Roman"/>
                <w:color w:val="000000"/>
                <w:sz w:val="20"/>
                <w:szCs w:val="20"/>
              </w:rPr>
            </w:pPr>
            <w:r>
              <w:rPr>
                <w:color w:val="000000"/>
                <w:sz w:val="20"/>
                <w:szCs w:val="20"/>
              </w:rPr>
              <w:t>(0.089)</w:t>
            </w:r>
          </w:p>
        </w:tc>
        <w:tc>
          <w:tcPr>
            <w:tcW w:w="1213" w:type="dxa"/>
            <w:tcBorders>
              <w:top w:val="nil"/>
              <w:left w:val="nil"/>
              <w:bottom w:val="nil"/>
              <w:right w:val="nil"/>
            </w:tcBorders>
            <w:shd w:val="clear" w:color="auto" w:fill="auto"/>
            <w:noWrap/>
            <w:vAlign w:val="bottom"/>
            <w:hideMark/>
          </w:tcPr>
          <w:p w14:paraId="42C9EABA" w14:textId="23A4BAF1" w:rsidR="00DC7146" w:rsidRPr="00261857" w:rsidRDefault="00DC7146" w:rsidP="00DC7146">
            <w:pPr>
              <w:jc w:val="center"/>
              <w:rPr>
                <w:rFonts w:eastAsia="Times New Roman" w:cs="Times New Roman"/>
                <w:color w:val="000000"/>
                <w:sz w:val="20"/>
                <w:szCs w:val="20"/>
              </w:rPr>
            </w:pPr>
            <w:r>
              <w:rPr>
                <w:color w:val="000000"/>
                <w:sz w:val="20"/>
                <w:szCs w:val="20"/>
              </w:rPr>
              <w:t>(0.089)</w:t>
            </w:r>
          </w:p>
        </w:tc>
        <w:tc>
          <w:tcPr>
            <w:tcW w:w="1213" w:type="dxa"/>
            <w:tcBorders>
              <w:top w:val="nil"/>
              <w:left w:val="nil"/>
              <w:bottom w:val="nil"/>
              <w:right w:val="nil"/>
            </w:tcBorders>
            <w:shd w:val="clear" w:color="auto" w:fill="auto"/>
            <w:noWrap/>
            <w:vAlign w:val="bottom"/>
            <w:hideMark/>
          </w:tcPr>
          <w:p w14:paraId="573EBDF5" w14:textId="1DC4EF32" w:rsidR="00DC7146" w:rsidRPr="00261857" w:rsidRDefault="00DC7146" w:rsidP="00DC7146">
            <w:pPr>
              <w:jc w:val="center"/>
              <w:rPr>
                <w:rFonts w:eastAsia="Times New Roman" w:cs="Times New Roman"/>
                <w:color w:val="000000"/>
                <w:sz w:val="20"/>
                <w:szCs w:val="20"/>
              </w:rPr>
            </w:pPr>
            <w:r>
              <w:rPr>
                <w:color w:val="000000"/>
                <w:sz w:val="20"/>
                <w:szCs w:val="20"/>
              </w:rPr>
              <w:t>(0.089)</w:t>
            </w:r>
          </w:p>
        </w:tc>
        <w:tc>
          <w:tcPr>
            <w:tcW w:w="1166" w:type="dxa"/>
            <w:tcBorders>
              <w:top w:val="nil"/>
              <w:left w:val="nil"/>
              <w:bottom w:val="nil"/>
              <w:right w:val="nil"/>
            </w:tcBorders>
            <w:shd w:val="clear" w:color="auto" w:fill="auto"/>
            <w:noWrap/>
            <w:vAlign w:val="bottom"/>
            <w:hideMark/>
          </w:tcPr>
          <w:p w14:paraId="1D0A386C" w14:textId="0829C9DB" w:rsidR="00DC7146" w:rsidRPr="00261857" w:rsidRDefault="00DC7146" w:rsidP="00DC7146">
            <w:pPr>
              <w:jc w:val="center"/>
              <w:rPr>
                <w:rFonts w:eastAsia="Times New Roman" w:cs="Times New Roman"/>
                <w:color w:val="000000"/>
                <w:sz w:val="20"/>
                <w:szCs w:val="20"/>
              </w:rPr>
            </w:pPr>
            <w:r>
              <w:rPr>
                <w:color w:val="000000"/>
                <w:sz w:val="20"/>
                <w:szCs w:val="20"/>
              </w:rPr>
              <w:t>(0.102)</w:t>
            </w:r>
          </w:p>
        </w:tc>
        <w:tc>
          <w:tcPr>
            <w:tcW w:w="1166" w:type="dxa"/>
            <w:tcBorders>
              <w:top w:val="nil"/>
              <w:left w:val="nil"/>
              <w:bottom w:val="nil"/>
              <w:right w:val="nil"/>
            </w:tcBorders>
            <w:shd w:val="clear" w:color="auto" w:fill="auto"/>
            <w:noWrap/>
            <w:vAlign w:val="bottom"/>
            <w:hideMark/>
          </w:tcPr>
          <w:p w14:paraId="2C234799" w14:textId="75B01B31" w:rsidR="00DC7146" w:rsidRPr="00261857" w:rsidRDefault="00DC7146" w:rsidP="00DC7146">
            <w:pPr>
              <w:jc w:val="center"/>
              <w:rPr>
                <w:rFonts w:eastAsia="Times New Roman" w:cs="Times New Roman"/>
                <w:color w:val="000000"/>
                <w:sz w:val="20"/>
                <w:szCs w:val="20"/>
              </w:rPr>
            </w:pPr>
            <w:r>
              <w:rPr>
                <w:color w:val="000000"/>
                <w:sz w:val="20"/>
                <w:szCs w:val="20"/>
              </w:rPr>
              <w:t>(0.102)</w:t>
            </w:r>
          </w:p>
        </w:tc>
        <w:tc>
          <w:tcPr>
            <w:tcW w:w="1166" w:type="dxa"/>
            <w:tcBorders>
              <w:top w:val="nil"/>
              <w:left w:val="nil"/>
              <w:bottom w:val="nil"/>
              <w:right w:val="nil"/>
            </w:tcBorders>
            <w:shd w:val="clear" w:color="auto" w:fill="auto"/>
            <w:noWrap/>
            <w:vAlign w:val="bottom"/>
            <w:hideMark/>
          </w:tcPr>
          <w:p w14:paraId="607E938B" w14:textId="06EBC0BB" w:rsidR="00DC7146" w:rsidRPr="00261857" w:rsidRDefault="00DC7146" w:rsidP="00DC7146">
            <w:pPr>
              <w:jc w:val="center"/>
              <w:rPr>
                <w:rFonts w:eastAsia="Times New Roman" w:cs="Times New Roman"/>
                <w:color w:val="000000"/>
                <w:sz w:val="20"/>
                <w:szCs w:val="20"/>
              </w:rPr>
            </w:pPr>
            <w:r>
              <w:rPr>
                <w:color w:val="000000"/>
                <w:sz w:val="20"/>
                <w:szCs w:val="20"/>
              </w:rPr>
              <w:t>(0.102)</w:t>
            </w:r>
          </w:p>
        </w:tc>
      </w:tr>
      <w:tr w:rsidR="00DC7146" w:rsidRPr="00261857" w14:paraId="3460EE8B" w14:textId="77777777" w:rsidTr="00DC7146">
        <w:trPr>
          <w:trHeight w:val="255"/>
        </w:trPr>
        <w:tc>
          <w:tcPr>
            <w:tcW w:w="1920" w:type="dxa"/>
            <w:tcBorders>
              <w:top w:val="nil"/>
              <w:left w:val="nil"/>
              <w:bottom w:val="nil"/>
              <w:right w:val="nil"/>
            </w:tcBorders>
            <w:shd w:val="clear" w:color="auto" w:fill="auto"/>
            <w:noWrap/>
            <w:vAlign w:val="bottom"/>
            <w:hideMark/>
          </w:tcPr>
          <w:p w14:paraId="5C037407" w14:textId="42009BE9" w:rsidR="00DC7146" w:rsidRPr="00261857" w:rsidRDefault="00DC7146" w:rsidP="00DC7146">
            <w:pPr>
              <w:rPr>
                <w:rFonts w:eastAsia="Times New Roman" w:cs="Times New Roman"/>
                <w:b/>
                <w:bCs/>
                <w:color w:val="000000"/>
                <w:sz w:val="20"/>
                <w:szCs w:val="20"/>
              </w:rPr>
            </w:pPr>
            <w:r>
              <w:rPr>
                <w:b/>
                <w:bCs/>
                <w:color w:val="000000"/>
                <w:sz w:val="20"/>
                <w:szCs w:val="20"/>
              </w:rPr>
              <w:t>DL x Gr 7 Summer</w:t>
            </w:r>
          </w:p>
        </w:tc>
        <w:tc>
          <w:tcPr>
            <w:tcW w:w="1214" w:type="dxa"/>
            <w:tcBorders>
              <w:top w:val="nil"/>
              <w:left w:val="nil"/>
              <w:bottom w:val="nil"/>
              <w:right w:val="nil"/>
            </w:tcBorders>
            <w:shd w:val="clear" w:color="auto" w:fill="auto"/>
            <w:noWrap/>
            <w:vAlign w:val="bottom"/>
            <w:hideMark/>
          </w:tcPr>
          <w:p w14:paraId="0B872AC1" w14:textId="7B1B9D7E" w:rsidR="00DC7146" w:rsidRPr="00261857" w:rsidRDefault="00DC7146" w:rsidP="00DC7146">
            <w:pPr>
              <w:jc w:val="center"/>
              <w:rPr>
                <w:rFonts w:eastAsia="Times New Roman" w:cs="Times New Roman"/>
                <w:b/>
                <w:bCs/>
                <w:color w:val="000000"/>
                <w:sz w:val="20"/>
                <w:szCs w:val="20"/>
              </w:rPr>
            </w:pPr>
            <w:r>
              <w:rPr>
                <w:b/>
                <w:bCs/>
                <w:color w:val="000000"/>
                <w:sz w:val="20"/>
                <w:szCs w:val="20"/>
              </w:rPr>
              <w:t>0.139</w:t>
            </w:r>
          </w:p>
        </w:tc>
        <w:tc>
          <w:tcPr>
            <w:tcW w:w="1213" w:type="dxa"/>
            <w:tcBorders>
              <w:top w:val="nil"/>
              <w:left w:val="nil"/>
              <w:bottom w:val="nil"/>
              <w:right w:val="nil"/>
            </w:tcBorders>
            <w:shd w:val="clear" w:color="auto" w:fill="auto"/>
            <w:noWrap/>
            <w:vAlign w:val="bottom"/>
            <w:hideMark/>
          </w:tcPr>
          <w:p w14:paraId="5B7FEB67" w14:textId="604E445C" w:rsidR="00DC7146" w:rsidRPr="00261857" w:rsidRDefault="00DC7146" w:rsidP="00DC7146">
            <w:pPr>
              <w:jc w:val="center"/>
              <w:rPr>
                <w:rFonts w:eastAsia="Times New Roman" w:cs="Times New Roman"/>
                <w:b/>
                <w:bCs/>
                <w:color w:val="000000"/>
                <w:sz w:val="20"/>
                <w:szCs w:val="20"/>
              </w:rPr>
            </w:pPr>
            <w:r>
              <w:rPr>
                <w:b/>
                <w:bCs/>
                <w:color w:val="000000"/>
                <w:sz w:val="20"/>
                <w:szCs w:val="20"/>
              </w:rPr>
              <w:t>0.138</w:t>
            </w:r>
          </w:p>
        </w:tc>
        <w:tc>
          <w:tcPr>
            <w:tcW w:w="1213" w:type="dxa"/>
            <w:tcBorders>
              <w:top w:val="nil"/>
              <w:left w:val="nil"/>
              <w:bottom w:val="nil"/>
              <w:right w:val="nil"/>
            </w:tcBorders>
            <w:shd w:val="clear" w:color="auto" w:fill="auto"/>
            <w:noWrap/>
            <w:vAlign w:val="bottom"/>
            <w:hideMark/>
          </w:tcPr>
          <w:p w14:paraId="5576BE96" w14:textId="09B475FB" w:rsidR="00DC7146" w:rsidRPr="00261857" w:rsidRDefault="00DC7146" w:rsidP="00DC7146">
            <w:pPr>
              <w:jc w:val="center"/>
              <w:rPr>
                <w:rFonts w:eastAsia="Times New Roman" w:cs="Times New Roman"/>
                <w:b/>
                <w:bCs/>
                <w:color w:val="000000"/>
                <w:sz w:val="20"/>
                <w:szCs w:val="20"/>
              </w:rPr>
            </w:pPr>
            <w:r>
              <w:rPr>
                <w:b/>
                <w:bCs/>
                <w:color w:val="000000"/>
                <w:sz w:val="20"/>
                <w:szCs w:val="20"/>
              </w:rPr>
              <w:t>0.139</w:t>
            </w:r>
          </w:p>
        </w:tc>
        <w:tc>
          <w:tcPr>
            <w:tcW w:w="1166" w:type="dxa"/>
            <w:tcBorders>
              <w:top w:val="nil"/>
              <w:left w:val="nil"/>
              <w:bottom w:val="nil"/>
              <w:right w:val="nil"/>
            </w:tcBorders>
            <w:shd w:val="clear" w:color="auto" w:fill="auto"/>
            <w:noWrap/>
            <w:vAlign w:val="bottom"/>
            <w:hideMark/>
          </w:tcPr>
          <w:p w14:paraId="477A571C" w14:textId="191BC989" w:rsidR="00DC7146" w:rsidRPr="00261857" w:rsidRDefault="00DC7146" w:rsidP="00DC7146">
            <w:pPr>
              <w:jc w:val="center"/>
              <w:rPr>
                <w:rFonts w:eastAsia="Times New Roman" w:cs="Times New Roman"/>
                <w:b/>
                <w:bCs/>
                <w:color w:val="000000"/>
                <w:sz w:val="20"/>
                <w:szCs w:val="20"/>
              </w:rPr>
            </w:pPr>
            <w:r>
              <w:rPr>
                <w:b/>
                <w:bCs/>
                <w:color w:val="000000"/>
                <w:sz w:val="20"/>
                <w:szCs w:val="20"/>
              </w:rPr>
              <w:t>-0.263**</w:t>
            </w:r>
          </w:p>
        </w:tc>
        <w:tc>
          <w:tcPr>
            <w:tcW w:w="1166" w:type="dxa"/>
            <w:tcBorders>
              <w:top w:val="nil"/>
              <w:left w:val="nil"/>
              <w:bottom w:val="nil"/>
              <w:right w:val="nil"/>
            </w:tcBorders>
            <w:shd w:val="clear" w:color="auto" w:fill="auto"/>
            <w:noWrap/>
            <w:vAlign w:val="bottom"/>
            <w:hideMark/>
          </w:tcPr>
          <w:p w14:paraId="3B6CA61D" w14:textId="158B0949" w:rsidR="00DC7146" w:rsidRPr="00261857" w:rsidRDefault="00DC7146" w:rsidP="00DC7146">
            <w:pPr>
              <w:jc w:val="center"/>
              <w:rPr>
                <w:rFonts w:eastAsia="Times New Roman" w:cs="Times New Roman"/>
                <w:b/>
                <w:bCs/>
                <w:color w:val="000000"/>
                <w:sz w:val="20"/>
                <w:szCs w:val="20"/>
              </w:rPr>
            </w:pPr>
            <w:r>
              <w:rPr>
                <w:b/>
                <w:bCs/>
                <w:color w:val="000000"/>
                <w:sz w:val="20"/>
                <w:szCs w:val="20"/>
              </w:rPr>
              <w:t>-0.264**</w:t>
            </w:r>
          </w:p>
        </w:tc>
        <w:tc>
          <w:tcPr>
            <w:tcW w:w="1166" w:type="dxa"/>
            <w:tcBorders>
              <w:top w:val="nil"/>
              <w:left w:val="nil"/>
              <w:bottom w:val="nil"/>
              <w:right w:val="nil"/>
            </w:tcBorders>
            <w:shd w:val="clear" w:color="auto" w:fill="auto"/>
            <w:noWrap/>
            <w:vAlign w:val="bottom"/>
            <w:hideMark/>
          </w:tcPr>
          <w:p w14:paraId="522D7150" w14:textId="3F176A4A" w:rsidR="00DC7146" w:rsidRPr="00261857" w:rsidRDefault="00DC7146" w:rsidP="00DC7146">
            <w:pPr>
              <w:jc w:val="center"/>
              <w:rPr>
                <w:rFonts w:eastAsia="Times New Roman" w:cs="Times New Roman"/>
                <w:b/>
                <w:bCs/>
                <w:color w:val="000000"/>
                <w:sz w:val="20"/>
                <w:szCs w:val="20"/>
              </w:rPr>
            </w:pPr>
            <w:r>
              <w:rPr>
                <w:b/>
                <w:bCs/>
                <w:color w:val="000000"/>
                <w:sz w:val="20"/>
                <w:szCs w:val="20"/>
              </w:rPr>
              <w:t>-0.264**</w:t>
            </w:r>
          </w:p>
        </w:tc>
      </w:tr>
      <w:tr w:rsidR="00DC7146" w:rsidRPr="00261857" w14:paraId="571B77FE" w14:textId="77777777" w:rsidTr="00DC7146">
        <w:trPr>
          <w:trHeight w:val="255"/>
        </w:trPr>
        <w:tc>
          <w:tcPr>
            <w:tcW w:w="1920" w:type="dxa"/>
            <w:tcBorders>
              <w:top w:val="nil"/>
              <w:left w:val="nil"/>
              <w:bottom w:val="nil"/>
              <w:right w:val="nil"/>
            </w:tcBorders>
            <w:shd w:val="clear" w:color="auto" w:fill="auto"/>
            <w:noWrap/>
            <w:vAlign w:val="bottom"/>
            <w:hideMark/>
          </w:tcPr>
          <w:p w14:paraId="05AC143B"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3590C4B8" w14:textId="65B51C31" w:rsidR="00DC7146" w:rsidRPr="00261857" w:rsidRDefault="00DC7146" w:rsidP="00DC7146">
            <w:pPr>
              <w:jc w:val="center"/>
              <w:rPr>
                <w:rFonts w:eastAsia="Times New Roman" w:cs="Times New Roman"/>
                <w:color w:val="000000"/>
                <w:sz w:val="20"/>
                <w:szCs w:val="20"/>
              </w:rPr>
            </w:pPr>
            <w:r>
              <w:rPr>
                <w:color w:val="000000"/>
                <w:sz w:val="20"/>
                <w:szCs w:val="20"/>
              </w:rPr>
              <w:t>(0.107)</w:t>
            </w:r>
          </w:p>
        </w:tc>
        <w:tc>
          <w:tcPr>
            <w:tcW w:w="1213" w:type="dxa"/>
            <w:tcBorders>
              <w:top w:val="nil"/>
              <w:left w:val="nil"/>
              <w:bottom w:val="nil"/>
              <w:right w:val="nil"/>
            </w:tcBorders>
            <w:shd w:val="clear" w:color="auto" w:fill="auto"/>
            <w:noWrap/>
            <w:vAlign w:val="bottom"/>
            <w:hideMark/>
          </w:tcPr>
          <w:p w14:paraId="0DD7A3E8" w14:textId="6954D1F5" w:rsidR="00DC7146" w:rsidRPr="00261857" w:rsidRDefault="00DC7146" w:rsidP="00DC7146">
            <w:pPr>
              <w:jc w:val="center"/>
              <w:rPr>
                <w:rFonts w:eastAsia="Times New Roman" w:cs="Times New Roman"/>
                <w:color w:val="000000"/>
                <w:sz w:val="20"/>
                <w:szCs w:val="20"/>
              </w:rPr>
            </w:pPr>
            <w:r>
              <w:rPr>
                <w:color w:val="000000"/>
                <w:sz w:val="20"/>
                <w:szCs w:val="20"/>
              </w:rPr>
              <w:t>(0.106)</w:t>
            </w:r>
          </w:p>
        </w:tc>
        <w:tc>
          <w:tcPr>
            <w:tcW w:w="1213" w:type="dxa"/>
            <w:tcBorders>
              <w:top w:val="nil"/>
              <w:left w:val="nil"/>
              <w:bottom w:val="nil"/>
              <w:right w:val="nil"/>
            </w:tcBorders>
            <w:shd w:val="clear" w:color="auto" w:fill="auto"/>
            <w:noWrap/>
            <w:vAlign w:val="bottom"/>
            <w:hideMark/>
          </w:tcPr>
          <w:p w14:paraId="24B7C5B0" w14:textId="1AD4FDBA" w:rsidR="00DC7146" w:rsidRPr="00261857" w:rsidRDefault="00DC7146" w:rsidP="00DC7146">
            <w:pPr>
              <w:jc w:val="center"/>
              <w:rPr>
                <w:rFonts w:eastAsia="Times New Roman" w:cs="Times New Roman"/>
                <w:color w:val="000000"/>
                <w:sz w:val="20"/>
                <w:szCs w:val="20"/>
              </w:rPr>
            </w:pPr>
            <w:r>
              <w:rPr>
                <w:color w:val="000000"/>
                <w:sz w:val="20"/>
                <w:szCs w:val="20"/>
              </w:rPr>
              <w:t>(0.106)</w:t>
            </w:r>
          </w:p>
        </w:tc>
        <w:tc>
          <w:tcPr>
            <w:tcW w:w="1166" w:type="dxa"/>
            <w:tcBorders>
              <w:top w:val="nil"/>
              <w:left w:val="nil"/>
              <w:bottom w:val="nil"/>
              <w:right w:val="nil"/>
            </w:tcBorders>
            <w:shd w:val="clear" w:color="auto" w:fill="auto"/>
            <w:noWrap/>
            <w:vAlign w:val="bottom"/>
            <w:hideMark/>
          </w:tcPr>
          <w:p w14:paraId="3927B293" w14:textId="12E39B8D" w:rsidR="00DC7146" w:rsidRPr="00261857" w:rsidRDefault="00DC7146" w:rsidP="00DC7146">
            <w:pPr>
              <w:jc w:val="center"/>
              <w:rPr>
                <w:rFonts w:eastAsia="Times New Roman" w:cs="Times New Roman"/>
                <w:color w:val="000000"/>
                <w:sz w:val="20"/>
                <w:szCs w:val="20"/>
              </w:rPr>
            </w:pPr>
            <w:r>
              <w:rPr>
                <w:color w:val="000000"/>
                <w:sz w:val="20"/>
                <w:szCs w:val="20"/>
              </w:rPr>
              <w:t>(0.113)</w:t>
            </w:r>
          </w:p>
        </w:tc>
        <w:tc>
          <w:tcPr>
            <w:tcW w:w="1166" w:type="dxa"/>
            <w:tcBorders>
              <w:top w:val="nil"/>
              <w:left w:val="nil"/>
              <w:bottom w:val="nil"/>
              <w:right w:val="nil"/>
            </w:tcBorders>
            <w:shd w:val="clear" w:color="auto" w:fill="auto"/>
            <w:noWrap/>
            <w:vAlign w:val="bottom"/>
            <w:hideMark/>
          </w:tcPr>
          <w:p w14:paraId="42FA8FBD" w14:textId="7ED3DE48" w:rsidR="00DC7146" w:rsidRPr="00261857" w:rsidRDefault="00DC7146" w:rsidP="00DC7146">
            <w:pPr>
              <w:jc w:val="center"/>
              <w:rPr>
                <w:rFonts w:eastAsia="Times New Roman" w:cs="Times New Roman"/>
                <w:color w:val="000000"/>
                <w:sz w:val="20"/>
                <w:szCs w:val="20"/>
              </w:rPr>
            </w:pPr>
            <w:r>
              <w:rPr>
                <w:color w:val="000000"/>
                <w:sz w:val="20"/>
                <w:szCs w:val="20"/>
              </w:rPr>
              <w:t>(0.113)</w:t>
            </w:r>
          </w:p>
        </w:tc>
        <w:tc>
          <w:tcPr>
            <w:tcW w:w="1166" w:type="dxa"/>
            <w:tcBorders>
              <w:top w:val="nil"/>
              <w:left w:val="nil"/>
              <w:bottom w:val="nil"/>
              <w:right w:val="nil"/>
            </w:tcBorders>
            <w:shd w:val="clear" w:color="auto" w:fill="auto"/>
            <w:noWrap/>
            <w:vAlign w:val="bottom"/>
            <w:hideMark/>
          </w:tcPr>
          <w:p w14:paraId="21691370" w14:textId="1CC3821E" w:rsidR="00DC7146" w:rsidRPr="00261857" w:rsidRDefault="00DC7146" w:rsidP="00DC7146">
            <w:pPr>
              <w:jc w:val="center"/>
              <w:rPr>
                <w:rFonts w:eastAsia="Times New Roman" w:cs="Times New Roman"/>
                <w:color w:val="000000"/>
                <w:sz w:val="20"/>
                <w:szCs w:val="20"/>
              </w:rPr>
            </w:pPr>
            <w:r>
              <w:rPr>
                <w:color w:val="000000"/>
                <w:sz w:val="20"/>
                <w:szCs w:val="20"/>
              </w:rPr>
              <w:t>(0.113)</w:t>
            </w:r>
          </w:p>
        </w:tc>
      </w:tr>
      <w:tr w:rsidR="00DC7146" w:rsidRPr="00261857" w14:paraId="4F070CA8" w14:textId="77777777" w:rsidTr="00DC7146">
        <w:trPr>
          <w:trHeight w:val="255"/>
        </w:trPr>
        <w:tc>
          <w:tcPr>
            <w:tcW w:w="1920" w:type="dxa"/>
            <w:tcBorders>
              <w:top w:val="nil"/>
              <w:left w:val="nil"/>
              <w:bottom w:val="nil"/>
              <w:right w:val="nil"/>
            </w:tcBorders>
            <w:shd w:val="clear" w:color="auto" w:fill="auto"/>
            <w:noWrap/>
            <w:vAlign w:val="bottom"/>
            <w:hideMark/>
          </w:tcPr>
          <w:p w14:paraId="53D72FFA" w14:textId="6BFEA57B" w:rsidR="00DC7146" w:rsidRPr="00261857" w:rsidRDefault="00DC7146" w:rsidP="00DC7146">
            <w:pPr>
              <w:rPr>
                <w:rFonts w:eastAsia="Times New Roman" w:cs="Times New Roman"/>
                <w:color w:val="000000"/>
                <w:sz w:val="20"/>
                <w:szCs w:val="20"/>
              </w:rPr>
            </w:pPr>
            <w:r>
              <w:rPr>
                <w:color w:val="000000"/>
                <w:sz w:val="20"/>
                <w:szCs w:val="20"/>
              </w:rPr>
              <w:t>Gr 8 AY</w:t>
            </w:r>
          </w:p>
        </w:tc>
        <w:tc>
          <w:tcPr>
            <w:tcW w:w="1214" w:type="dxa"/>
            <w:tcBorders>
              <w:top w:val="nil"/>
              <w:left w:val="nil"/>
              <w:bottom w:val="nil"/>
              <w:right w:val="nil"/>
            </w:tcBorders>
            <w:shd w:val="clear" w:color="auto" w:fill="auto"/>
            <w:noWrap/>
            <w:vAlign w:val="bottom"/>
            <w:hideMark/>
          </w:tcPr>
          <w:p w14:paraId="01586875" w14:textId="012DAD26" w:rsidR="00DC7146" w:rsidRPr="00261857" w:rsidRDefault="00DC7146" w:rsidP="00DC7146">
            <w:pPr>
              <w:jc w:val="center"/>
              <w:rPr>
                <w:rFonts w:eastAsia="Times New Roman" w:cs="Times New Roman"/>
                <w:color w:val="000000"/>
                <w:sz w:val="20"/>
                <w:szCs w:val="20"/>
              </w:rPr>
            </w:pPr>
            <w:r>
              <w:rPr>
                <w:color w:val="000000"/>
                <w:sz w:val="20"/>
                <w:szCs w:val="20"/>
              </w:rPr>
              <w:t>0.741***</w:t>
            </w:r>
          </w:p>
        </w:tc>
        <w:tc>
          <w:tcPr>
            <w:tcW w:w="1213" w:type="dxa"/>
            <w:tcBorders>
              <w:top w:val="nil"/>
              <w:left w:val="nil"/>
              <w:bottom w:val="nil"/>
              <w:right w:val="nil"/>
            </w:tcBorders>
            <w:shd w:val="clear" w:color="auto" w:fill="auto"/>
            <w:noWrap/>
            <w:vAlign w:val="bottom"/>
            <w:hideMark/>
          </w:tcPr>
          <w:p w14:paraId="37AC13CA" w14:textId="66CFA581" w:rsidR="00DC7146" w:rsidRPr="00261857" w:rsidRDefault="00DC7146" w:rsidP="00DC7146">
            <w:pPr>
              <w:jc w:val="center"/>
              <w:rPr>
                <w:rFonts w:eastAsia="Times New Roman" w:cs="Times New Roman"/>
                <w:color w:val="000000"/>
                <w:sz w:val="20"/>
                <w:szCs w:val="20"/>
              </w:rPr>
            </w:pPr>
            <w:r>
              <w:rPr>
                <w:color w:val="000000"/>
                <w:sz w:val="20"/>
                <w:szCs w:val="20"/>
              </w:rPr>
              <w:t>0.740***</w:t>
            </w:r>
          </w:p>
        </w:tc>
        <w:tc>
          <w:tcPr>
            <w:tcW w:w="1213" w:type="dxa"/>
            <w:tcBorders>
              <w:top w:val="nil"/>
              <w:left w:val="nil"/>
              <w:bottom w:val="nil"/>
              <w:right w:val="nil"/>
            </w:tcBorders>
            <w:shd w:val="clear" w:color="auto" w:fill="auto"/>
            <w:noWrap/>
            <w:vAlign w:val="bottom"/>
            <w:hideMark/>
          </w:tcPr>
          <w:p w14:paraId="5F800A91" w14:textId="61E71BA0" w:rsidR="00DC7146" w:rsidRPr="00261857" w:rsidRDefault="00DC7146" w:rsidP="00DC7146">
            <w:pPr>
              <w:jc w:val="center"/>
              <w:rPr>
                <w:rFonts w:eastAsia="Times New Roman" w:cs="Times New Roman"/>
                <w:color w:val="000000"/>
                <w:sz w:val="20"/>
                <w:szCs w:val="20"/>
              </w:rPr>
            </w:pPr>
            <w:r>
              <w:rPr>
                <w:color w:val="000000"/>
                <w:sz w:val="20"/>
                <w:szCs w:val="20"/>
              </w:rPr>
              <w:t>0.740***</w:t>
            </w:r>
          </w:p>
        </w:tc>
        <w:tc>
          <w:tcPr>
            <w:tcW w:w="1166" w:type="dxa"/>
            <w:tcBorders>
              <w:top w:val="nil"/>
              <w:left w:val="nil"/>
              <w:bottom w:val="nil"/>
              <w:right w:val="nil"/>
            </w:tcBorders>
            <w:shd w:val="clear" w:color="auto" w:fill="auto"/>
            <w:noWrap/>
            <w:vAlign w:val="bottom"/>
            <w:hideMark/>
          </w:tcPr>
          <w:p w14:paraId="4E224E57" w14:textId="11D1A933" w:rsidR="00DC7146" w:rsidRPr="00261857" w:rsidRDefault="00DC7146" w:rsidP="00DC7146">
            <w:pPr>
              <w:jc w:val="center"/>
              <w:rPr>
                <w:rFonts w:eastAsia="Times New Roman" w:cs="Times New Roman"/>
                <w:color w:val="000000"/>
                <w:sz w:val="20"/>
                <w:szCs w:val="20"/>
              </w:rPr>
            </w:pPr>
            <w:r>
              <w:rPr>
                <w:color w:val="000000"/>
                <w:sz w:val="20"/>
                <w:szCs w:val="20"/>
              </w:rPr>
              <w:t>0.662***</w:t>
            </w:r>
          </w:p>
        </w:tc>
        <w:tc>
          <w:tcPr>
            <w:tcW w:w="1166" w:type="dxa"/>
            <w:tcBorders>
              <w:top w:val="nil"/>
              <w:left w:val="nil"/>
              <w:bottom w:val="nil"/>
              <w:right w:val="nil"/>
            </w:tcBorders>
            <w:shd w:val="clear" w:color="auto" w:fill="auto"/>
            <w:noWrap/>
            <w:vAlign w:val="bottom"/>
            <w:hideMark/>
          </w:tcPr>
          <w:p w14:paraId="15244E81" w14:textId="53F22BE6" w:rsidR="00DC7146" w:rsidRPr="00261857" w:rsidRDefault="00DC7146" w:rsidP="00DC7146">
            <w:pPr>
              <w:jc w:val="center"/>
              <w:rPr>
                <w:rFonts w:eastAsia="Times New Roman" w:cs="Times New Roman"/>
                <w:color w:val="000000"/>
                <w:sz w:val="20"/>
                <w:szCs w:val="20"/>
              </w:rPr>
            </w:pPr>
            <w:r>
              <w:rPr>
                <w:color w:val="000000"/>
                <w:sz w:val="20"/>
                <w:szCs w:val="20"/>
              </w:rPr>
              <w:t>0.663***</w:t>
            </w:r>
          </w:p>
        </w:tc>
        <w:tc>
          <w:tcPr>
            <w:tcW w:w="1166" w:type="dxa"/>
            <w:tcBorders>
              <w:top w:val="nil"/>
              <w:left w:val="nil"/>
              <w:bottom w:val="nil"/>
              <w:right w:val="nil"/>
            </w:tcBorders>
            <w:shd w:val="clear" w:color="auto" w:fill="auto"/>
            <w:noWrap/>
            <w:vAlign w:val="bottom"/>
            <w:hideMark/>
          </w:tcPr>
          <w:p w14:paraId="2CE457BF" w14:textId="49466396" w:rsidR="00DC7146" w:rsidRPr="00261857" w:rsidRDefault="00DC7146" w:rsidP="00DC7146">
            <w:pPr>
              <w:jc w:val="center"/>
              <w:rPr>
                <w:rFonts w:eastAsia="Times New Roman" w:cs="Times New Roman"/>
                <w:color w:val="000000"/>
                <w:sz w:val="20"/>
                <w:szCs w:val="20"/>
              </w:rPr>
            </w:pPr>
            <w:r>
              <w:rPr>
                <w:color w:val="000000"/>
                <w:sz w:val="20"/>
                <w:szCs w:val="20"/>
              </w:rPr>
              <w:t>0.663***</w:t>
            </w:r>
          </w:p>
        </w:tc>
      </w:tr>
      <w:tr w:rsidR="00DC7146" w:rsidRPr="00261857" w14:paraId="00F1CD9F" w14:textId="77777777" w:rsidTr="00DC7146">
        <w:trPr>
          <w:trHeight w:val="255"/>
        </w:trPr>
        <w:tc>
          <w:tcPr>
            <w:tcW w:w="1920" w:type="dxa"/>
            <w:tcBorders>
              <w:top w:val="nil"/>
              <w:left w:val="nil"/>
              <w:bottom w:val="nil"/>
              <w:right w:val="nil"/>
            </w:tcBorders>
            <w:shd w:val="clear" w:color="auto" w:fill="auto"/>
            <w:noWrap/>
            <w:vAlign w:val="bottom"/>
            <w:hideMark/>
          </w:tcPr>
          <w:p w14:paraId="5C7D73CD"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53D07974" w14:textId="13BBB6CB" w:rsidR="00DC7146" w:rsidRPr="00261857" w:rsidRDefault="00DC7146" w:rsidP="00DC7146">
            <w:pPr>
              <w:jc w:val="center"/>
              <w:rPr>
                <w:rFonts w:eastAsia="Times New Roman" w:cs="Times New Roman"/>
                <w:color w:val="000000"/>
                <w:sz w:val="20"/>
                <w:szCs w:val="20"/>
              </w:rPr>
            </w:pPr>
            <w:r>
              <w:rPr>
                <w:color w:val="000000"/>
                <w:sz w:val="20"/>
                <w:szCs w:val="20"/>
              </w:rPr>
              <w:t>(0.061)</w:t>
            </w:r>
          </w:p>
        </w:tc>
        <w:tc>
          <w:tcPr>
            <w:tcW w:w="1213" w:type="dxa"/>
            <w:tcBorders>
              <w:top w:val="nil"/>
              <w:left w:val="nil"/>
              <w:bottom w:val="nil"/>
              <w:right w:val="nil"/>
            </w:tcBorders>
            <w:shd w:val="clear" w:color="auto" w:fill="auto"/>
            <w:noWrap/>
            <w:vAlign w:val="bottom"/>
            <w:hideMark/>
          </w:tcPr>
          <w:p w14:paraId="7FD04C40" w14:textId="3E923FF3" w:rsidR="00DC7146" w:rsidRPr="00261857" w:rsidRDefault="00DC7146" w:rsidP="00DC7146">
            <w:pPr>
              <w:jc w:val="center"/>
              <w:rPr>
                <w:rFonts w:eastAsia="Times New Roman" w:cs="Times New Roman"/>
                <w:color w:val="000000"/>
                <w:sz w:val="20"/>
                <w:szCs w:val="20"/>
              </w:rPr>
            </w:pPr>
            <w:r>
              <w:rPr>
                <w:color w:val="000000"/>
                <w:sz w:val="20"/>
                <w:szCs w:val="20"/>
              </w:rPr>
              <w:t>(0.061)</w:t>
            </w:r>
          </w:p>
        </w:tc>
        <w:tc>
          <w:tcPr>
            <w:tcW w:w="1213" w:type="dxa"/>
            <w:tcBorders>
              <w:top w:val="nil"/>
              <w:left w:val="nil"/>
              <w:bottom w:val="nil"/>
              <w:right w:val="nil"/>
            </w:tcBorders>
            <w:shd w:val="clear" w:color="auto" w:fill="auto"/>
            <w:noWrap/>
            <w:vAlign w:val="bottom"/>
            <w:hideMark/>
          </w:tcPr>
          <w:p w14:paraId="750A2FC7" w14:textId="63631E3A" w:rsidR="00DC7146" w:rsidRPr="00261857" w:rsidRDefault="00DC7146" w:rsidP="00DC7146">
            <w:pPr>
              <w:jc w:val="center"/>
              <w:rPr>
                <w:rFonts w:eastAsia="Times New Roman" w:cs="Times New Roman"/>
                <w:color w:val="000000"/>
                <w:sz w:val="20"/>
                <w:szCs w:val="20"/>
              </w:rPr>
            </w:pPr>
            <w:r>
              <w:rPr>
                <w:color w:val="000000"/>
                <w:sz w:val="20"/>
                <w:szCs w:val="20"/>
              </w:rPr>
              <w:t>(0.061)</w:t>
            </w:r>
          </w:p>
        </w:tc>
        <w:tc>
          <w:tcPr>
            <w:tcW w:w="1166" w:type="dxa"/>
            <w:tcBorders>
              <w:top w:val="nil"/>
              <w:left w:val="nil"/>
              <w:bottom w:val="nil"/>
              <w:right w:val="nil"/>
            </w:tcBorders>
            <w:shd w:val="clear" w:color="auto" w:fill="auto"/>
            <w:noWrap/>
            <w:vAlign w:val="bottom"/>
            <w:hideMark/>
          </w:tcPr>
          <w:p w14:paraId="22D7E14D" w14:textId="40EF78D8" w:rsidR="00DC7146" w:rsidRPr="00261857" w:rsidRDefault="00DC7146" w:rsidP="00DC7146">
            <w:pPr>
              <w:jc w:val="center"/>
              <w:rPr>
                <w:rFonts w:eastAsia="Times New Roman" w:cs="Times New Roman"/>
                <w:color w:val="000000"/>
                <w:sz w:val="20"/>
                <w:szCs w:val="20"/>
              </w:rPr>
            </w:pPr>
            <w:r>
              <w:rPr>
                <w:color w:val="000000"/>
                <w:sz w:val="20"/>
                <w:szCs w:val="20"/>
              </w:rPr>
              <w:t>(0.078)</w:t>
            </w:r>
          </w:p>
        </w:tc>
        <w:tc>
          <w:tcPr>
            <w:tcW w:w="1166" w:type="dxa"/>
            <w:tcBorders>
              <w:top w:val="nil"/>
              <w:left w:val="nil"/>
              <w:bottom w:val="nil"/>
              <w:right w:val="nil"/>
            </w:tcBorders>
            <w:shd w:val="clear" w:color="auto" w:fill="auto"/>
            <w:noWrap/>
            <w:vAlign w:val="bottom"/>
            <w:hideMark/>
          </w:tcPr>
          <w:p w14:paraId="4EEB1220" w14:textId="01CC28DB" w:rsidR="00DC7146" w:rsidRPr="00261857" w:rsidRDefault="00DC7146" w:rsidP="00DC7146">
            <w:pPr>
              <w:jc w:val="center"/>
              <w:rPr>
                <w:rFonts w:eastAsia="Times New Roman" w:cs="Times New Roman"/>
                <w:color w:val="000000"/>
                <w:sz w:val="20"/>
                <w:szCs w:val="20"/>
              </w:rPr>
            </w:pPr>
            <w:r>
              <w:rPr>
                <w:color w:val="000000"/>
                <w:sz w:val="20"/>
                <w:szCs w:val="20"/>
              </w:rPr>
              <w:t>(0.078)</w:t>
            </w:r>
          </w:p>
        </w:tc>
        <w:tc>
          <w:tcPr>
            <w:tcW w:w="1166" w:type="dxa"/>
            <w:tcBorders>
              <w:top w:val="nil"/>
              <w:left w:val="nil"/>
              <w:bottom w:val="nil"/>
              <w:right w:val="nil"/>
            </w:tcBorders>
            <w:shd w:val="clear" w:color="auto" w:fill="auto"/>
            <w:noWrap/>
            <w:vAlign w:val="bottom"/>
            <w:hideMark/>
          </w:tcPr>
          <w:p w14:paraId="2B233695" w14:textId="37B89D7A" w:rsidR="00DC7146" w:rsidRPr="00261857" w:rsidRDefault="00DC7146" w:rsidP="00DC7146">
            <w:pPr>
              <w:jc w:val="center"/>
              <w:rPr>
                <w:rFonts w:eastAsia="Times New Roman" w:cs="Times New Roman"/>
                <w:color w:val="000000"/>
                <w:sz w:val="20"/>
                <w:szCs w:val="20"/>
              </w:rPr>
            </w:pPr>
            <w:r>
              <w:rPr>
                <w:color w:val="000000"/>
                <w:sz w:val="20"/>
                <w:szCs w:val="20"/>
              </w:rPr>
              <w:t>(0.078)</w:t>
            </w:r>
          </w:p>
        </w:tc>
      </w:tr>
      <w:tr w:rsidR="00DC7146" w:rsidRPr="00261857" w14:paraId="46CD7185" w14:textId="77777777" w:rsidTr="00DC7146">
        <w:trPr>
          <w:trHeight w:val="255"/>
        </w:trPr>
        <w:tc>
          <w:tcPr>
            <w:tcW w:w="1920" w:type="dxa"/>
            <w:tcBorders>
              <w:top w:val="nil"/>
              <w:left w:val="nil"/>
              <w:bottom w:val="nil"/>
              <w:right w:val="nil"/>
            </w:tcBorders>
            <w:shd w:val="clear" w:color="auto" w:fill="auto"/>
            <w:noWrap/>
            <w:vAlign w:val="bottom"/>
            <w:hideMark/>
          </w:tcPr>
          <w:p w14:paraId="5769F7EB" w14:textId="4489A736" w:rsidR="00DC7146" w:rsidRPr="00261857" w:rsidRDefault="00DC7146" w:rsidP="00DC7146">
            <w:pPr>
              <w:rPr>
                <w:rFonts w:eastAsia="Times New Roman" w:cs="Times New Roman"/>
                <w:b/>
                <w:bCs/>
                <w:color w:val="000000"/>
                <w:sz w:val="20"/>
                <w:szCs w:val="20"/>
              </w:rPr>
            </w:pPr>
            <w:r>
              <w:rPr>
                <w:b/>
                <w:bCs/>
                <w:color w:val="000000"/>
                <w:sz w:val="20"/>
                <w:szCs w:val="20"/>
              </w:rPr>
              <w:t>DL x Gr 8 AY</w:t>
            </w:r>
          </w:p>
        </w:tc>
        <w:tc>
          <w:tcPr>
            <w:tcW w:w="1214" w:type="dxa"/>
            <w:tcBorders>
              <w:top w:val="nil"/>
              <w:left w:val="nil"/>
              <w:bottom w:val="nil"/>
              <w:right w:val="nil"/>
            </w:tcBorders>
            <w:shd w:val="clear" w:color="auto" w:fill="auto"/>
            <w:noWrap/>
            <w:vAlign w:val="bottom"/>
            <w:hideMark/>
          </w:tcPr>
          <w:p w14:paraId="1758E431" w14:textId="173DE1E9" w:rsidR="00DC7146" w:rsidRPr="00261857" w:rsidRDefault="00DC7146" w:rsidP="00DC7146">
            <w:pPr>
              <w:jc w:val="center"/>
              <w:rPr>
                <w:rFonts w:eastAsia="Times New Roman" w:cs="Times New Roman"/>
                <w:b/>
                <w:bCs/>
                <w:color w:val="000000"/>
                <w:sz w:val="20"/>
                <w:szCs w:val="20"/>
              </w:rPr>
            </w:pPr>
            <w:r>
              <w:rPr>
                <w:b/>
                <w:bCs/>
                <w:color w:val="000000"/>
                <w:sz w:val="20"/>
                <w:szCs w:val="20"/>
              </w:rPr>
              <w:t>-0.114</w:t>
            </w:r>
          </w:p>
        </w:tc>
        <w:tc>
          <w:tcPr>
            <w:tcW w:w="1213" w:type="dxa"/>
            <w:tcBorders>
              <w:top w:val="nil"/>
              <w:left w:val="nil"/>
              <w:bottom w:val="nil"/>
              <w:right w:val="nil"/>
            </w:tcBorders>
            <w:shd w:val="clear" w:color="auto" w:fill="auto"/>
            <w:noWrap/>
            <w:vAlign w:val="bottom"/>
            <w:hideMark/>
          </w:tcPr>
          <w:p w14:paraId="4836E75E" w14:textId="5D13E872" w:rsidR="00DC7146" w:rsidRPr="00261857" w:rsidRDefault="00DC7146" w:rsidP="00DC7146">
            <w:pPr>
              <w:jc w:val="center"/>
              <w:rPr>
                <w:rFonts w:eastAsia="Times New Roman" w:cs="Times New Roman"/>
                <w:b/>
                <w:bCs/>
                <w:color w:val="000000"/>
                <w:sz w:val="20"/>
                <w:szCs w:val="20"/>
              </w:rPr>
            </w:pPr>
            <w:r>
              <w:rPr>
                <w:b/>
                <w:bCs/>
                <w:color w:val="000000"/>
                <w:sz w:val="20"/>
                <w:szCs w:val="20"/>
              </w:rPr>
              <w:t>-0.112</w:t>
            </w:r>
          </w:p>
        </w:tc>
        <w:tc>
          <w:tcPr>
            <w:tcW w:w="1213" w:type="dxa"/>
            <w:tcBorders>
              <w:top w:val="nil"/>
              <w:left w:val="nil"/>
              <w:bottom w:val="nil"/>
              <w:right w:val="nil"/>
            </w:tcBorders>
            <w:shd w:val="clear" w:color="auto" w:fill="auto"/>
            <w:noWrap/>
            <w:vAlign w:val="bottom"/>
            <w:hideMark/>
          </w:tcPr>
          <w:p w14:paraId="7D56EA7F" w14:textId="4833A970" w:rsidR="00DC7146" w:rsidRPr="00261857" w:rsidRDefault="00DC7146" w:rsidP="00DC7146">
            <w:pPr>
              <w:jc w:val="center"/>
              <w:rPr>
                <w:rFonts w:eastAsia="Times New Roman" w:cs="Times New Roman"/>
                <w:b/>
                <w:bCs/>
                <w:color w:val="000000"/>
                <w:sz w:val="20"/>
                <w:szCs w:val="20"/>
              </w:rPr>
            </w:pPr>
            <w:r>
              <w:rPr>
                <w:b/>
                <w:bCs/>
                <w:color w:val="000000"/>
                <w:sz w:val="20"/>
                <w:szCs w:val="20"/>
              </w:rPr>
              <w:t>-0.112</w:t>
            </w:r>
          </w:p>
        </w:tc>
        <w:tc>
          <w:tcPr>
            <w:tcW w:w="1166" w:type="dxa"/>
            <w:tcBorders>
              <w:top w:val="nil"/>
              <w:left w:val="nil"/>
              <w:bottom w:val="nil"/>
              <w:right w:val="nil"/>
            </w:tcBorders>
            <w:shd w:val="clear" w:color="auto" w:fill="auto"/>
            <w:noWrap/>
            <w:vAlign w:val="bottom"/>
            <w:hideMark/>
          </w:tcPr>
          <w:p w14:paraId="0A6EF2D1" w14:textId="4490AB5F" w:rsidR="00DC7146" w:rsidRPr="00261857" w:rsidRDefault="00DC7146" w:rsidP="00DC7146">
            <w:pPr>
              <w:jc w:val="center"/>
              <w:rPr>
                <w:rFonts w:eastAsia="Times New Roman" w:cs="Times New Roman"/>
                <w:b/>
                <w:bCs/>
                <w:color w:val="000000"/>
                <w:sz w:val="20"/>
                <w:szCs w:val="20"/>
              </w:rPr>
            </w:pPr>
            <w:r>
              <w:rPr>
                <w:b/>
                <w:bCs/>
                <w:color w:val="000000"/>
                <w:sz w:val="20"/>
                <w:szCs w:val="20"/>
              </w:rPr>
              <w:t>0.081</w:t>
            </w:r>
          </w:p>
        </w:tc>
        <w:tc>
          <w:tcPr>
            <w:tcW w:w="1166" w:type="dxa"/>
            <w:tcBorders>
              <w:top w:val="nil"/>
              <w:left w:val="nil"/>
              <w:bottom w:val="nil"/>
              <w:right w:val="nil"/>
            </w:tcBorders>
            <w:shd w:val="clear" w:color="auto" w:fill="auto"/>
            <w:noWrap/>
            <w:vAlign w:val="bottom"/>
            <w:hideMark/>
          </w:tcPr>
          <w:p w14:paraId="5D65E5F6" w14:textId="33DC45E2" w:rsidR="00DC7146" w:rsidRPr="00261857" w:rsidRDefault="00DC7146" w:rsidP="00DC7146">
            <w:pPr>
              <w:jc w:val="center"/>
              <w:rPr>
                <w:rFonts w:eastAsia="Times New Roman" w:cs="Times New Roman"/>
                <w:b/>
                <w:bCs/>
                <w:color w:val="000000"/>
                <w:sz w:val="20"/>
                <w:szCs w:val="20"/>
              </w:rPr>
            </w:pPr>
            <w:r>
              <w:rPr>
                <w:b/>
                <w:bCs/>
                <w:color w:val="000000"/>
                <w:sz w:val="20"/>
                <w:szCs w:val="20"/>
              </w:rPr>
              <w:t>0.080</w:t>
            </w:r>
          </w:p>
        </w:tc>
        <w:tc>
          <w:tcPr>
            <w:tcW w:w="1166" w:type="dxa"/>
            <w:tcBorders>
              <w:top w:val="nil"/>
              <w:left w:val="nil"/>
              <w:bottom w:val="nil"/>
              <w:right w:val="nil"/>
            </w:tcBorders>
            <w:shd w:val="clear" w:color="auto" w:fill="auto"/>
            <w:noWrap/>
            <w:vAlign w:val="bottom"/>
            <w:hideMark/>
          </w:tcPr>
          <w:p w14:paraId="2933E463" w14:textId="38A48059" w:rsidR="00DC7146" w:rsidRPr="00261857" w:rsidRDefault="00DC7146" w:rsidP="00DC7146">
            <w:pPr>
              <w:jc w:val="center"/>
              <w:rPr>
                <w:rFonts w:eastAsia="Times New Roman" w:cs="Times New Roman"/>
                <w:b/>
                <w:bCs/>
                <w:color w:val="000000"/>
                <w:sz w:val="20"/>
                <w:szCs w:val="20"/>
              </w:rPr>
            </w:pPr>
            <w:r>
              <w:rPr>
                <w:b/>
                <w:bCs/>
                <w:color w:val="000000"/>
                <w:sz w:val="20"/>
                <w:szCs w:val="20"/>
              </w:rPr>
              <w:t>0.081</w:t>
            </w:r>
          </w:p>
        </w:tc>
      </w:tr>
      <w:tr w:rsidR="00DC7146" w:rsidRPr="00261857" w14:paraId="5A262C67" w14:textId="77777777" w:rsidTr="00DC7146">
        <w:trPr>
          <w:trHeight w:val="255"/>
        </w:trPr>
        <w:tc>
          <w:tcPr>
            <w:tcW w:w="1920" w:type="dxa"/>
            <w:tcBorders>
              <w:top w:val="nil"/>
              <w:left w:val="nil"/>
              <w:bottom w:val="nil"/>
              <w:right w:val="nil"/>
            </w:tcBorders>
            <w:shd w:val="clear" w:color="auto" w:fill="auto"/>
            <w:noWrap/>
            <w:vAlign w:val="bottom"/>
            <w:hideMark/>
          </w:tcPr>
          <w:p w14:paraId="5288E710" w14:textId="77777777" w:rsidR="00DC7146" w:rsidRPr="00261857" w:rsidRDefault="00DC7146" w:rsidP="00DC7146">
            <w:pPr>
              <w:jc w:val="center"/>
              <w:rPr>
                <w:rFonts w:eastAsia="Times New Roman" w:cs="Times New Roman"/>
                <w:b/>
                <w:bCs/>
                <w:color w:val="000000"/>
                <w:sz w:val="20"/>
                <w:szCs w:val="20"/>
              </w:rPr>
            </w:pPr>
          </w:p>
        </w:tc>
        <w:tc>
          <w:tcPr>
            <w:tcW w:w="1214" w:type="dxa"/>
            <w:tcBorders>
              <w:top w:val="nil"/>
              <w:left w:val="nil"/>
              <w:bottom w:val="nil"/>
              <w:right w:val="nil"/>
            </w:tcBorders>
            <w:shd w:val="clear" w:color="auto" w:fill="auto"/>
            <w:noWrap/>
            <w:vAlign w:val="bottom"/>
            <w:hideMark/>
          </w:tcPr>
          <w:p w14:paraId="6915324B" w14:textId="4339CFD4" w:rsidR="00DC7146" w:rsidRPr="00261857" w:rsidRDefault="00DC7146" w:rsidP="00DC7146">
            <w:pPr>
              <w:jc w:val="center"/>
              <w:rPr>
                <w:rFonts w:eastAsia="Times New Roman" w:cs="Times New Roman"/>
                <w:color w:val="000000"/>
                <w:sz w:val="20"/>
                <w:szCs w:val="20"/>
              </w:rPr>
            </w:pPr>
            <w:r>
              <w:rPr>
                <w:color w:val="000000"/>
                <w:sz w:val="20"/>
                <w:szCs w:val="20"/>
              </w:rPr>
              <w:t>(0.081)</w:t>
            </w:r>
          </w:p>
        </w:tc>
        <w:tc>
          <w:tcPr>
            <w:tcW w:w="1213" w:type="dxa"/>
            <w:tcBorders>
              <w:top w:val="nil"/>
              <w:left w:val="nil"/>
              <w:bottom w:val="nil"/>
              <w:right w:val="nil"/>
            </w:tcBorders>
            <w:shd w:val="clear" w:color="auto" w:fill="auto"/>
            <w:noWrap/>
            <w:vAlign w:val="bottom"/>
            <w:hideMark/>
          </w:tcPr>
          <w:p w14:paraId="6D374D25" w14:textId="000ADBE0" w:rsidR="00DC7146" w:rsidRPr="00261857" w:rsidRDefault="00DC7146" w:rsidP="00DC7146">
            <w:pPr>
              <w:jc w:val="center"/>
              <w:rPr>
                <w:rFonts w:eastAsia="Times New Roman" w:cs="Times New Roman"/>
                <w:color w:val="000000"/>
                <w:sz w:val="20"/>
                <w:szCs w:val="20"/>
              </w:rPr>
            </w:pPr>
            <w:r>
              <w:rPr>
                <w:color w:val="000000"/>
                <w:sz w:val="20"/>
                <w:szCs w:val="20"/>
              </w:rPr>
              <w:t>(0.081)</w:t>
            </w:r>
          </w:p>
        </w:tc>
        <w:tc>
          <w:tcPr>
            <w:tcW w:w="1213" w:type="dxa"/>
            <w:tcBorders>
              <w:top w:val="nil"/>
              <w:left w:val="nil"/>
              <w:bottom w:val="nil"/>
              <w:right w:val="nil"/>
            </w:tcBorders>
            <w:shd w:val="clear" w:color="auto" w:fill="auto"/>
            <w:noWrap/>
            <w:vAlign w:val="bottom"/>
            <w:hideMark/>
          </w:tcPr>
          <w:p w14:paraId="7D9785D7" w14:textId="484F3AA1" w:rsidR="00DC7146" w:rsidRPr="00261857" w:rsidRDefault="00DC7146" w:rsidP="00DC7146">
            <w:pPr>
              <w:jc w:val="center"/>
              <w:rPr>
                <w:rFonts w:eastAsia="Times New Roman" w:cs="Times New Roman"/>
                <w:color w:val="000000"/>
                <w:sz w:val="20"/>
                <w:szCs w:val="20"/>
              </w:rPr>
            </w:pPr>
            <w:r>
              <w:rPr>
                <w:color w:val="000000"/>
                <w:sz w:val="20"/>
                <w:szCs w:val="20"/>
              </w:rPr>
              <w:t>(0.081)</w:t>
            </w:r>
          </w:p>
        </w:tc>
        <w:tc>
          <w:tcPr>
            <w:tcW w:w="1166" w:type="dxa"/>
            <w:tcBorders>
              <w:top w:val="nil"/>
              <w:left w:val="nil"/>
              <w:bottom w:val="nil"/>
              <w:right w:val="nil"/>
            </w:tcBorders>
            <w:shd w:val="clear" w:color="auto" w:fill="auto"/>
            <w:noWrap/>
            <w:vAlign w:val="bottom"/>
            <w:hideMark/>
          </w:tcPr>
          <w:p w14:paraId="38F67D9F" w14:textId="001AB3A3" w:rsidR="00DC7146" w:rsidRPr="00261857" w:rsidRDefault="00DC7146" w:rsidP="00DC7146">
            <w:pPr>
              <w:jc w:val="center"/>
              <w:rPr>
                <w:rFonts w:eastAsia="Times New Roman" w:cs="Times New Roman"/>
                <w:color w:val="000000"/>
                <w:sz w:val="20"/>
                <w:szCs w:val="20"/>
              </w:rPr>
            </w:pPr>
            <w:r>
              <w:rPr>
                <w:color w:val="000000"/>
                <w:sz w:val="20"/>
                <w:szCs w:val="20"/>
              </w:rPr>
              <w:t>(0.104)</w:t>
            </w:r>
          </w:p>
        </w:tc>
        <w:tc>
          <w:tcPr>
            <w:tcW w:w="1166" w:type="dxa"/>
            <w:tcBorders>
              <w:top w:val="nil"/>
              <w:left w:val="nil"/>
              <w:bottom w:val="nil"/>
              <w:right w:val="nil"/>
            </w:tcBorders>
            <w:shd w:val="clear" w:color="auto" w:fill="auto"/>
            <w:noWrap/>
            <w:vAlign w:val="bottom"/>
            <w:hideMark/>
          </w:tcPr>
          <w:p w14:paraId="633E019E" w14:textId="53E03332" w:rsidR="00DC7146" w:rsidRPr="00261857" w:rsidRDefault="00DC7146" w:rsidP="00DC7146">
            <w:pPr>
              <w:jc w:val="center"/>
              <w:rPr>
                <w:rFonts w:eastAsia="Times New Roman" w:cs="Times New Roman"/>
                <w:color w:val="000000"/>
                <w:sz w:val="20"/>
                <w:szCs w:val="20"/>
              </w:rPr>
            </w:pPr>
            <w:r>
              <w:rPr>
                <w:color w:val="000000"/>
                <w:sz w:val="20"/>
                <w:szCs w:val="20"/>
              </w:rPr>
              <w:t>(0.104)</w:t>
            </w:r>
          </w:p>
        </w:tc>
        <w:tc>
          <w:tcPr>
            <w:tcW w:w="1166" w:type="dxa"/>
            <w:tcBorders>
              <w:top w:val="nil"/>
              <w:left w:val="nil"/>
              <w:bottom w:val="nil"/>
              <w:right w:val="nil"/>
            </w:tcBorders>
            <w:shd w:val="clear" w:color="auto" w:fill="auto"/>
            <w:noWrap/>
            <w:vAlign w:val="bottom"/>
            <w:hideMark/>
          </w:tcPr>
          <w:p w14:paraId="5CD107D4" w14:textId="65AB69F6" w:rsidR="00DC7146" w:rsidRPr="00261857" w:rsidRDefault="00DC7146" w:rsidP="00DC7146">
            <w:pPr>
              <w:jc w:val="center"/>
              <w:rPr>
                <w:rFonts w:eastAsia="Times New Roman" w:cs="Times New Roman"/>
                <w:color w:val="000000"/>
                <w:sz w:val="20"/>
                <w:szCs w:val="20"/>
              </w:rPr>
            </w:pPr>
            <w:r>
              <w:rPr>
                <w:color w:val="000000"/>
                <w:sz w:val="20"/>
                <w:szCs w:val="20"/>
              </w:rPr>
              <w:t>(0.104)</w:t>
            </w:r>
          </w:p>
        </w:tc>
      </w:tr>
      <w:tr w:rsidR="00DC7146" w:rsidRPr="00261857" w14:paraId="2F171305" w14:textId="77777777" w:rsidTr="00DC7146">
        <w:trPr>
          <w:trHeight w:val="255"/>
        </w:trPr>
        <w:tc>
          <w:tcPr>
            <w:tcW w:w="1920" w:type="dxa"/>
            <w:tcBorders>
              <w:top w:val="nil"/>
              <w:left w:val="nil"/>
              <w:bottom w:val="nil"/>
              <w:right w:val="nil"/>
            </w:tcBorders>
            <w:shd w:val="clear" w:color="auto" w:fill="auto"/>
            <w:noWrap/>
            <w:vAlign w:val="bottom"/>
            <w:hideMark/>
          </w:tcPr>
          <w:p w14:paraId="058243D6" w14:textId="190EB963" w:rsidR="00DC7146" w:rsidRPr="00261857" w:rsidRDefault="00DC7146" w:rsidP="00DC7146">
            <w:pPr>
              <w:rPr>
                <w:rFonts w:eastAsia="Times New Roman" w:cs="Times New Roman"/>
                <w:color w:val="000000"/>
                <w:sz w:val="20"/>
                <w:szCs w:val="20"/>
              </w:rPr>
            </w:pPr>
            <w:r>
              <w:rPr>
                <w:color w:val="000000"/>
                <w:sz w:val="20"/>
                <w:szCs w:val="20"/>
              </w:rPr>
              <w:t>Ever-DL</w:t>
            </w:r>
          </w:p>
        </w:tc>
        <w:tc>
          <w:tcPr>
            <w:tcW w:w="1214" w:type="dxa"/>
            <w:tcBorders>
              <w:top w:val="nil"/>
              <w:left w:val="nil"/>
              <w:bottom w:val="nil"/>
              <w:right w:val="nil"/>
            </w:tcBorders>
            <w:shd w:val="clear" w:color="auto" w:fill="auto"/>
            <w:noWrap/>
            <w:vAlign w:val="bottom"/>
            <w:hideMark/>
          </w:tcPr>
          <w:p w14:paraId="7171291A" w14:textId="1F8FA495" w:rsidR="00DC7146" w:rsidRPr="00261857" w:rsidRDefault="00DC7146" w:rsidP="00DC7146">
            <w:pPr>
              <w:jc w:val="center"/>
              <w:rPr>
                <w:rFonts w:eastAsia="Times New Roman" w:cs="Times New Roman"/>
                <w:color w:val="000000"/>
                <w:sz w:val="20"/>
                <w:szCs w:val="20"/>
              </w:rPr>
            </w:pPr>
            <w:r>
              <w:rPr>
                <w:color w:val="000000"/>
                <w:sz w:val="20"/>
                <w:szCs w:val="20"/>
              </w:rPr>
              <w:t>-3.067***</w:t>
            </w:r>
          </w:p>
        </w:tc>
        <w:tc>
          <w:tcPr>
            <w:tcW w:w="1213" w:type="dxa"/>
            <w:tcBorders>
              <w:top w:val="nil"/>
              <w:left w:val="nil"/>
              <w:bottom w:val="nil"/>
              <w:right w:val="nil"/>
            </w:tcBorders>
            <w:shd w:val="clear" w:color="auto" w:fill="auto"/>
            <w:noWrap/>
            <w:vAlign w:val="bottom"/>
            <w:hideMark/>
          </w:tcPr>
          <w:p w14:paraId="1D42CBC6" w14:textId="5D60F156" w:rsidR="00DC7146" w:rsidRPr="00261857" w:rsidRDefault="00DC7146" w:rsidP="00DC7146">
            <w:pPr>
              <w:jc w:val="center"/>
              <w:rPr>
                <w:rFonts w:eastAsia="Times New Roman" w:cs="Times New Roman"/>
                <w:color w:val="000000"/>
                <w:sz w:val="20"/>
                <w:szCs w:val="20"/>
              </w:rPr>
            </w:pPr>
            <w:r>
              <w:rPr>
                <w:color w:val="000000"/>
                <w:sz w:val="20"/>
                <w:szCs w:val="20"/>
              </w:rPr>
              <w:t>-0.414</w:t>
            </w:r>
          </w:p>
        </w:tc>
        <w:tc>
          <w:tcPr>
            <w:tcW w:w="1213" w:type="dxa"/>
            <w:tcBorders>
              <w:top w:val="nil"/>
              <w:left w:val="nil"/>
              <w:bottom w:val="nil"/>
              <w:right w:val="nil"/>
            </w:tcBorders>
            <w:shd w:val="clear" w:color="auto" w:fill="auto"/>
            <w:noWrap/>
            <w:vAlign w:val="bottom"/>
            <w:hideMark/>
          </w:tcPr>
          <w:p w14:paraId="26903230" w14:textId="79CC3EEA" w:rsidR="00DC7146" w:rsidRPr="00261857" w:rsidRDefault="00DC7146" w:rsidP="00DC7146">
            <w:pPr>
              <w:jc w:val="center"/>
              <w:rPr>
                <w:rFonts w:eastAsia="Times New Roman" w:cs="Times New Roman"/>
                <w:color w:val="000000"/>
                <w:sz w:val="20"/>
                <w:szCs w:val="20"/>
              </w:rPr>
            </w:pPr>
            <w:r>
              <w:rPr>
                <w:color w:val="000000"/>
                <w:sz w:val="20"/>
                <w:szCs w:val="20"/>
              </w:rPr>
              <w:t>-0.328</w:t>
            </w:r>
          </w:p>
        </w:tc>
        <w:tc>
          <w:tcPr>
            <w:tcW w:w="1166" w:type="dxa"/>
            <w:tcBorders>
              <w:top w:val="nil"/>
              <w:left w:val="nil"/>
              <w:bottom w:val="nil"/>
              <w:right w:val="nil"/>
            </w:tcBorders>
            <w:shd w:val="clear" w:color="auto" w:fill="auto"/>
            <w:noWrap/>
            <w:vAlign w:val="bottom"/>
            <w:hideMark/>
          </w:tcPr>
          <w:p w14:paraId="04E22B51" w14:textId="4BA6BF31" w:rsidR="00DC7146" w:rsidRPr="00261857" w:rsidRDefault="00DC7146" w:rsidP="00DC7146">
            <w:pPr>
              <w:jc w:val="center"/>
              <w:rPr>
                <w:rFonts w:eastAsia="Times New Roman" w:cs="Times New Roman"/>
                <w:color w:val="000000"/>
                <w:sz w:val="20"/>
                <w:szCs w:val="20"/>
              </w:rPr>
            </w:pPr>
            <w:r>
              <w:rPr>
                <w:color w:val="000000"/>
                <w:sz w:val="20"/>
                <w:szCs w:val="20"/>
              </w:rPr>
              <w:t>-8.384***</w:t>
            </w:r>
          </w:p>
        </w:tc>
        <w:tc>
          <w:tcPr>
            <w:tcW w:w="1166" w:type="dxa"/>
            <w:tcBorders>
              <w:top w:val="nil"/>
              <w:left w:val="nil"/>
              <w:bottom w:val="nil"/>
              <w:right w:val="nil"/>
            </w:tcBorders>
            <w:shd w:val="clear" w:color="auto" w:fill="auto"/>
            <w:noWrap/>
            <w:vAlign w:val="bottom"/>
            <w:hideMark/>
          </w:tcPr>
          <w:p w14:paraId="73A467AA" w14:textId="71F551A7" w:rsidR="00DC7146" w:rsidRPr="00261857" w:rsidRDefault="00DC7146" w:rsidP="00DC7146">
            <w:pPr>
              <w:jc w:val="center"/>
              <w:rPr>
                <w:rFonts w:eastAsia="Times New Roman" w:cs="Times New Roman"/>
                <w:color w:val="000000"/>
                <w:sz w:val="20"/>
                <w:szCs w:val="20"/>
              </w:rPr>
            </w:pPr>
            <w:r>
              <w:rPr>
                <w:color w:val="000000"/>
                <w:sz w:val="20"/>
                <w:szCs w:val="20"/>
              </w:rPr>
              <w:t>-3.790***</w:t>
            </w:r>
          </w:p>
        </w:tc>
        <w:tc>
          <w:tcPr>
            <w:tcW w:w="1166" w:type="dxa"/>
            <w:tcBorders>
              <w:top w:val="nil"/>
              <w:left w:val="nil"/>
              <w:bottom w:val="nil"/>
              <w:right w:val="nil"/>
            </w:tcBorders>
            <w:shd w:val="clear" w:color="auto" w:fill="auto"/>
            <w:noWrap/>
            <w:vAlign w:val="bottom"/>
            <w:hideMark/>
          </w:tcPr>
          <w:p w14:paraId="0529C92A" w14:textId="2220E5A0" w:rsidR="00DC7146" w:rsidRPr="00261857" w:rsidRDefault="00DC7146" w:rsidP="00DC7146">
            <w:pPr>
              <w:jc w:val="center"/>
              <w:rPr>
                <w:rFonts w:eastAsia="Times New Roman" w:cs="Times New Roman"/>
                <w:color w:val="000000"/>
                <w:sz w:val="20"/>
                <w:szCs w:val="20"/>
              </w:rPr>
            </w:pPr>
            <w:r>
              <w:rPr>
                <w:color w:val="000000"/>
                <w:sz w:val="20"/>
                <w:szCs w:val="20"/>
              </w:rPr>
              <w:t>-3.713***</w:t>
            </w:r>
          </w:p>
        </w:tc>
      </w:tr>
      <w:tr w:rsidR="00DC7146" w:rsidRPr="00261857" w14:paraId="710DDC6A" w14:textId="77777777" w:rsidTr="00DC7146">
        <w:trPr>
          <w:trHeight w:val="255"/>
        </w:trPr>
        <w:tc>
          <w:tcPr>
            <w:tcW w:w="1920" w:type="dxa"/>
            <w:tcBorders>
              <w:top w:val="nil"/>
              <w:left w:val="nil"/>
              <w:bottom w:val="nil"/>
              <w:right w:val="nil"/>
            </w:tcBorders>
            <w:shd w:val="clear" w:color="auto" w:fill="auto"/>
            <w:noWrap/>
            <w:vAlign w:val="bottom"/>
            <w:hideMark/>
          </w:tcPr>
          <w:p w14:paraId="23417A97"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2208A92E" w14:textId="5C7EE3C9" w:rsidR="00DC7146" w:rsidRPr="00261857" w:rsidRDefault="00DC7146" w:rsidP="00DC7146">
            <w:pPr>
              <w:jc w:val="center"/>
              <w:rPr>
                <w:rFonts w:eastAsia="Times New Roman" w:cs="Times New Roman"/>
                <w:color w:val="000000"/>
                <w:sz w:val="20"/>
                <w:szCs w:val="20"/>
              </w:rPr>
            </w:pPr>
            <w:r>
              <w:rPr>
                <w:color w:val="000000"/>
                <w:sz w:val="20"/>
                <w:szCs w:val="20"/>
              </w:rPr>
              <w:t>(0.574)</w:t>
            </w:r>
          </w:p>
        </w:tc>
        <w:tc>
          <w:tcPr>
            <w:tcW w:w="1213" w:type="dxa"/>
            <w:tcBorders>
              <w:top w:val="nil"/>
              <w:left w:val="nil"/>
              <w:bottom w:val="nil"/>
              <w:right w:val="nil"/>
            </w:tcBorders>
            <w:shd w:val="clear" w:color="auto" w:fill="auto"/>
            <w:noWrap/>
            <w:vAlign w:val="bottom"/>
            <w:hideMark/>
          </w:tcPr>
          <w:p w14:paraId="414F17A3" w14:textId="04416310" w:rsidR="00DC7146" w:rsidRPr="00261857" w:rsidRDefault="00DC7146" w:rsidP="00DC7146">
            <w:pPr>
              <w:jc w:val="center"/>
              <w:rPr>
                <w:rFonts w:eastAsia="Times New Roman" w:cs="Times New Roman"/>
                <w:color w:val="000000"/>
                <w:sz w:val="20"/>
                <w:szCs w:val="20"/>
              </w:rPr>
            </w:pPr>
            <w:r>
              <w:rPr>
                <w:color w:val="000000"/>
                <w:sz w:val="20"/>
                <w:szCs w:val="20"/>
              </w:rPr>
              <w:t>(0.569)</w:t>
            </w:r>
          </w:p>
        </w:tc>
        <w:tc>
          <w:tcPr>
            <w:tcW w:w="1213" w:type="dxa"/>
            <w:tcBorders>
              <w:top w:val="nil"/>
              <w:left w:val="nil"/>
              <w:bottom w:val="nil"/>
              <w:right w:val="nil"/>
            </w:tcBorders>
            <w:shd w:val="clear" w:color="auto" w:fill="auto"/>
            <w:noWrap/>
            <w:vAlign w:val="bottom"/>
            <w:hideMark/>
          </w:tcPr>
          <w:p w14:paraId="124A9E76" w14:textId="29C8A0C3" w:rsidR="00DC7146" w:rsidRPr="00261857" w:rsidRDefault="00DC7146" w:rsidP="00DC7146">
            <w:pPr>
              <w:jc w:val="center"/>
              <w:rPr>
                <w:rFonts w:eastAsia="Times New Roman" w:cs="Times New Roman"/>
                <w:color w:val="000000"/>
                <w:sz w:val="20"/>
                <w:szCs w:val="20"/>
              </w:rPr>
            </w:pPr>
            <w:r>
              <w:rPr>
                <w:color w:val="000000"/>
                <w:sz w:val="20"/>
                <w:szCs w:val="20"/>
              </w:rPr>
              <w:t>(0.572)</w:t>
            </w:r>
          </w:p>
        </w:tc>
        <w:tc>
          <w:tcPr>
            <w:tcW w:w="1166" w:type="dxa"/>
            <w:tcBorders>
              <w:top w:val="nil"/>
              <w:left w:val="nil"/>
              <w:bottom w:val="nil"/>
              <w:right w:val="nil"/>
            </w:tcBorders>
            <w:shd w:val="clear" w:color="auto" w:fill="auto"/>
            <w:noWrap/>
            <w:vAlign w:val="bottom"/>
            <w:hideMark/>
          </w:tcPr>
          <w:p w14:paraId="53ADCAF7" w14:textId="0049025C" w:rsidR="00DC7146" w:rsidRPr="00261857" w:rsidRDefault="00DC7146" w:rsidP="00DC7146">
            <w:pPr>
              <w:jc w:val="center"/>
              <w:rPr>
                <w:rFonts w:eastAsia="Times New Roman" w:cs="Times New Roman"/>
                <w:color w:val="000000"/>
                <w:sz w:val="20"/>
                <w:szCs w:val="20"/>
              </w:rPr>
            </w:pPr>
            <w:r>
              <w:rPr>
                <w:color w:val="000000"/>
                <w:sz w:val="20"/>
                <w:szCs w:val="20"/>
              </w:rPr>
              <w:t>(0.594)</w:t>
            </w:r>
          </w:p>
        </w:tc>
        <w:tc>
          <w:tcPr>
            <w:tcW w:w="1166" w:type="dxa"/>
            <w:tcBorders>
              <w:top w:val="nil"/>
              <w:left w:val="nil"/>
              <w:bottom w:val="nil"/>
              <w:right w:val="nil"/>
            </w:tcBorders>
            <w:shd w:val="clear" w:color="auto" w:fill="auto"/>
            <w:noWrap/>
            <w:vAlign w:val="bottom"/>
            <w:hideMark/>
          </w:tcPr>
          <w:p w14:paraId="4D50451D" w14:textId="7E87784C" w:rsidR="00DC7146" w:rsidRPr="00261857" w:rsidRDefault="00DC7146" w:rsidP="00DC7146">
            <w:pPr>
              <w:jc w:val="center"/>
              <w:rPr>
                <w:rFonts w:eastAsia="Times New Roman" w:cs="Times New Roman"/>
                <w:color w:val="000000"/>
                <w:sz w:val="20"/>
                <w:szCs w:val="20"/>
              </w:rPr>
            </w:pPr>
            <w:r>
              <w:rPr>
                <w:color w:val="000000"/>
                <w:sz w:val="20"/>
                <w:szCs w:val="20"/>
              </w:rPr>
              <w:t>(0.603)</w:t>
            </w:r>
          </w:p>
        </w:tc>
        <w:tc>
          <w:tcPr>
            <w:tcW w:w="1166" w:type="dxa"/>
            <w:tcBorders>
              <w:top w:val="nil"/>
              <w:left w:val="nil"/>
              <w:bottom w:val="nil"/>
              <w:right w:val="nil"/>
            </w:tcBorders>
            <w:shd w:val="clear" w:color="auto" w:fill="auto"/>
            <w:noWrap/>
            <w:vAlign w:val="bottom"/>
            <w:hideMark/>
          </w:tcPr>
          <w:p w14:paraId="1B784C25" w14:textId="730E2E8F" w:rsidR="00DC7146" w:rsidRPr="00261857" w:rsidRDefault="00DC7146" w:rsidP="00DC7146">
            <w:pPr>
              <w:jc w:val="center"/>
              <w:rPr>
                <w:rFonts w:eastAsia="Times New Roman" w:cs="Times New Roman"/>
                <w:color w:val="000000"/>
                <w:sz w:val="20"/>
                <w:szCs w:val="20"/>
              </w:rPr>
            </w:pPr>
            <w:r>
              <w:rPr>
                <w:color w:val="000000"/>
                <w:sz w:val="20"/>
                <w:szCs w:val="20"/>
              </w:rPr>
              <w:t>(0.597)</w:t>
            </w:r>
          </w:p>
        </w:tc>
      </w:tr>
      <w:tr w:rsidR="00DC7146" w:rsidRPr="00261857" w14:paraId="26962E7C" w14:textId="77777777" w:rsidTr="00DC7146">
        <w:trPr>
          <w:trHeight w:val="255"/>
        </w:trPr>
        <w:tc>
          <w:tcPr>
            <w:tcW w:w="1920" w:type="dxa"/>
            <w:tcBorders>
              <w:top w:val="nil"/>
              <w:left w:val="nil"/>
              <w:bottom w:val="nil"/>
              <w:right w:val="nil"/>
            </w:tcBorders>
            <w:shd w:val="clear" w:color="auto" w:fill="auto"/>
            <w:noWrap/>
            <w:vAlign w:val="bottom"/>
            <w:hideMark/>
          </w:tcPr>
          <w:p w14:paraId="3BCDB875" w14:textId="2EB3CF5F" w:rsidR="00DC7146" w:rsidRPr="00261857" w:rsidRDefault="00DC7146" w:rsidP="00DC7146">
            <w:pPr>
              <w:rPr>
                <w:rFonts w:eastAsia="Times New Roman" w:cs="Times New Roman"/>
                <w:color w:val="000000"/>
                <w:sz w:val="20"/>
                <w:szCs w:val="20"/>
              </w:rPr>
            </w:pPr>
            <w:r>
              <w:rPr>
                <w:color w:val="000000"/>
                <w:sz w:val="20"/>
                <w:szCs w:val="20"/>
              </w:rPr>
              <w:t>Female</w:t>
            </w:r>
          </w:p>
        </w:tc>
        <w:tc>
          <w:tcPr>
            <w:tcW w:w="1214" w:type="dxa"/>
            <w:tcBorders>
              <w:top w:val="nil"/>
              <w:left w:val="nil"/>
              <w:bottom w:val="nil"/>
              <w:right w:val="nil"/>
            </w:tcBorders>
            <w:shd w:val="clear" w:color="auto" w:fill="auto"/>
            <w:noWrap/>
            <w:vAlign w:val="bottom"/>
            <w:hideMark/>
          </w:tcPr>
          <w:p w14:paraId="5E2A3459" w14:textId="77777777" w:rsidR="00DC7146" w:rsidRPr="00261857" w:rsidRDefault="00DC7146" w:rsidP="00DC7146">
            <w:pPr>
              <w:rPr>
                <w:rFonts w:eastAsia="Times New Roman" w:cs="Times New Roman"/>
                <w:color w:val="000000"/>
                <w:sz w:val="20"/>
                <w:szCs w:val="20"/>
              </w:rPr>
            </w:pPr>
          </w:p>
        </w:tc>
        <w:tc>
          <w:tcPr>
            <w:tcW w:w="1213" w:type="dxa"/>
            <w:tcBorders>
              <w:top w:val="nil"/>
              <w:left w:val="nil"/>
              <w:bottom w:val="nil"/>
              <w:right w:val="nil"/>
            </w:tcBorders>
            <w:shd w:val="clear" w:color="auto" w:fill="auto"/>
            <w:noWrap/>
            <w:vAlign w:val="bottom"/>
            <w:hideMark/>
          </w:tcPr>
          <w:p w14:paraId="14271DFD" w14:textId="55F681B4" w:rsidR="00DC7146" w:rsidRPr="00261857" w:rsidRDefault="00DC7146" w:rsidP="00DC7146">
            <w:pPr>
              <w:jc w:val="center"/>
              <w:rPr>
                <w:rFonts w:eastAsia="Times New Roman" w:cs="Times New Roman"/>
                <w:color w:val="000000"/>
                <w:sz w:val="20"/>
                <w:szCs w:val="20"/>
              </w:rPr>
            </w:pPr>
            <w:r>
              <w:rPr>
                <w:color w:val="000000"/>
                <w:sz w:val="20"/>
                <w:szCs w:val="20"/>
              </w:rPr>
              <w:t>-1.634***</w:t>
            </w:r>
          </w:p>
        </w:tc>
        <w:tc>
          <w:tcPr>
            <w:tcW w:w="1213" w:type="dxa"/>
            <w:tcBorders>
              <w:top w:val="nil"/>
              <w:left w:val="nil"/>
              <w:bottom w:val="nil"/>
              <w:right w:val="nil"/>
            </w:tcBorders>
            <w:shd w:val="clear" w:color="auto" w:fill="auto"/>
            <w:noWrap/>
            <w:vAlign w:val="bottom"/>
            <w:hideMark/>
          </w:tcPr>
          <w:p w14:paraId="3BB63CB7" w14:textId="1FD7F461" w:rsidR="00DC7146" w:rsidRPr="00261857" w:rsidRDefault="00DC7146" w:rsidP="00DC7146">
            <w:pPr>
              <w:jc w:val="center"/>
              <w:rPr>
                <w:rFonts w:eastAsia="Times New Roman" w:cs="Times New Roman"/>
                <w:color w:val="000000"/>
                <w:sz w:val="20"/>
                <w:szCs w:val="20"/>
              </w:rPr>
            </w:pPr>
            <w:r>
              <w:rPr>
                <w:color w:val="000000"/>
                <w:sz w:val="20"/>
                <w:szCs w:val="20"/>
              </w:rPr>
              <w:t>-1.627***</w:t>
            </w:r>
          </w:p>
        </w:tc>
        <w:tc>
          <w:tcPr>
            <w:tcW w:w="1166" w:type="dxa"/>
            <w:tcBorders>
              <w:top w:val="nil"/>
              <w:left w:val="nil"/>
              <w:bottom w:val="nil"/>
              <w:right w:val="nil"/>
            </w:tcBorders>
            <w:shd w:val="clear" w:color="auto" w:fill="auto"/>
            <w:noWrap/>
            <w:vAlign w:val="bottom"/>
            <w:hideMark/>
          </w:tcPr>
          <w:p w14:paraId="59440F19"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23040B06" w14:textId="7D707E13" w:rsidR="00DC7146" w:rsidRPr="00261857" w:rsidRDefault="00DC7146" w:rsidP="00DC7146">
            <w:pPr>
              <w:jc w:val="center"/>
              <w:rPr>
                <w:rFonts w:eastAsia="Times New Roman" w:cs="Times New Roman"/>
                <w:color w:val="000000"/>
                <w:sz w:val="20"/>
                <w:szCs w:val="20"/>
              </w:rPr>
            </w:pPr>
            <w:r>
              <w:rPr>
                <w:color w:val="000000"/>
                <w:sz w:val="20"/>
                <w:szCs w:val="20"/>
              </w:rPr>
              <w:t>1.054***</w:t>
            </w:r>
          </w:p>
        </w:tc>
        <w:tc>
          <w:tcPr>
            <w:tcW w:w="1166" w:type="dxa"/>
            <w:tcBorders>
              <w:top w:val="nil"/>
              <w:left w:val="nil"/>
              <w:bottom w:val="nil"/>
              <w:right w:val="nil"/>
            </w:tcBorders>
            <w:shd w:val="clear" w:color="auto" w:fill="auto"/>
            <w:noWrap/>
            <w:vAlign w:val="bottom"/>
            <w:hideMark/>
          </w:tcPr>
          <w:p w14:paraId="6D27AFF5" w14:textId="58614989" w:rsidR="00DC7146" w:rsidRPr="00261857" w:rsidRDefault="00DC7146" w:rsidP="00DC7146">
            <w:pPr>
              <w:jc w:val="center"/>
              <w:rPr>
                <w:rFonts w:eastAsia="Times New Roman" w:cs="Times New Roman"/>
                <w:color w:val="000000"/>
                <w:sz w:val="20"/>
                <w:szCs w:val="20"/>
              </w:rPr>
            </w:pPr>
            <w:r>
              <w:rPr>
                <w:color w:val="000000"/>
                <w:sz w:val="20"/>
                <w:szCs w:val="20"/>
              </w:rPr>
              <w:t>1.060***</w:t>
            </w:r>
          </w:p>
        </w:tc>
      </w:tr>
      <w:tr w:rsidR="00DC7146" w:rsidRPr="00261857" w14:paraId="4D64B37B" w14:textId="77777777" w:rsidTr="00DC7146">
        <w:trPr>
          <w:trHeight w:val="255"/>
        </w:trPr>
        <w:tc>
          <w:tcPr>
            <w:tcW w:w="1920" w:type="dxa"/>
            <w:tcBorders>
              <w:top w:val="nil"/>
              <w:left w:val="nil"/>
              <w:bottom w:val="nil"/>
              <w:right w:val="nil"/>
            </w:tcBorders>
            <w:shd w:val="clear" w:color="auto" w:fill="auto"/>
            <w:noWrap/>
            <w:vAlign w:val="bottom"/>
            <w:hideMark/>
          </w:tcPr>
          <w:p w14:paraId="6A8214D9"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1B66C5D1" w14:textId="77777777" w:rsidR="00DC7146" w:rsidRPr="00261857" w:rsidRDefault="00DC7146" w:rsidP="00DC7146">
            <w:pP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50BF9580" w14:textId="19399D1D" w:rsidR="00DC7146" w:rsidRPr="00261857" w:rsidRDefault="00DC7146" w:rsidP="00DC7146">
            <w:pPr>
              <w:jc w:val="center"/>
              <w:rPr>
                <w:rFonts w:eastAsia="Times New Roman" w:cs="Times New Roman"/>
                <w:color w:val="000000"/>
                <w:sz w:val="20"/>
                <w:szCs w:val="20"/>
              </w:rPr>
            </w:pPr>
            <w:r>
              <w:rPr>
                <w:color w:val="000000"/>
                <w:sz w:val="20"/>
                <w:szCs w:val="20"/>
              </w:rPr>
              <w:t>(0.151)</w:t>
            </w:r>
          </w:p>
        </w:tc>
        <w:tc>
          <w:tcPr>
            <w:tcW w:w="1213" w:type="dxa"/>
            <w:tcBorders>
              <w:top w:val="nil"/>
              <w:left w:val="nil"/>
              <w:bottom w:val="nil"/>
              <w:right w:val="nil"/>
            </w:tcBorders>
            <w:shd w:val="clear" w:color="auto" w:fill="auto"/>
            <w:noWrap/>
            <w:vAlign w:val="bottom"/>
            <w:hideMark/>
          </w:tcPr>
          <w:p w14:paraId="60D740A4" w14:textId="73E971B7" w:rsidR="00DC7146" w:rsidRPr="00261857" w:rsidRDefault="00DC7146" w:rsidP="00DC7146">
            <w:pPr>
              <w:jc w:val="center"/>
              <w:rPr>
                <w:rFonts w:eastAsia="Times New Roman" w:cs="Times New Roman"/>
                <w:color w:val="000000"/>
                <w:sz w:val="20"/>
                <w:szCs w:val="20"/>
              </w:rPr>
            </w:pPr>
            <w:r>
              <w:rPr>
                <w:color w:val="000000"/>
                <w:sz w:val="20"/>
                <w:szCs w:val="20"/>
              </w:rPr>
              <w:t>(0.152)</w:t>
            </w:r>
          </w:p>
        </w:tc>
        <w:tc>
          <w:tcPr>
            <w:tcW w:w="1166" w:type="dxa"/>
            <w:tcBorders>
              <w:top w:val="nil"/>
              <w:left w:val="nil"/>
              <w:bottom w:val="nil"/>
              <w:right w:val="nil"/>
            </w:tcBorders>
            <w:shd w:val="clear" w:color="auto" w:fill="auto"/>
            <w:noWrap/>
            <w:vAlign w:val="bottom"/>
            <w:hideMark/>
          </w:tcPr>
          <w:p w14:paraId="3CD7B80F"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ABCE12E" w14:textId="1EC68C17" w:rsidR="00DC7146" w:rsidRPr="00261857" w:rsidRDefault="00DC7146" w:rsidP="00DC7146">
            <w:pPr>
              <w:jc w:val="center"/>
              <w:rPr>
                <w:rFonts w:eastAsia="Times New Roman" w:cs="Times New Roman"/>
                <w:color w:val="000000"/>
                <w:sz w:val="20"/>
                <w:szCs w:val="20"/>
              </w:rPr>
            </w:pPr>
            <w:r>
              <w:rPr>
                <w:color w:val="000000"/>
                <w:sz w:val="20"/>
                <w:szCs w:val="20"/>
              </w:rPr>
              <w:t>(0.171)</w:t>
            </w:r>
          </w:p>
        </w:tc>
        <w:tc>
          <w:tcPr>
            <w:tcW w:w="1166" w:type="dxa"/>
            <w:tcBorders>
              <w:top w:val="nil"/>
              <w:left w:val="nil"/>
              <w:bottom w:val="nil"/>
              <w:right w:val="nil"/>
            </w:tcBorders>
            <w:shd w:val="clear" w:color="auto" w:fill="auto"/>
            <w:noWrap/>
            <w:vAlign w:val="bottom"/>
            <w:hideMark/>
          </w:tcPr>
          <w:p w14:paraId="7B17715B" w14:textId="0B1B1F49" w:rsidR="00DC7146" w:rsidRPr="00261857" w:rsidRDefault="00DC7146" w:rsidP="00DC7146">
            <w:pPr>
              <w:jc w:val="center"/>
              <w:rPr>
                <w:rFonts w:eastAsia="Times New Roman" w:cs="Times New Roman"/>
                <w:color w:val="000000"/>
                <w:sz w:val="20"/>
                <w:szCs w:val="20"/>
              </w:rPr>
            </w:pPr>
            <w:r>
              <w:rPr>
                <w:color w:val="000000"/>
                <w:sz w:val="20"/>
                <w:szCs w:val="20"/>
              </w:rPr>
              <w:t>(0.172)</w:t>
            </w:r>
          </w:p>
        </w:tc>
      </w:tr>
      <w:tr w:rsidR="00DC7146" w:rsidRPr="00261857" w14:paraId="2120D975" w14:textId="77777777" w:rsidTr="00DC7146">
        <w:trPr>
          <w:trHeight w:val="255"/>
        </w:trPr>
        <w:tc>
          <w:tcPr>
            <w:tcW w:w="1920" w:type="dxa"/>
            <w:tcBorders>
              <w:top w:val="nil"/>
              <w:left w:val="nil"/>
              <w:bottom w:val="nil"/>
              <w:right w:val="nil"/>
            </w:tcBorders>
            <w:shd w:val="clear" w:color="auto" w:fill="auto"/>
            <w:noWrap/>
            <w:vAlign w:val="bottom"/>
            <w:hideMark/>
          </w:tcPr>
          <w:p w14:paraId="2B46669A" w14:textId="52BC86BB" w:rsidR="00DC7146" w:rsidRPr="00261857" w:rsidRDefault="00DC7146" w:rsidP="00DC7146">
            <w:pPr>
              <w:rPr>
                <w:rFonts w:eastAsia="Times New Roman" w:cs="Times New Roman"/>
                <w:color w:val="000000"/>
                <w:sz w:val="20"/>
                <w:szCs w:val="20"/>
              </w:rPr>
            </w:pPr>
            <w:r>
              <w:rPr>
                <w:color w:val="000000"/>
                <w:sz w:val="20"/>
                <w:szCs w:val="20"/>
              </w:rPr>
              <w:t>Ever-FRPL</w:t>
            </w:r>
          </w:p>
        </w:tc>
        <w:tc>
          <w:tcPr>
            <w:tcW w:w="1214" w:type="dxa"/>
            <w:tcBorders>
              <w:top w:val="nil"/>
              <w:left w:val="nil"/>
              <w:bottom w:val="nil"/>
              <w:right w:val="nil"/>
            </w:tcBorders>
            <w:shd w:val="clear" w:color="auto" w:fill="auto"/>
            <w:noWrap/>
            <w:vAlign w:val="bottom"/>
            <w:hideMark/>
          </w:tcPr>
          <w:p w14:paraId="46DAF185" w14:textId="77777777" w:rsidR="00DC7146" w:rsidRPr="00261857" w:rsidRDefault="00DC7146" w:rsidP="00DC7146">
            <w:pPr>
              <w:rPr>
                <w:rFonts w:eastAsia="Times New Roman" w:cs="Times New Roman"/>
                <w:color w:val="000000"/>
                <w:sz w:val="20"/>
                <w:szCs w:val="20"/>
              </w:rPr>
            </w:pPr>
          </w:p>
        </w:tc>
        <w:tc>
          <w:tcPr>
            <w:tcW w:w="1213" w:type="dxa"/>
            <w:tcBorders>
              <w:top w:val="nil"/>
              <w:left w:val="nil"/>
              <w:bottom w:val="nil"/>
              <w:right w:val="nil"/>
            </w:tcBorders>
            <w:shd w:val="clear" w:color="auto" w:fill="auto"/>
            <w:noWrap/>
            <w:vAlign w:val="bottom"/>
            <w:hideMark/>
          </w:tcPr>
          <w:p w14:paraId="58705168" w14:textId="2CB12CD5" w:rsidR="00DC7146" w:rsidRPr="00261857" w:rsidRDefault="00DC7146" w:rsidP="00DC7146">
            <w:pPr>
              <w:jc w:val="center"/>
              <w:rPr>
                <w:rFonts w:eastAsia="Times New Roman" w:cs="Times New Roman"/>
                <w:color w:val="000000"/>
                <w:sz w:val="20"/>
                <w:szCs w:val="20"/>
              </w:rPr>
            </w:pPr>
            <w:r>
              <w:rPr>
                <w:color w:val="000000"/>
                <w:sz w:val="20"/>
                <w:szCs w:val="20"/>
              </w:rPr>
              <w:t>-3.955***</w:t>
            </w:r>
          </w:p>
        </w:tc>
        <w:tc>
          <w:tcPr>
            <w:tcW w:w="1213" w:type="dxa"/>
            <w:tcBorders>
              <w:top w:val="nil"/>
              <w:left w:val="nil"/>
              <w:bottom w:val="nil"/>
              <w:right w:val="nil"/>
            </w:tcBorders>
            <w:shd w:val="clear" w:color="auto" w:fill="auto"/>
            <w:noWrap/>
            <w:vAlign w:val="bottom"/>
            <w:hideMark/>
          </w:tcPr>
          <w:p w14:paraId="67EFF7AB" w14:textId="541AE1F6" w:rsidR="00DC7146" w:rsidRPr="00261857" w:rsidRDefault="00DC7146" w:rsidP="00DC7146">
            <w:pPr>
              <w:jc w:val="center"/>
              <w:rPr>
                <w:rFonts w:eastAsia="Times New Roman" w:cs="Times New Roman"/>
                <w:color w:val="000000"/>
                <w:sz w:val="20"/>
                <w:szCs w:val="20"/>
              </w:rPr>
            </w:pPr>
            <w:r>
              <w:rPr>
                <w:color w:val="000000"/>
                <w:sz w:val="20"/>
                <w:szCs w:val="20"/>
              </w:rPr>
              <w:t>-3.843***</w:t>
            </w:r>
          </w:p>
        </w:tc>
        <w:tc>
          <w:tcPr>
            <w:tcW w:w="1166" w:type="dxa"/>
            <w:tcBorders>
              <w:top w:val="nil"/>
              <w:left w:val="nil"/>
              <w:bottom w:val="nil"/>
              <w:right w:val="nil"/>
            </w:tcBorders>
            <w:shd w:val="clear" w:color="auto" w:fill="auto"/>
            <w:noWrap/>
            <w:vAlign w:val="bottom"/>
            <w:hideMark/>
          </w:tcPr>
          <w:p w14:paraId="7BFD42BE"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DF67B3E" w14:textId="1D6C0818" w:rsidR="00DC7146" w:rsidRPr="00261857" w:rsidRDefault="00DC7146" w:rsidP="00DC7146">
            <w:pPr>
              <w:jc w:val="center"/>
              <w:rPr>
                <w:rFonts w:eastAsia="Times New Roman" w:cs="Times New Roman"/>
                <w:color w:val="000000"/>
                <w:sz w:val="20"/>
                <w:szCs w:val="20"/>
              </w:rPr>
            </w:pPr>
            <w:r>
              <w:rPr>
                <w:color w:val="000000"/>
                <w:sz w:val="20"/>
                <w:szCs w:val="20"/>
              </w:rPr>
              <w:t>-4.455***</w:t>
            </w:r>
          </w:p>
        </w:tc>
        <w:tc>
          <w:tcPr>
            <w:tcW w:w="1166" w:type="dxa"/>
            <w:tcBorders>
              <w:top w:val="nil"/>
              <w:left w:val="nil"/>
              <w:bottom w:val="nil"/>
              <w:right w:val="nil"/>
            </w:tcBorders>
            <w:shd w:val="clear" w:color="auto" w:fill="auto"/>
            <w:noWrap/>
            <w:vAlign w:val="bottom"/>
            <w:hideMark/>
          </w:tcPr>
          <w:p w14:paraId="33E2DC0E" w14:textId="2EC016D0" w:rsidR="00DC7146" w:rsidRPr="00261857" w:rsidRDefault="00DC7146" w:rsidP="00DC7146">
            <w:pPr>
              <w:jc w:val="center"/>
              <w:rPr>
                <w:rFonts w:eastAsia="Times New Roman" w:cs="Times New Roman"/>
                <w:color w:val="000000"/>
                <w:sz w:val="20"/>
                <w:szCs w:val="20"/>
              </w:rPr>
            </w:pPr>
            <w:r>
              <w:rPr>
                <w:color w:val="000000"/>
                <w:sz w:val="20"/>
                <w:szCs w:val="20"/>
              </w:rPr>
              <w:t>-4.356***</w:t>
            </w:r>
          </w:p>
        </w:tc>
      </w:tr>
      <w:tr w:rsidR="00DC7146" w:rsidRPr="00261857" w14:paraId="40B6683C" w14:textId="77777777" w:rsidTr="00DC7146">
        <w:trPr>
          <w:trHeight w:val="255"/>
        </w:trPr>
        <w:tc>
          <w:tcPr>
            <w:tcW w:w="1920" w:type="dxa"/>
            <w:tcBorders>
              <w:top w:val="nil"/>
              <w:left w:val="nil"/>
              <w:bottom w:val="nil"/>
              <w:right w:val="nil"/>
            </w:tcBorders>
            <w:shd w:val="clear" w:color="auto" w:fill="auto"/>
            <w:noWrap/>
            <w:vAlign w:val="bottom"/>
            <w:hideMark/>
          </w:tcPr>
          <w:p w14:paraId="04432537"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1EF75BF1" w14:textId="77777777" w:rsidR="00DC7146" w:rsidRPr="00261857" w:rsidRDefault="00DC7146" w:rsidP="00DC7146">
            <w:pP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128EDF6E" w14:textId="6ECB1BE9" w:rsidR="00DC7146" w:rsidRPr="00261857" w:rsidRDefault="00DC7146" w:rsidP="00DC7146">
            <w:pPr>
              <w:jc w:val="center"/>
              <w:rPr>
                <w:rFonts w:eastAsia="Times New Roman" w:cs="Times New Roman"/>
                <w:color w:val="000000"/>
                <w:sz w:val="20"/>
                <w:szCs w:val="20"/>
              </w:rPr>
            </w:pPr>
            <w:r>
              <w:rPr>
                <w:color w:val="000000"/>
                <w:sz w:val="20"/>
                <w:szCs w:val="20"/>
              </w:rPr>
              <w:t>(0.308)</w:t>
            </w:r>
          </w:p>
        </w:tc>
        <w:tc>
          <w:tcPr>
            <w:tcW w:w="1213" w:type="dxa"/>
            <w:tcBorders>
              <w:top w:val="nil"/>
              <w:left w:val="nil"/>
              <w:bottom w:val="nil"/>
              <w:right w:val="nil"/>
            </w:tcBorders>
            <w:shd w:val="clear" w:color="auto" w:fill="auto"/>
            <w:noWrap/>
            <w:vAlign w:val="bottom"/>
            <w:hideMark/>
          </w:tcPr>
          <w:p w14:paraId="0E1E3F41" w14:textId="2C3FFC72" w:rsidR="00DC7146" w:rsidRPr="00261857" w:rsidRDefault="00DC7146" w:rsidP="00DC7146">
            <w:pPr>
              <w:jc w:val="center"/>
              <w:rPr>
                <w:rFonts w:eastAsia="Times New Roman" w:cs="Times New Roman"/>
                <w:color w:val="000000"/>
                <w:sz w:val="20"/>
                <w:szCs w:val="20"/>
              </w:rPr>
            </w:pPr>
            <w:r>
              <w:rPr>
                <w:color w:val="000000"/>
                <w:sz w:val="20"/>
                <w:szCs w:val="20"/>
              </w:rPr>
              <w:t>(0.309)</w:t>
            </w:r>
          </w:p>
        </w:tc>
        <w:tc>
          <w:tcPr>
            <w:tcW w:w="1166" w:type="dxa"/>
            <w:tcBorders>
              <w:top w:val="nil"/>
              <w:left w:val="nil"/>
              <w:bottom w:val="nil"/>
              <w:right w:val="nil"/>
            </w:tcBorders>
            <w:shd w:val="clear" w:color="auto" w:fill="auto"/>
            <w:noWrap/>
            <w:vAlign w:val="bottom"/>
            <w:hideMark/>
          </w:tcPr>
          <w:p w14:paraId="396D4E3F"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15F921E" w14:textId="661265C7" w:rsidR="00DC7146" w:rsidRPr="00261857" w:rsidRDefault="00DC7146" w:rsidP="00DC7146">
            <w:pPr>
              <w:jc w:val="center"/>
              <w:rPr>
                <w:rFonts w:eastAsia="Times New Roman" w:cs="Times New Roman"/>
                <w:color w:val="000000"/>
                <w:sz w:val="20"/>
                <w:szCs w:val="20"/>
              </w:rPr>
            </w:pPr>
            <w:r>
              <w:rPr>
                <w:color w:val="000000"/>
                <w:sz w:val="20"/>
                <w:szCs w:val="20"/>
              </w:rPr>
              <w:t>(0.428)</w:t>
            </w:r>
          </w:p>
        </w:tc>
        <w:tc>
          <w:tcPr>
            <w:tcW w:w="1166" w:type="dxa"/>
            <w:tcBorders>
              <w:top w:val="nil"/>
              <w:left w:val="nil"/>
              <w:bottom w:val="nil"/>
              <w:right w:val="nil"/>
            </w:tcBorders>
            <w:shd w:val="clear" w:color="auto" w:fill="auto"/>
            <w:noWrap/>
            <w:vAlign w:val="bottom"/>
            <w:hideMark/>
          </w:tcPr>
          <w:p w14:paraId="3A754A76" w14:textId="6357A055" w:rsidR="00DC7146" w:rsidRPr="00261857" w:rsidRDefault="00DC7146" w:rsidP="00DC7146">
            <w:pPr>
              <w:jc w:val="center"/>
              <w:rPr>
                <w:rFonts w:eastAsia="Times New Roman" w:cs="Times New Roman"/>
                <w:color w:val="000000"/>
                <w:sz w:val="20"/>
                <w:szCs w:val="20"/>
              </w:rPr>
            </w:pPr>
            <w:r>
              <w:rPr>
                <w:color w:val="000000"/>
                <w:sz w:val="20"/>
                <w:szCs w:val="20"/>
              </w:rPr>
              <w:t>(0.436)</w:t>
            </w:r>
          </w:p>
        </w:tc>
      </w:tr>
      <w:tr w:rsidR="00DC7146" w:rsidRPr="00261857" w14:paraId="6ABFF8EE" w14:textId="77777777" w:rsidTr="00DC7146">
        <w:trPr>
          <w:trHeight w:val="255"/>
        </w:trPr>
        <w:tc>
          <w:tcPr>
            <w:tcW w:w="1920" w:type="dxa"/>
            <w:tcBorders>
              <w:top w:val="nil"/>
              <w:left w:val="nil"/>
              <w:bottom w:val="nil"/>
              <w:right w:val="nil"/>
            </w:tcBorders>
            <w:shd w:val="clear" w:color="auto" w:fill="auto"/>
            <w:noWrap/>
            <w:vAlign w:val="bottom"/>
            <w:hideMark/>
          </w:tcPr>
          <w:p w14:paraId="30C997B2" w14:textId="54A3D47A" w:rsidR="00DC7146" w:rsidRPr="00261857" w:rsidRDefault="00DC7146" w:rsidP="00DC7146">
            <w:pPr>
              <w:rPr>
                <w:rFonts w:eastAsia="Times New Roman" w:cs="Times New Roman"/>
                <w:color w:val="000000"/>
                <w:sz w:val="20"/>
                <w:szCs w:val="20"/>
              </w:rPr>
            </w:pPr>
            <w:r>
              <w:rPr>
                <w:color w:val="000000"/>
                <w:sz w:val="20"/>
                <w:szCs w:val="20"/>
              </w:rPr>
              <w:t>Ever-EL</w:t>
            </w:r>
          </w:p>
        </w:tc>
        <w:tc>
          <w:tcPr>
            <w:tcW w:w="1214" w:type="dxa"/>
            <w:tcBorders>
              <w:top w:val="nil"/>
              <w:left w:val="nil"/>
              <w:bottom w:val="nil"/>
              <w:right w:val="nil"/>
            </w:tcBorders>
            <w:shd w:val="clear" w:color="auto" w:fill="auto"/>
            <w:noWrap/>
            <w:vAlign w:val="bottom"/>
            <w:hideMark/>
          </w:tcPr>
          <w:p w14:paraId="40CD4F98" w14:textId="77777777" w:rsidR="00DC7146" w:rsidRPr="00261857" w:rsidRDefault="00DC7146" w:rsidP="00DC7146">
            <w:pPr>
              <w:rPr>
                <w:rFonts w:eastAsia="Times New Roman" w:cs="Times New Roman"/>
                <w:color w:val="000000"/>
                <w:sz w:val="20"/>
                <w:szCs w:val="20"/>
              </w:rPr>
            </w:pPr>
          </w:p>
        </w:tc>
        <w:tc>
          <w:tcPr>
            <w:tcW w:w="1213" w:type="dxa"/>
            <w:tcBorders>
              <w:top w:val="nil"/>
              <w:left w:val="nil"/>
              <w:bottom w:val="nil"/>
              <w:right w:val="nil"/>
            </w:tcBorders>
            <w:shd w:val="clear" w:color="auto" w:fill="auto"/>
            <w:noWrap/>
            <w:vAlign w:val="bottom"/>
            <w:hideMark/>
          </w:tcPr>
          <w:p w14:paraId="1F736272" w14:textId="271E1561" w:rsidR="00DC7146" w:rsidRPr="00261857" w:rsidRDefault="00DC7146" w:rsidP="00DC7146">
            <w:pPr>
              <w:jc w:val="center"/>
              <w:rPr>
                <w:rFonts w:eastAsia="Times New Roman" w:cs="Times New Roman"/>
                <w:color w:val="000000"/>
                <w:sz w:val="20"/>
                <w:szCs w:val="20"/>
              </w:rPr>
            </w:pPr>
            <w:r>
              <w:rPr>
                <w:color w:val="000000"/>
                <w:sz w:val="20"/>
                <w:szCs w:val="20"/>
              </w:rPr>
              <w:t>-5.284***</w:t>
            </w:r>
          </w:p>
        </w:tc>
        <w:tc>
          <w:tcPr>
            <w:tcW w:w="1213" w:type="dxa"/>
            <w:tcBorders>
              <w:top w:val="nil"/>
              <w:left w:val="nil"/>
              <w:bottom w:val="nil"/>
              <w:right w:val="nil"/>
            </w:tcBorders>
            <w:shd w:val="clear" w:color="auto" w:fill="auto"/>
            <w:noWrap/>
            <w:vAlign w:val="bottom"/>
            <w:hideMark/>
          </w:tcPr>
          <w:p w14:paraId="28947C4B" w14:textId="1B8F480B" w:rsidR="00DC7146" w:rsidRPr="00261857" w:rsidRDefault="00DC7146" w:rsidP="00DC7146">
            <w:pPr>
              <w:jc w:val="center"/>
              <w:rPr>
                <w:rFonts w:eastAsia="Times New Roman" w:cs="Times New Roman"/>
                <w:color w:val="000000"/>
                <w:sz w:val="20"/>
                <w:szCs w:val="20"/>
              </w:rPr>
            </w:pPr>
            <w:r>
              <w:rPr>
                <w:color w:val="000000"/>
                <w:sz w:val="20"/>
                <w:szCs w:val="20"/>
              </w:rPr>
              <w:t>-5.269***</w:t>
            </w:r>
          </w:p>
        </w:tc>
        <w:tc>
          <w:tcPr>
            <w:tcW w:w="1166" w:type="dxa"/>
            <w:tcBorders>
              <w:top w:val="nil"/>
              <w:left w:val="nil"/>
              <w:bottom w:val="nil"/>
              <w:right w:val="nil"/>
            </w:tcBorders>
            <w:shd w:val="clear" w:color="auto" w:fill="auto"/>
            <w:noWrap/>
            <w:vAlign w:val="bottom"/>
            <w:hideMark/>
          </w:tcPr>
          <w:p w14:paraId="63710AA8"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02B2BED4" w14:textId="37746B20" w:rsidR="00DC7146" w:rsidRPr="00261857" w:rsidRDefault="00DC7146" w:rsidP="00DC7146">
            <w:pPr>
              <w:jc w:val="center"/>
              <w:rPr>
                <w:rFonts w:eastAsia="Times New Roman" w:cs="Times New Roman"/>
                <w:color w:val="000000"/>
                <w:sz w:val="20"/>
                <w:szCs w:val="20"/>
              </w:rPr>
            </w:pPr>
            <w:r>
              <w:rPr>
                <w:color w:val="000000"/>
                <w:sz w:val="20"/>
                <w:szCs w:val="20"/>
              </w:rPr>
              <w:t>-8.512***</w:t>
            </w:r>
          </w:p>
        </w:tc>
        <w:tc>
          <w:tcPr>
            <w:tcW w:w="1166" w:type="dxa"/>
            <w:tcBorders>
              <w:top w:val="nil"/>
              <w:left w:val="nil"/>
              <w:bottom w:val="nil"/>
              <w:right w:val="nil"/>
            </w:tcBorders>
            <w:shd w:val="clear" w:color="auto" w:fill="auto"/>
            <w:noWrap/>
            <w:vAlign w:val="bottom"/>
            <w:hideMark/>
          </w:tcPr>
          <w:p w14:paraId="1E4F7ECB" w14:textId="607B25C4" w:rsidR="00DC7146" w:rsidRPr="00261857" w:rsidRDefault="00DC7146" w:rsidP="00DC7146">
            <w:pPr>
              <w:jc w:val="center"/>
              <w:rPr>
                <w:rFonts w:eastAsia="Times New Roman" w:cs="Times New Roman"/>
                <w:color w:val="000000"/>
                <w:sz w:val="20"/>
                <w:szCs w:val="20"/>
              </w:rPr>
            </w:pPr>
            <w:r>
              <w:rPr>
                <w:color w:val="000000"/>
                <w:sz w:val="20"/>
                <w:szCs w:val="20"/>
              </w:rPr>
              <w:t>-8.500***</w:t>
            </w:r>
          </w:p>
        </w:tc>
      </w:tr>
      <w:tr w:rsidR="00DC7146" w:rsidRPr="00261857" w14:paraId="1D2F797F" w14:textId="77777777" w:rsidTr="00DC7146">
        <w:trPr>
          <w:trHeight w:val="255"/>
        </w:trPr>
        <w:tc>
          <w:tcPr>
            <w:tcW w:w="1920" w:type="dxa"/>
            <w:tcBorders>
              <w:top w:val="nil"/>
              <w:left w:val="nil"/>
              <w:bottom w:val="nil"/>
              <w:right w:val="nil"/>
            </w:tcBorders>
            <w:shd w:val="clear" w:color="auto" w:fill="auto"/>
            <w:noWrap/>
            <w:vAlign w:val="bottom"/>
            <w:hideMark/>
          </w:tcPr>
          <w:p w14:paraId="61BDA25E"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430ADD2B" w14:textId="77777777" w:rsidR="00DC7146" w:rsidRPr="00261857" w:rsidRDefault="00DC7146" w:rsidP="00DC7146">
            <w:pP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12D39F7A" w14:textId="03ED78E5" w:rsidR="00DC7146" w:rsidRPr="00261857" w:rsidRDefault="00DC7146" w:rsidP="00DC7146">
            <w:pPr>
              <w:jc w:val="center"/>
              <w:rPr>
                <w:rFonts w:eastAsia="Times New Roman" w:cs="Times New Roman"/>
                <w:color w:val="000000"/>
                <w:sz w:val="20"/>
                <w:szCs w:val="20"/>
              </w:rPr>
            </w:pPr>
            <w:r>
              <w:rPr>
                <w:color w:val="000000"/>
                <w:sz w:val="20"/>
                <w:szCs w:val="20"/>
              </w:rPr>
              <w:t>(0.414)</w:t>
            </w:r>
          </w:p>
        </w:tc>
        <w:tc>
          <w:tcPr>
            <w:tcW w:w="1213" w:type="dxa"/>
            <w:tcBorders>
              <w:top w:val="nil"/>
              <w:left w:val="nil"/>
              <w:bottom w:val="nil"/>
              <w:right w:val="nil"/>
            </w:tcBorders>
            <w:shd w:val="clear" w:color="auto" w:fill="auto"/>
            <w:noWrap/>
            <w:vAlign w:val="bottom"/>
            <w:hideMark/>
          </w:tcPr>
          <w:p w14:paraId="5B99D187" w14:textId="66D80708" w:rsidR="00DC7146" w:rsidRPr="00261857" w:rsidRDefault="00DC7146" w:rsidP="00DC7146">
            <w:pPr>
              <w:jc w:val="center"/>
              <w:rPr>
                <w:rFonts w:eastAsia="Times New Roman" w:cs="Times New Roman"/>
                <w:color w:val="000000"/>
                <w:sz w:val="20"/>
                <w:szCs w:val="20"/>
              </w:rPr>
            </w:pPr>
            <w:r>
              <w:rPr>
                <w:color w:val="000000"/>
                <w:sz w:val="20"/>
                <w:szCs w:val="20"/>
              </w:rPr>
              <w:t>(0.412)</w:t>
            </w:r>
          </w:p>
        </w:tc>
        <w:tc>
          <w:tcPr>
            <w:tcW w:w="1166" w:type="dxa"/>
            <w:tcBorders>
              <w:top w:val="nil"/>
              <w:left w:val="nil"/>
              <w:bottom w:val="nil"/>
              <w:right w:val="nil"/>
            </w:tcBorders>
            <w:shd w:val="clear" w:color="auto" w:fill="auto"/>
            <w:noWrap/>
            <w:vAlign w:val="bottom"/>
            <w:hideMark/>
          </w:tcPr>
          <w:p w14:paraId="37080973"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4A5F5FB6" w14:textId="7B4D06A0" w:rsidR="00DC7146" w:rsidRPr="00261857" w:rsidRDefault="00DC7146" w:rsidP="00DC7146">
            <w:pPr>
              <w:jc w:val="center"/>
              <w:rPr>
                <w:rFonts w:eastAsia="Times New Roman" w:cs="Times New Roman"/>
                <w:color w:val="000000"/>
                <w:sz w:val="20"/>
                <w:szCs w:val="20"/>
              </w:rPr>
            </w:pPr>
            <w:r>
              <w:rPr>
                <w:color w:val="000000"/>
                <w:sz w:val="20"/>
                <w:szCs w:val="20"/>
              </w:rPr>
              <w:t>(0.459)</w:t>
            </w:r>
          </w:p>
        </w:tc>
        <w:tc>
          <w:tcPr>
            <w:tcW w:w="1166" w:type="dxa"/>
            <w:tcBorders>
              <w:top w:val="nil"/>
              <w:left w:val="nil"/>
              <w:bottom w:val="nil"/>
              <w:right w:val="nil"/>
            </w:tcBorders>
            <w:shd w:val="clear" w:color="auto" w:fill="auto"/>
            <w:noWrap/>
            <w:vAlign w:val="bottom"/>
            <w:hideMark/>
          </w:tcPr>
          <w:p w14:paraId="47E7A847" w14:textId="188992ED" w:rsidR="00DC7146" w:rsidRPr="00261857" w:rsidRDefault="00DC7146" w:rsidP="00DC7146">
            <w:pPr>
              <w:jc w:val="center"/>
              <w:rPr>
                <w:rFonts w:eastAsia="Times New Roman" w:cs="Times New Roman"/>
                <w:color w:val="000000"/>
                <w:sz w:val="20"/>
                <w:szCs w:val="20"/>
              </w:rPr>
            </w:pPr>
            <w:r>
              <w:rPr>
                <w:color w:val="000000"/>
                <w:sz w:val="20"/>
                <w:szCs w:val="20"/>
              </w:rPr>
              <w:t>(0.454)</w:t>
            </w:r>
          </w:p>
        </w:tc>
      </w:tr>
      <w:tr w:rsidR="00DC7146" w:rsidRPr="00261857" w14:paraId="177BA2AC" w14:textId="77777777" w:rsidTr="00DC7146">
        <w:trPr>
          <w:trHeight w:val="255"/>
        </w:trPr>
        <w:tc>
          <w:tcPr>
            <w:tcW w:w="1920" w:type="dxa"/>
            <w:tcBorders>
              <w:top w:val="nil"/>
              <w:left w:val="nil"/>
              <w:bottom w:val="nil"/>
              <w:right w:val="nil"/>
            </w:tcBorders>
            <w:shd w:val="clear" w:color="auto" w:fill="auto"/>
            <w:noWrap/>
            <w:vAlign w:val="bottom"/>
            <w:hideMark/>
          </w:tcPr>
          <w:p w14:paraId="4154BE79" w14:textId="666218CA" w:rsidR="00DC7146" w:rsidRPr="00261857" w:rsidRDefault="00DC7146" w:rsidP="00DC7146">
            <w:pPr>
              <w:rPr>
                <w:rFonts w:eastAsia="Times New Roman" w:cs="Times New Roman"/>
                <w:color w:val="000000"/>
                <w:sz w:val="20"/>
                <w:szCs w:val="20"/>
              </w:rPr>
            </w:pPr>
            <w:proofErr w:type="gramStart"/>
            <w:r>
              <w:rPr>
                <w:color w:val="000000"/>
                <w:sz w:val="20"/>
                <w:szCs w:val="20"/>
              </w:rPr>
              <w:t>Ever-SPED</w:t>
            </w:r>
            <w:proofErr w:type="gramEnd"/>
          </w:p>
        </w:tc>
        <w:tc>
          <w:tcPr>
            <w:tcW w:w="1214" w:type="dxa"/>
            <w:tcBorders>
              <w:top w:val="nil"/>
              <w:left w:val="nil"/>
              <w:bottom w:val="nil"/>
              <w:right w:val="nil"/>
            </w:tcBorders>
            <w:shd w:val="clear" w:color="auto" w:fill="auto"/>
            <w:noWrap/>
            <w:vAlign w:val="bottom"/>
            <w:hideMark/>
          </w:tcPr>
          <w:p w14:paraId="6B1C10C8" w14:textId="77777777" w:rsidR="00DC7146" w:rsidRPr="00261857" w:rsidRDefault="00DC7146" w:rsidP="00DC7146">
            <w:pPr>
              <w:rPr>
                <w:rFonts w:eastAsia="Times New Roman" w:cs="Times New Roman"/>
                <w:color w:val="000000"/>
                <w:sz w:val="20"/>
                <w:szCs w:val="20"/>
              </w:rPr>
            </w:pPr>
          </w:p>
        </w:tc>
        <w:tc>
          <w:tcPr>
            <w:tcW w:w="1213" w:type="dxa"/>
            <w:tcBorders>
              <w:top w:val="nil"/>
              <w:left w:val="nil"/>
              <w:bottom w:val="nil"/>
              <w:right w:val="nil"/>
            </w:tcBorders>
            <w:shd w:val="clear" w:color="auto" w:fill="auto"/>
            <w:noWrap/>
            <w:vAlign w:val="bottom"/>
            <w:hideMark/>
          </w:tcPr>
          <w:p w14:paraId="2EBCA6EB" w14:textId="1880A716" w:rsidR="00DC7146" w:rsidRPr="00261857" w:rsidRDefault="00DC7146" w:rsidP="00DC7146">
            <w:pPr>
              <w:jc w:val="center"/>
              <w:rPr>
                <w:rFonts w:eastAsia="Times New Roman" w:cs="Times New Roman"/>
                <w:color w:val="000000"/>
                <w:sz w:val="20"/>
                <w:szCs w:val="20"/>
              </w:rPr>
            </w:pPr>
            <w:r>
              <w:rPr>
                <w:color w:val="000000"/>
                <w:sz w:val="20"/>
                <w:szCs w:val="20"/>
              </w:rPr>
              <w:t>-11.421***</w:t>
            </w:r>
          </w:p>
        </w:tc>
        <w:tc>
          <w:tcPr>
            <w:tcW w:w="1213" w:type="dxa"/>
            <w:tcBorders>
              <w:top w:val="nil"/>
              <w:left w:val="nil"/>
              <w:bottom w:val="nil"/>
              <w:right w:val="nil"/>
            </w:tcBorders>
            <w:shd w:val="clear" w:color="auto" w:fill="auto"/>
            <w:noWrap/>
            <w:vAlign w:val="bottom"/>
            <w:hideMark/>
          </w:tcPr>
          <w:p w14:paraId="165C4C55" w14:textId="23B17144" w:rsidR="00DC7146" w:rsidRPr="00261857" w:rsidRDefault="00DC7146" w:rsidP="00DC7146">
            <w:pPr>
              <w:jc w:val="center"/>
              <w:rPr>
                <w:rFonts w:eastAsia="Times New Roman" w:cs="Times New Roman"/>
                <w:color w:val="000000"/>
                <w:sz w:val="20"/>
                <w:szCs w:val="20"/>
              </w:rPr>
            </w:pPr>
            <w:r>
              <w:rPr>
                <w:color w:val="000000"/>
                <w:sz w:val="20"/>
                <w:szCs w:val="20"/>
              </w:rPr>
              <w:t>-11.417***</w:t>
            </w:r>
          </w:p>
        </w:tc>
        <w:tc>
          <w:tcPr>
            <w:tcW w:w="1166" w:type="dxa"/>
            <w:tcBorders>
              <w:top w:val="nil"/>
              <w:left w:val="nil"/>
              <w:bottom w:val="nil"/>
              <w:right w:val="nil"/>
            </w:tcBorders>
            <w:shd w:val="clear" w:color="auto" w:fill="auto"/>
            <w:noWrap/>
            <w:vAlign w:val="bottom"/>
            <w:hideMark/>
          </w:tcPr>
          <w:p w14:paraId="6DE90CE0"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209FEFD4" w14:textId="2E5CFEFD" w:rsidR="00DC7146" w:rsidRPr="00261857" w:rsidRDefault="00DC7146" w:rsidP="00DC7146">
            <w:pPr>
              <w:jc w:val="center"/>
              <w:rPr>
                <w:rFonts w:eastAsia="Times New Roman" w:cs="Times New Roman"/>
                <w:color w:val="000000"/>
                <w:sz w:val="20"/>
                <w:szCs w:val="20"/>
              </w:rPr>
            </w:pPr>
            <w:r>
              <w:rPr>
                <w:color w:val="000000"/>
                <w:sz w:val="20"/>
                <w:szCs w:val="20"/>
              </w:rPr>
              <w:t>-14.580***</w:t>
            </w:r>
          </w:p>
        </w:tc>
        <w:tc>
          <w:tcPr>
            <w:tcW w:w="1166" w:type="dxa"/>
            <w:tcBorders>
              <w:top w:val="nil"/>
              <w:left w:val="nil"/>
              <w:bottom w:val="nil"/>
              <w:right w:val="nil"/>
            </w:tcBorders>
            <w:shd w:val="clear" w:color="auto" w:fill="auto"/>
            <w:noWrap/>
            <w:vAlign w:val="bottom"/>
            <w:hideMark/>
          </w:tcPr>
          <w:p w14:paraId="32C054A2" w14:textId="12448865" w:rsidR="00DC7146" w:rsidRPr="00261857" w:rsidRDefault="00DC7146" w:rsidP="00DC7146">
            <w:pPr>
              <w:jc w:val="center"/>
              <w:rPr>
                <w:rFonts w:eastAsia="Times New Roman" w:cs="Times New Roman"/>
                <w:color w:val="000000"/>
                <w:sz w:val="20"/>
                <w:szCs w:val="20"/>
              </w:rPr>
            </w:pPr>
            <w:r>
              <w:rPr>
                <w:color w:val="000000"/>
                <w:sz w:val="20"/>
                <w:szCs w:val="20"/>
              </w:rPr>
              <w:t>-14.576***</w:t>
            </w:r>
          </w:p>
        </w:tc>
      </w:tr>
      <w:tr w:rsidR="00DC7146" w:rsidRPr="00261857" w14:paraId="354C1004" w14:textId="77777777" w:rsidTr="00DC7146">
        <w:trPr>
          <w:trHeight w:val="255"/>
        </w:trPr>
        <w:tc>
          <w:tcPr>
            <w:tcW w:w="1920" w:type="dxa"/>
            <w:tcBorders>
              <w:top w:val="nil"/>
              <w:left w:val="nil"/>
              <w:bottom w:val="nil"/>
              <w:right w:val="nil"/>
            </w:tcBorders>
            <w:shd w:val="clear" w:color="auto" w:fill="auto"/>
            <w:noWrap/>
            <w:vAlign w:val="bottom"/>
            <w:hideMark/>
          </w:tcPr>
          <w:p w14:paraId="7D1C4F76"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42215DCC" w14:textId="77777777" w:rsidR="00DC7146" w:rsidRPr="00261857" w:rsidRDefault="00DC7146" w:rsidP="00DC7146">
            <w:pP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151845BC" w14:textId="011BE76A" w:rsidR="00DC7146" w:rsidRPr="00261857" w:rsidRDefault="00DC7146" w:rsidP="00DC7146">
            <w:pPr>
              <w:jc w:val="center"/>
              <w:rPr>
                <w:rFonts w:eastAsia="Times New Roman" w:cs="Times New Roman"/>
                <w:color w:val="000000"/>
                <w:sz w:val="20"/>
                <w:szCs w:val="20"/>
              </w:rPr>
            </w:pPr>
            <w:r>
              <w:rPr>
                <w:color w:val="000000"/>
                <w:sz w:val="20"/>
                <w:szCs w:val="20"/>
              </w:rPr>
              <w:t>(0.352)</w:t>
            </w:r>
          </w:p>
        </w:tc>
        <w:tc>
          <w:tcPr>
            <w:tcW w:w="1213" w:type="dxa"/>
            <w:tcBorders>
              <w:top w:val="nil"/>
              <w:left w:val="nil"/>
              <w:bottom w:val="nil"/>
              <w:right w:val="nil"/>
            </w:tcBorders>
            <w:shd w:val="clear" w:color="auto" w:fill="auto"/>
            <w:noWrap/>
            <w:vAlign w:val="bottom"/>
            <w:hideMark/>
          </w:tcPr>
          <w:p w14:paraId="5F3802FB" w14:textId="03401F92" w:rsidR="00DC7146" w:rsidRPr="00261857" w:rsidRDefault="00DC7146" w:rsidP="00DC7146">
            <w:pPr>
              <w:jc w:val="center"/>
              <w:rPr>
                <w:rFonts w:eastAsia="Times New Roman" w:cs="Times New Roman"/>
                <w:color w:val="000000"/>
                <w:sz w:val="20"/>
                <w:szCs w:val="20"/>
              </w:rPr>
            </w:pPr>
            <w:r>
              <w:rPr>
                <w:color w:val="000000"/>
                <w:sz w:val="20"/>
                <w:szCs w:val="20"/>
              </w:rPr>
              <w:t>(0.352)</w:t>
            </w:r>
          </w:p>
        </w:tc>
        <w:tc>
          <w:tcPr>
            <w:tcW w:w="1166" w:type="dxa"/>
            <w:tcBorders>
              <w:top w:val="nil"/>
              <w:left w:val="nil"/>
              <w:bottom w:val="nil"/>
              <w:right w:val="nil"/>
            </w:tcBorders>
            <w:shd w:val="clear" w:color="auto" w:fill="auto"/>
            <w:noWrap/>
            <w:vAlign w:val="bottom"/>
            <w:hideMark/>
          </w:tcPr>
          <w:p w14:paraId="02D72E2E"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141349C5" w14:textId="1D35CC74" w:rsidR="00DC7146" w:rsidRPr="00261857" w:rsidRDefault="00DC7146" w:rsidP="00DC7146">
            <w:pPr>
              <w:jc w:val="center"/>
              <w:rPr>
                <w:rFonts w:eastAsia="Times New Roman" w:cs="Times New Roman"/>
                <w:color w:val="000000"/>
                <w:sz w:val="20"/>
                <w:szCs w:val="20"/>
              </w:rPr>
            </w:pPr>
            <w:r>
              <w:rPr>
                <w:color w:val="000000"/>
                <w:sz w:val="20"/>
                <w:szCs w:val="20"/>
              </w:rPr>
              <w:t>(0.350)</w:t>
            </w:r>
          </w:p>
        </w:tc>
        <w:tc>
          <w:tcPr>
            <w:tcW w:w="1166" w:type="dxa"/>
            <w:tcBorders>
              <w:top w:val="nil"/>
              <w:left w:val="nil"/>
              <w:bottom w:val="nil"/>
              <w:right w:val="nil"/>
            </w:tcBorders>
            <w:shd w:val="clear" w:color="auto" w:fill="auto"/>
            <w:noWrap/>
            <w:vAlign w:val="bottom"/>
            <w:hideMark/>
          </w:tcPr>
          <w:p w14:paraId="4301C0BE" w14:textId="4A67A546" w:rsidR="00DC7146" w:rsidRPr="00261857" w:rsidRDefault="00DC7146" w:rsidP="00DC7146">
            <w:pPr>
              <w:jc w:val="center"/>
              <w:rPr>
                <w:rFonts w:eastAsia="Times New Roman" w:cs="Times New Roman"/>
                <w:color w:val="000000"/>
                <w:sz w:val="20"/>
                <w:szCs w:val="20"/>
              </w:rPr>
            </w:pPr>
            <w:r>
              <w:rPr>
                <w:color w:val="000000"/>
                <w:sz w:val="20"/>
                <w:szCs w:val="20"/>
              </w:rPr>
              <w:t>(0.350)</w:t>
            </w:r>
          </w:p>
        </w:tc>
      </w:tr>
      <w:tr w:rsidR="00DC7146" w:rsidRPr="00261857" w14:paraId="56D7FD18" w14:textId="77777777" w:rsidTr="00DC7146">
        <w:trPr>
          <w:trHeight w:val="255"/>
        </w:trPr>
        <w:tc>
          <w:tcPr>
            <w:tcW w:w="1920" w:type="dxa"/>
            <w:tcBorders>
              <w:top w:val="nil"/>
              <w:left w:val="nil"/>
              <w:bottom w:val="nil"/>
              <w:right w:val="nil"/>
            </w:tcBorders>
            <w:shd w:val="clear" w:color="auto" w:fill="auto"/>
            <w:noWrap/>
            <w:vAlign w:val="bottom"/>
            <w:hideMark/>
          </w:tcPr>
          <w:p w14:paraId="420F3EDF" w14:textId="734EA083" w:rsidR="00DC7146" w:rsidRPr="00261857" w:rsidRDefault="00DC7146" w:rsidP="00DC7146">
            <w:pPr>
              <w:rPr>
                <w:rFonts w:eastAsia="Times New Roman" w:cs="Times New Roman"/>
                <w:color w:val="000000"/>
                <w:sz w:val="20"/>
                <w:szCs w:val="20"/>
              </w:rPr>
            </w:pPr>
            <w:r>
              <w:rPr>
                <w:color w:val="000000"/>
                <w:sz w:val="20"/>
                <w:szCs w:val="20"/>
              </w:rPr>
              <w:t>Refused EL Service</w:t>
            </w:r>
          </w:p>
        </w:tc>
        <w:tc>
          <w:tcPr>
            <w:tcW w:w="1214" w:type="dxa"/>
            <w:tcBorders>
              <w:top w:val="nil"/>
              <w:left w:val="nil"/>
              <w:bottom w:val="nil"/>
              <w:right w:val="nil"/>
            </w:tcBorders>
            <w:shd w:val="clear" w:color="auto" w:fill="auto"/>
            <w:noWrap/>
            <w:vAlign w:val="bottom"/>
            <w:hideMark/>
          </w:tcPr>
          <w:p w14:paraId="5DEBCD8C" w14:textId="77777777" w:rsidR="00DC7146" w:rsidRPr="00261857" w:rsidRDefault="00DC7146" w:rsidP="00DC7146">
            <w:pPr>
              <w:rPr>
                <w:rFonts w:eastAsia="Times New Roman" w:cs="Times New Roman"/>
                <w:color w:val="000000"/>
                <w:sz w:val="20"/>
                <w:szCs w:val="20"/>
              </w:rPr>
            </w:pPr>
          </w:p>
        </w:tc>
        <w:tc>
          <w:tcPr>
            <w:tcW w:w="1213" w:type="dxa"/>
            <w:tcBorders>
              <w:top w:val="nil"/>
              <w:left w:val="nil"/>
              <w:bottom w:val="nil"/>
              <w:right w:val="nil"/>
            </w:tcBorders>
            <w:shd w:val="clear" w:color="auto" w:fill="auto"/>
            <w:noWrap/>
            <w:vAlign w:val="bottom"/>
            <w:hideMark/>
          </w:tcPr>
          <w:p w14:paraId="3A395A36" w14:textId="43515449" w:rsidR="00DC7146" w:rsidRPr="00261857" w:rsidRDefault="00DC7146" w:rsidP="00DC7146">
            <w:pPr>
              <w:jc w:val="center"/>
              <w:rPr>
                <w:rFonts w:eastAsia="Times New Roman" w:cs="Times New Roman"/>
                <w:color w:val="000000"/>
                <w:sz w:val="20"/>
                <w:szCs w:val="20"/>
              </w:rPr>
            </w:pPr>
            <w:r>
              <w:rPr>
                <w:color w:val="000000"/>
                <w:sz w:val="20"/>
                <w:szCs w:val="20"/>
              </w:rPr>
              <w:t>0.832**</w:t>
            </w:r>
          </w:p>
        </w:tc>
        <w:tc>
          <w:tcPr>
            <w:tcW w:w="1213" w:type="dxa"/>
            <w:tcBorders>
              <w:top w:val="nil"/>
              <w:left w:val="nil"/>
              <w:bottom w:val="nil"/>
              <w:right w:val="nil"/>
            </w:tcBorders>
            <w:shd w:val="clear" w:color="auto" w:fill="auto"/>
            <w:noWrap/>
            <w:vAlign w:val="bottom"/>
            <w:hideMark/>
          </w:tcPr>
          <w:p w14:paraId="4546A81A" w14:textId="0CAE1031" w:rsidR="00DC7146" w:rsidRPr="00261857" w:rsidRDefault="00DC7146" w:rsidP="00DC7146">
            <w:pPr>
              <w:jc w:val="center"/>
              <w:rPr>
                <w:rFonts w:eastAsia="Times New Roman" w:cs="Times New Roman"/>
                <w:color w:val="000000"/>
                <w:sz w:val="20"/>
                <w:szCs w:val="20"/>
              </w:rPr>
            </w:pPr>
            <w:r>
              <w:rPr>
                <w:color w:val="000000"/>
                <w:sz w:val="20"/>
                <w:szCs w:val="20"/>
              </w:rPr>
              <w:t>0.843**</w:t>
            </w:r>
          </w:p>
        </w:tc>
        <w:tc>
          <w:tcPr>
            <w:tcW w:w="1166" w:type="dxa"/>
            <w:tcBorders>
              <w:top w:val="nil"/>
              <w:left w:val="nil"/>
              <w:bottom w:val="nil"/>
              <w:right w:val="nil"/>
            </w:tcBorders>
            <w:shd w:val="clear" w:color="auto" w:fill="auto"/>
            <w:noWrap/>
            <w:vAlign w:val="bottom"/>
            <w:hideMark/>
          </w:tcPr>
          <w:p w14:paraId="42ABC928"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5350E9F5" w14:textId="52D7D4D1" w:rsidR="00DC7146" w:rsidRPr="00261857" w:rsidRDefault="00DC7146" w:rsidP="00DC7146">
            <w:pPr>
              <w:jc w:val="center"/>
              <w:rPr>
                <w:rFonts w:eastAsia="Times New Roman" w:cs="Times New Roman"/>
                <w:color w:val="000000"/>
                <w:sz w:val="20"/>
                <w:szCs w:val="20"/>
              </w:rPr>
            </w:pPr>
            <w:r>
              <w:rPr>
                <w:color w:val="000000"/>
                <w:sz w:val="20"/>
                <w:szCs w:val="20"/>
              </w:rPr>
              <w:t>2.159***</w:t>
            </w:r>
          </w:p>
        </w:tc>
        <w:tc>
          <w:tcPr>
            <w:tcW w:w="1166" w:type="dxa"/>
            <w:tcBorders>
              <w:top w:val="nil"/>
              <w:left w:val="nil"/>
              <w:bottom w:val="nil"/>
              <w:right w:val="nil"/>
            </w:tcBorders>
            <w:shd w:val="clear" w:color="auto" w:fill="auto"/>
            <w:noWrap/>
            <w:vAlign w:val="bottom"/>
            <w:hideMark/>
          </w:tcPr>
          <w:p w14:paraId="622C4174" w14:textId="1782E486" w:rsidR="00DC7146" w:rsidRPr="00261857" w:rsidRDefault="00DC7146" w:rsidP="00DC7146">
            <w:pPr>
              <w:jc w:val="center"/>
              <w:rPr>
                <w:rFonts w:eastAsia="Times New Roman" w:cs="Times New Roman"/>
                <w:color w:val="000000"/>
                <w:sz w:val="20"/>
                <w:szCs w:val="20"/>
              </w:rPr>
            </w:pPr>
            <w:r>
              <w:rPr>
                <w:color w:val="000000"/>
                <w:sz w:val="20"/>
                <w:szCs w:val="20"/>
              </w:rPr>
              <w:t>2.171***</w:t>
            </w:r>
          </w:p>
        </w:tc>
      </w:tr>
      <w:tr w:rsidR="00DC7146" w:rsidRPr="00261857" w14:paraId="4F9C66EE" w14:textId="77777777" w:rsidTr="00DC7146">
        <w:trPr>
          <w:trHeight w:val="255"/>
        </w:trPr>
        <w:tc>
          <w:tcPr>
            <w:tcW w:w="1920" w:type="dxa"/>
            <w:tcBorders>
              <w:top w:val="nil"/>
              <w:left w:val="nil"/>
              <w:bottom w:val="nil"/>
              <w:right w:val="nil"/>
            </w:tcBorders>
            <w:shd w:val="clear" w:color="auto" w:fill="auto"/>
            <w:noWrap/>
            <w:vAlign w:val="bottom"/>
            <w:hideMark/>
          </w:tcPr>
          <w:p w14:paraId="37156885"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4B57983F" w14:textId="77777777" w:rsidR="00DC7146" w:rsidRPr="00261857" w:rsidRDefault="00DC7146" w:rsidP="00DC7146">
            <w:pP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7A78923C" w14:textId="0AC9B96B" w:rsidR="00DC7146" w:rsidRPr="00261857" w:rsidRDefault="00DC7146" w:rsidP="00DC7146">
            <w:pPr>
              <w:jc w:val="center"/>
              <w:rPr>
                <w:rFonts w:eastAsia="Times New Roman" w:cs="Times New Roman"/>
                <w:color w:val="000000"/>
                <w:sz w:val="20"/>
                <w:szCs w:val="20"/>
              </w:rPr>
            </w:pPr>
            <w:r>
              <w:rPr>
                <w:color w:val="000000"/>
                <w:sz w:val="20"/>
                <w:szCs w:val="20"/>
              </w:rPr>
              <w:t>(0.350)</w:t>
            </w:r>
          </w:p>
        </w:tc>
        <w:tc>
          <w:tcPr>
            <w:tcW w:w="1213" w:type="dxa"/>
            <w:tcBorders>
              <w:top w:val="nil"/>
              <w:left w:val="nil"/>
              <w:bottom w:val="nil"/>
              <w:right w:val="nil"/>
            </w:tcBorders>
            <w:shd w:val="clear" w:color="auto" w:fill="auto"/>
            <w:noWrap/>
            <w:vAlign w:val="bottom"/>
            <w:hideMark/>
          </w:tcPr>
          <w:p w14:paraId="7E8EF078" w14:textId="25F0CEED" w:rsidR="00DC7146" w:rsidRPr="00261857" w:rsidRDefault="00DC7146" w:rsidP="00DC7146">
            <w:pPr>
              <w:jc w:val="center"/>
              <w:rPr>
                <w:rFonts w:eastAsia="Times New Roman" w:cs="Times New Roman"/>
                <w:color w:val="000000"/>
                <w:sz w:val="20"/>
                <w:szCs w:val="20"/>
              </w:rPr>
            </w:pPr>
            <w:r>
              <w:rPr>
                <w:color w:val="000000"/>
                <w:sz w:val="20"/>
                <w:szCs w:val="20"/>
              </w:rPr>
              <w:t>(0.349)</w:t>
            </w:r>
          </w:p>
        </w:tc>
        <w:tc>
          <w:tcPr>
            <w:tcW w:w="1166" w:type="dxa"/>
            <w:tcBorders>
              <w:top w:val="nil"/>
              <w:left w:val="nil"/>
              <w:bottom w:val="nil"/>
              <w:right w:val="nil"/>
            </w:tcBorders>
            <w:shd w:val="clear" w:color="auto" w:fill="auto"/>
            <w:noWrap/>
            <w:vAlign w:val="bottom"/>
            <w:hideMark/>
          </w:tcPr>
          <w:p w14:paraId="4CAC225B"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02AED328" w14:textId="6D6213BD" w:rsidR="00DC7146" w:rsidRPr="00261857" w:rsidRDefault="00DC7146" w:rsidP="00DC7146">
            <w:pPr>
              <w:jc w:val="center"/>
              <w:rPr>
                <w:rFonts w:eastAsia="Times New Roman" w:cs="Times New Roman"/>
                <w:color w:val="000000"/>
                <w:sz w:val="20"/>
                <w:szCs w:val="20"/>
              </w:rPr>
            </w:pPr>
            <w:r>
              <w:rPr>
                <w:color w:val="000000"/>
                <w:sz w:val="20"/>
                <w:szCs w:val="20"/>
              </w:rPr>
              <w:t>(0.402)</w:t>
            </w:r>
          </w:p>
        </w:tc>
        <w:tc>
          <w:tcPr>
            <w:tcW w:w="1166" w:type="dxa"/>
            <w:tcBorders>
              <w:top w:val="nil"/>
              <w:left w:val="nil"/>
              <w:bottom w:val="nil"/>
              <w:right w:val="nil"/>
            </w:tcBorders>
            <w:shd w:val="clear" w:color="auto" w:fill="auto"/>
            <w:noWrap/>
            <w:vAlign w:val="bottom"/>
            <w:hideMark/>
          </w:tcPr>
          <w:p w14:paraId="07E74DB2" w14:textId="0DDB5948" w:rsidR="00DC7146" w:rsidRPr="00261857" w:rsidRDefault="00DC7146" w:rsidP="00DC7146">
            <w:pPr>
              <w:jc w:val="center"/>
              <w:rPr>
                <w:rFonts w:eastAsia="Times New Roman" w:cs="Times New Roman"/>
                <w:color w:val="000000"/>
                <w:sz w:val="20"/>
                <w:szCs w:val="20"/>
              </w:rPr>
            </w:pPr>
            <w:r>
              <w:rPr>
                <w:color w:val="000000"/>
                <w:sz w:val="20"/>
                <w:szCs w:val="20"/>
              </w:rPr>
              <w:t>(0.398)</w:t>
            </w:r>
          </w:p>
        </w:tc>
      </w:tr>
      <w:tr w:rsidR="00DC7146" w:rsidRPr="00261857" w14:paraId="632100A8" w14:textId="77777777" w:rsidTr="00DC7146">
        <w:trPr>
          <w:trHeight w:val="255"/>
        </w:trPr>
        <w:tc>
          <w:tcPr>
            <w:tcW w:w="1920" w:type="dxa"/>
            <w:tcBorders>
              <w:top w:val="nil"/>
              <w:left w:val="nil"/>
              <w:bottom w:val="nil"/>
              <w:right w:val="nil"/>
            </w:tcBorders>
            <w:shd w:val="clear" w:color="auto" w:fill="auto"/>
            <w:noWrap/>
            <w:vAlign w:val="bottom"/>
            <w:hideMark/>
          </w:tcPr>
          <w:p w14:paraId="3E258AF3" w14:textId="2B6DDCE4" w:rsidR="00DC7146" w:rsidRPr="00261857" w:rsidRDefault="00DC7146" w:rsidP="00DC7146">
            <w:pPr>
              <w:rPr>
                <w:rFonts w:eastAsia="Times New Roman" w:cs="Times New Roman"/>
                <w:color w:val="000000"/>
                <w:sz w:val="20"/>
                <w:szCs w:val="20"/>
              </w:rPr>
            </w:pPr>
            <w:r>
              <w:rPr>
                <w:color w:val="000000"/>
                <w:sz w:val="20"/>
                <w:szCs w:val="20"/>
              </w:rPr>
              <w:t>School % FRPL</w:t>
            </w:r>
          </w:p>
        </w:tc>
        <w:tc>
          <w:tcPr>
            <w:tcW w:w="1214" w:type="dxa"/>
            <w:tcBorders>
              <w:top w:val="nil"/>
              <w:left w:val="nil"/>
              <w:bottom w:val="nil"/>
              <w:right w:val="nil"/>
            </w:tcBorders>
            <w:shd w:val="clear" w:color="auto" w:fill="auto"/>
            <w:noWrap/>
            <w:vAlign w:val="bottom"/>
            <w:hideMark/>
          </w:tcPr>
          <w:p w14:paraId="4150564F" w14:textId="77777777" w:rsidR="00DC7146" w:rsidRPr="00261857" w:rsidRDefault="00DC7146" w:rsidP="00DC7146">
            <w:pPr>
              <w:rPr>
                <w:rFonts w:eastAsia="Times New Roman" w:cs="Times New Roman"/>
                <w:color w:val="000000"/>
                <w:sz w:val="20"/>
                <w:szCs w:val="20"/>
              </w:rPr>
            </w:pPr>
          </w:p>
        </w:tc>
        <w:tc>
          <w:tcPr>
            <w:tcW w:w="1213" w:type="dxa"/>
            <w:tcBorders>
              <w:top w:val="nil"/>
              <w:left w:val="nil"/>
              <w:bottom w:val="nil"/>
              <w:right w:val="nil"/>
            </w:tcBorders>
            <w:shd w:val="clear" w:color="auto" w:fill="auto"/>
            <w:noWrap/>
            <w:vAlign w:val="bottom"/>
            <w:hideMark/>
          </w:tcPr>
          <w:p w14:paraId="420BD9DC" w14:textId="77777777" w:rsidR="00DC7146" w:rsidRPr="00261857" w:rsidRDefault="00DC7146" w:rsidP="00DC7146">
            <w:pPr>
              <w:jc w:val="cente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5BB1997F" w14:textId="4CF113C5" w:rsidR="00DC7146" w:rsidRPr="00261857" w:rsidRDefault="00DC7146" w:rsidP="00DC7146">
            <w:pPr>
              <w:jc w:val="center"/>
              <w:rPr>
                <w:rFonts w:eastAsia="Times New Roman" w:cs="Times New Roman"/>
                <w:color w:val="000000"/>
                <w:sz w:val="20"/>
                <w:szCs w:val="20"/>
              </w:rPr>
            </w:pPr>
            <w:r>
              <w:rPr>
                <w:color w:val="000000"/>
                <w:sz w:val="20"/>
                <w:szCs w:val="20"/>
              </w:rPr>
              <w:t>-8.362**</w:t>
            </w:r>
          </w:p>
        </w:tc>
        <w:tc>
          <w:tcPr>
            <w:tcW w:w="1166" w:type="dxa"/>
            <w:tcBorders>
              <w:top w:val="nil"/>
              <w:left w:val="nil"/>
              <w:bottom w:val="nil"/>
              <w:right w:val="nil"/>
            </w:tcBorders>
            <w:shd w:val="clear" w:color="auto" w:fill="auto"/>
            <w:noWrap/>
            <w:vAlign w:val="bottom"/>
            <w:hideMark/>
          </w:tcPr>
          <w:p w14:paraId="475A8F67"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783C3C54" w14:textId="77777777" w:rsidR="00DC7146" w:rsidRPr="00261857" w:rsidRDefault="00DC7146" w:rsidP="00DC714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39E36185" w14:textId="5473FAC1" w:rsidR="00DC7146" w:rsidRPr="00261857" w:rsidRDefault="00DC7146" w:rsidP="00DC7146">
            <w:pPr>
              <w:jc w:val="center"/>
              <w:rPr>
                <w:rFonts w:eastAsia="Times New Roman" w:cs="Times New Roman"/>
                <w:color w:val="000000"/>
                <w:sz w:val="20"/>
                <w:szCs w:val="20"/>
              </w:rPr>
            </w:pPr>
            <w:r>
              <w:rPr>
                <w:color w:val="000000"/>
                <w:sz w:val="20"/>
                <w:szCs w:val="20"/>
              </w:rPr>
              <w:t>-11.799</w:t>
            </w:r>
          </w:p>
        </w:tc>
      </w:tr>
      <w:tr w:rsidR="00DC7146" w:rsidRPr="00261857" w14:paraId="129736EB" w14:textId="77777777" w:rsidTr="00DC7146">
        <w:trPr>
          <w:trHeight w:val="255"/>
        </w:trPr>
        <w:tc>
          <w:tcPr>
            <w:tcW w:w="1920" w:type="dxa"/>
            <w:tcBorders>
              <w:top w:val="nil"/>
              <w:left w:val="nil"/>
              <w:bottom w:val="nil"/>
              <w:right w:val="nil"/>
            </w:tcBorders>
            <w:shd w:val="clear" w:color="auto" w:fill="auto"/>
            <w:noWrap/>
            <w:vAlign w:val="bottom"/>
            <w:hideMark/>
          </w:tcPr>
          <w:p w14:paraId="042328F7"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53E74FD7" w14:textId="77777777" w:rsidR="00DC7146" w:rsidRPr="00261857" w:rsidRDefault="00DC7146" w:rsidP="00DC7146">
            <w:pP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6BEEC937" w14:textId="77777777" w:rsidR="00DC7146" w:rsidRPr="00261857" w:rsidRDefault="00DC7146" w:rsidP="00DC7146">
            <w:pPr>
              <w:jc w:val="cente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42AA2237" w14:textId="237F0352" w:rsidR="00DC7146" w:rsidRPr="00261857" w:rsidRDefault="00DC7146" w:rsidP="00DC7146">
            <w:pPr>
              <w:jc w:val="center"/>
              <w:rPr>
                <w:rFonts w:eastAsia="Times New Roman" w:cs="Times New Roman"/>
                <w:color w:val="000000"/>
                <w:sz w:val="20"/>
                <w:szCs w:val="20"/>
              </w:rPr>
            </w:pPr>
            <w:r>
              <w:rPr>
                <w:color w:val="000000"/>
                <w:sz w:val="20"/>
                <w:szCs w:val="20"/>
              </w:rPr>
              <w:t>(3.349)</w:t>
            </w:r>
          </w:p>
        </w:tc>
        <w:tc>
          <w:tcPr>
            <w:tcW w:w="1166" w:type="dxa"/>
            <w:tcBorders>
              <w:top w:val="nil"/>
              <w:left w:val="nil"/>
              <w:bottom w:val="nil"/>
              <w:right w:val="nil"/>
            </w:tcBorders>
            <w:shd w:val="clear" w:color="auto" w:fill="auto"/>
            <w:noWrap/>
            <w:vAlign w:val="bottom"/>
            <w:hideMark/>
          </w:tcPr>
          <w:p w14:paraId="13EF6CBA"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632ADFC1" w14:textId="77777777" w:rsidR="00DC7146" w:rsidRPr="00261857" w:rsidRDefault="00DC7146" w:rsidP="00DC714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7ED6D430" w14:textId="0BF0DA83" w:rsidR="00DC7146" w:rsidRPr="00261857" w:rsidRDefault="00DC7146" w:rsidP="00DC7146">
            <w:pPr>
              <w:jc w:val="center"/>
              <w:rPr>
                <w:rFonts w:eastAsia="Times New Roman" w:cs="Times New Roman"/>
                <w:color w:val="000000"/>
                <w:sz w:val="20"/>
                <w:szCs w:val="20"/>
              </w:rPr>
            </w:pPr>
            <w:r>
              <w:rPr>
                <w:color w:val="000000"/>
                <w:sz w:val="20"/>
                <w:szCs w:val="20"/>
              </w:rPr>
              <w:t>(7.216)</w:t>
            </w:r>
          </w:p>
        </w:tc>
      </w:tr>
      <w:tr w:rsidR="00DC7146" w:rsidRPr="00261857" w14:paraId="42DB8D05" w14:textId="77777777" w:rsidTr="00DC7146">
        <w:trPr>
          <w:trHeight w:val="255"/>
        </w:trPr>
        <w:tc>
          <w:tcPr>
            <w:tcW w:w="1920" w:type="dxa"/>
            <w:tcBorders>
              <w:top w:val="nil"/>
              <w:left w:val="nil"/>
              <w:bottom w:val="nil"/>
              <w:right w:val="nil"/>
            </w:tcBorders>
            <w:shd w:val="clear" w:color="auto" w:fill="auto"/>
            <w:noWrap/>
            <w:vAlign w:val="bottom"/>
            <w:hideMark/>
          </w:tcPr>
          <w:p w14:paraId="4E22840D" w14:textId="19CCC51A" w:rsidR="00DC7146" w:rsidRPr="00261857" w:rsidRDefault="00DC7146" w:rsidP="00DC7146">
            <w:pPr>
              <w:rPr>
                <w:rFonts w:eastAsia="Times New Roman" w:cs="Times New Roman"/>
                <w:color w:val="000000"/>
                <w:sz w:val="20"/>
                <w:szCs w:val="20"/>
              </w:rPr>
            </w:pPr>
            <w:r>
              <w:rPr>
                <w:color w:val="000000"/>
                <w:sz w:val="20"/>
                <w:szCs w:val="20"/>
              </w:rPr>
              <w:t>School % EL</w:t>
            </w:r>
          </w:p>
        </w:tc>
        <w:tc>
          <w:tcPr>
            <w:tcW w:w="1214" w:type="dxa"/>
            <w:tcBorders>
              <w:top w:val="nil"/>
              <w:left w:val="nil"/>
              <w:bottom w:val="nil"/>
              <w:right w:val="nil"/>
            </w:tcBorders>
            <w:shd w:val="clear" w:color="auto" w:fill="auto"/>
            <w:noWrap/>
            <w:vAlign w:val="bottom"/>
            <w:hideMark/>
          </w:tcPr>
          <w:p w14:paraId="1D30C6C8" w14:textId="77777777" w:rsidR="00DC7146" w:rsidRPr="00261857" w:rsidRDefault="00DC7146" w:rsidP="00DC7146">
            <w:pPr>
              <w:rPr>
                <w:rFonts w:eastAsia="Times New Roman" w:cs="Times New Roman"/>
                <w:color w:val="000000"/>
                <w:sz w:val="20"/>
                <w:szCs w:val="20"/>
              </w:rPr>
            </w:pPr>
          </w:p>
        </w:tc>
        <w:tc>
          <w:tcPr>
            <w:tcW w:w="1213" w:type="dxa"/>
            <w:tcBorders>
              <w:top w:val="nil"/>
              <w:left w:val="nil"/>
              <w:bottom w:val="nil"/>
              <w:right w:val="nil"/>
            </w:tcBorders>
            <w:shd w:val="clear" w:color="auto" w:fill="auto"/>
            <w:noWrap/>
            <w:vAlign w:val="bottom"/>
            <w:hideMark/>
          </w:tcPr>
          <w:p w14:paraId="7346BB3F" w14:textId="77777777" w:rsidR="00DC7146" w:rsidRPr="00261857" w:rsidRDefault="00DC7146" w:rsidP="00DC7146">
            <w:pPr>
              <w:jc w:val="cente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7B8A62DC" w14:textId="50443CD0" w:rsidR="00DC7146" w:rsidRPr="00261857" w:rsidRDefault="00DC7146" w:rsidP="00DC7146">
            <w:pPr>
              <w:jc w:val="center"/>
              <w:rPr>
                <w:rFonts w:eastAsia="Times New Roman" w:cs="Times New Roman"/>
                <w:color w:val="000000"/>
                <w:sz w:val="20"/>
                <w:szCs w:val="20"/>
              </w:rPr>
            </w:pPr>
            <w:r>
              <w:rPr>
                <w:color w:val="000000"/>
                <w:sz w:val="20"/>
                <w:szCs w:val="20"/>
              </w:rPr>
              <w:t>4.613</w:t>
            </w:r>
          </w:p>
        </w:tc>
        <w:tc>
          <w:tcPr>
            <w:tcW w:w="1166" w:type="dxa"/>
            <w:tcBorders>
              <w:top w:val="nil"/>
              <w:left w:val="nil"/>
              <w:bottom w:val="nil"/>
              <w:right w:val="nil"/>
            </w:tcBorders>
            <w:shd w:val="clear" w:color="auto" w:fill="auto"/>
            <w:noWrap/>
            <w:vAlign w:val="bottom"/>
            <w:hideMark/>
          </w:tcPr>
          <w:p w14:paraId="06FF7F3F"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12C147F7" w14:textId="77777777" w:rsidR="00DC7146" w:rsidRPr="00261857" w:rsidRDefault="00DC7146" w:rsidP="00DC714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1BF28B6D" w14:textId="2C8C1008" w:rsidR="00DC7146" w:rsidRPr="00261857" w:rsidRDefault="00DC7146" w:rsidP="00DC7146">
            <w:pPr>
              <w:jc w:val="center"/>
              <w:rPr>
                <w:rFonts w:eastAsia="Times New Roman" w:cs="Times New Roman"/>
                <w:color w:val="000000"/>
                <w:sz w:val="20"/>
                <w:szCs w:val="20"/>
              </w:rPr>
            </w:pPr>
            <w:r>
              <w:rPr>
                <w:color w:val="000000"/>
                <w:sz w:val="20"/>
                <w:szCs w:val="20"/>
              </w:rPr>
              <w:t>9.340</w:t>
            </w:r>
          </w:p>
        </w:tc>
      </w:tr>
      <w:tr w:rsidR="00DC7146" w:rsidRPr="00261857" w14:paraId="60DFE1EF" w14:textId="77777777" w:rsidTr="00DC7146">
        <w:trPr>
          <w:trHeight w:val="255"/>
        </w:trPr>
        <w:tc>
          <w:tcPr>
            <w:tcW w:w="1920" w:type="dxa"/>
            <w:tcBorders>
              <w:top w:val="nil"/>
              <w:left w:val="nil"/>
              <w:bottom w:val="nil"/>
              <w:right w:val="nil"/>
            </w:tcBorders>
            <w:shd w:val="clear" w:color="auto" w:fill="auto"/>
            <w:noWrap/>
            <w:vAlign w:val="bottom"/>
            <w:hideMark/>
          </w:tcPr>
          <w:p w14:paraId="7BBDCA09" w14:textId="77777777" w:rsidR="00DC7146" w:rsidRPr="00261857" w:rsidRDefault="00DC7146" w:rsidP="00DC7146">
            <w:pPr>
              <w:jc w:val="center"/>
              <w:rPr>
                <w:rFonts w:eastAsia="Times New Roman" w:cs="Times New Roman"/>
                <w:color w:val="000000"/>
                <w:sz w:val="20"/>
                <w:szCs w:val="20"/>
              </w:rPr>
            </w:pPr>
          </w:p>
        </w:tc>
        <w:tc>
          <w:tcPr>
            <w:tcW w:w="1214" w:type="dxa"/>
            <w:tcBorders>
              <w:top w:val="nil"/>
              <w:left w:val="nil"/>
              <w:bottom w:val="nil"/>
              <w:right w:val="nil"/>
            </w:tcBorders>
            <w:shd w:val="clear" w:color="auto" w:fill="auto"/>
            <w:noWrap/>
            <w:vAlign w:val="bottom"/>
            <w:hideMark/>
          </w:tcPr>
          <w:p w14:paraId="3AFCB794" w14:textId="77777777" w:rsidR="00DC7146" w:rsidRPr="00261857" w:rsidRDefault="00DC7146" w:rsidP="00DC7146">
            <w:pP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0C1B696F" w14:textId="77777777" w:rsidR="00DC7146" w:rsidRPr="00261857" w:rsidRDefault="00DC7146" w:rsidP="00DC7146">
            <w:pPr>
              <w:jc w:val="center"/>
              <w:rPr>
                <w:rFonts w:eastAsia="Times New Roman" w:cs="Times New Roman"/>
                <w:sz w:val="20"/>
                <w:szCs w:val="20"/>
              </w:rPr>
            </w:pPr>
          </w:p>
        </w:tc>
        <w:tc>
          <w:tcPr>
            <w:tcW w:w="1213" w:type="dxa"/>
            <w:tcBorders>
              <w:top w:val="nil"/>
              <w:left w:val="nil"/>
              <w:bottom w:val="nil"/>
              <w:right w:val="nil"/>
            </w:tcBorders>
            <w:shd w:val="clear" w:color="auto" w:fill="auto"/>
            <w:noWrap/>
            <w:vAlign w:val="bottom"/>
            <w:hideMark/>
          </w:tcPr>
          <w:p w14:paraId="12A87170" w14:textId="54871792" w:rsidR="00DC7146" w:rsidRPr="00261857" w:rsidRDefault="00DC7146" w:rsidP="00DC7146">
            <w:pPr>
              <w:jc w:val="center"/>
              <w:rPr>
                <w:rFonts w:eastAsia="Times New Roman" w:cs="Times New Roman"/>
                <w:color w:val="000000"/>
                <w:sz w:val="20"/>
                <w:szCs w:val="20"/>
              </w:rPr>
            </w:pPr>
            <w:r>
              <w:rPr>
                <w:color w:val="000000"/>
                <w:sz w:val="20"/>
                <w:szCs w:val="20"/>
              </w:rPr>
              <w:t>(7.576)</w:t>
            </w:r>
          </w:p>
        </w:tc>
        <w:tc>
          <w:tcPr>
            <w:tcW w:w="1166" w:type="dxa"/>
            <w:tcBorders>
              <w:top w:val="nil"/>
              <w:left w:val="nil"/>
              <w:bottom w:val="nil"/>
              <w:right w:val="nil"/>
            </w:tcBorders>
            <w:shd w:val="clear" w:color="auto" w:fill="auto"/>
            <w:noWrap/>
            <w:vAlign w:val="bottom"/>
            <w:hideMark/>
          </w:tcPr>
          <w:p w14:paraId="63148C4F" w14:textId="77777777" w:rsidR="00DC7146" w:rsidRPr="00261857" w:rsidRDefault="00DC7146" w:rsidP="00DC714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26579C80" w14:textId="77777777" w:rsidR="00DC7146" w:rsidRPr="00261857" w:rsidRDefault="00DC7146" w:rsidP="00DC714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0A1BA043" w14:textId="618289C3" w:rsidR="00DC7146" w:rsidRPr="00261857" w:rsidRDefault="00DC7146" w:rsidP="00DC7146">
            <w:pPr>
              <w:jc w:val="center"/>
              <w:rPr>
                <w:rFonts w:eastAsia="Times New Roman" w:cs="Times New Roman"/>
                <w:color w:val="000000"/>
                <w:sz w:val="20"/>
                <w:szCs w:val="20"/>
              </w:rPr>
            </w:pPr>
            <w:r>
              <w:rPr>
                <w:color w:val="000000"/>
                <w:sz w:val="20"/>
                <w:szCs w:val="20"/>
              </w:rPr>
              <w:t>(16.336)</w:t>
            </w:r>
          </w:p>
        </w:tc>
      </w:tr>
      <w:tr w:rsidR="00DC7146" w:rsidRPr="00261857" w14:paraId="5ECF8D35" w14:textId="77777777" w:rsidTr="00DC7146">
        <w:trPr>
          <w:trHeight w:val="255"/>
        </w:trPr>
        <w:tc>
          <w:tcPr>
            <w:tcW w:w="1920" w:type="dxa"/>
            <w:tcBorders>
              <w:top w:val="nil"/>
              <w:left w:val="nil"/>
              <w:bottom w:val="nil"/>
              <w:right w:val="nil"/>
            </w:tcBorders>
            <w:shd w:val="clear" w:color="auto" w:fill="auto"/>
            <w:noWrap/>
            <w:vAlign w:val="bottom"/>
            <w:hideMark/>
          </w:tcPr>
          <w:p w14:paraId="07EB857D" w14:textId="60560202" w:rsidR="00DC7146" w:rsidRPr="00261857" w:rsidRDefault="00DC7146" w:rsidP="00DC7146">
            <w:pPr>
              <w:rPr>
                <w:rFonts w:eastAsia="Times New Roman" w:cs="Times New Roman"/>
                <w:color w:val="000000"/>
                <w:sz w:val="20"/>
                <w:szCs w:val="20"/>
              </w:rPr>
            </w:pPr>
            <w:r>
              <w:rPr>
                <w:color w:val="000000"/>
                <w:sz w:val="20"/>
                <w:szCs w:val="20"/>
              </w:rPr>
              <w:t>Student Covariates</w:t>
            </w:r>
          </w:p>
        </w:tc>
        <w:tc>
          <w:tcPr>
            <w:tcW w:w="1214" w:type="dxa"/>
            <w:tcBorders>
              <w:top w:val="nil"/>
              <w:left w:val="nil"/>
              <w:bottom w:val="nil"/>
              <w:right w:val="nil"/>
            </w:tcBorders>
            <w:shd w:val="clear" w:color="auto" w:fill="auto"/>
            <w:noWrap/>
            <w:vAlign w:val="bottom"/>
            <w:hideMark/>
          </w:tcPr>
          <w:p w14:paraId="716CC2F5" w14:textId="048EC0D7" w:rsidR="00DC7146" w:rsidRPr="00261857" w:rsidRDefault="00DC7146" w:rsidP="00DC7146">
            <w:pPr>
              <w:jc w:val="center"/>
              <w:rPr>
                <w:rFonts w:eastAsia="Times New Roman" w:cs="Times New Roman"/>
                <w:color w:val="000000"/>
                <w:sz w:val="20"/>
                <w:szCs w:val="20"/>
              </w:rPr>
            </w:pPr>
            <w:r>
              <w:rPr>
                <w:color w:val="000000"/>
                <w:sz w:val="20"/>
                <w:szCs w:val="20"/>
              </w:rPr>
              <w:t>no</w:t>
            </w:r>
          </w:p>
        </w:tc>
        <w:tc>
          <w:tcPr>
            <w:tcW w:w="1213" w:type="dxa"/>
            <w:tcBorders>
              <w:top w:val="nil"/>
              <w:left w:val="nil"/>
              <w:bottom w:val="nil"/>
              <w:right w:val="nil"/>
            </w:tcBorders>
            <w:shd w:val="clear" w:color="auto" w:fill="auto"/>
            <w:noWrap/>
            <w:vAlign w:val="bottom"/>
            <w:hideMark/>
          </w:tcPr>
          <w:p w14:paraId="748013D5" w14:textId="5FA0C87A" w:rsidR="00DC7146" w:rsidRPr="00261857" w:rsidRDefault="00DC7146" w:rsidP="00DC7146">
            <w:pPr>
              <w:jc w:val="center"/>
              <w:rPr>
                <w:rFonts w:eastAsia="Times New Roman" w:cs="Times New Roman"/>
                <w:color w:val="000000"/>
                <w:sz w:val="20"/>
                <w:szCs w:val="20"/>
              </w:rPr>
            </w:pPr>
            <w:r>
              <w:rPr>
                <w:color w:val="000000"/>
                <w:sz w:val="20"/>
                <w:szCs w:val="20"/>
              </w:rPr>
              <w:t>yes</w:t>
            </w:r>
          </w:p>
        </w:tc>
        <w:tc>
          <w:tcPr>
            <w:tcW w:w="1213" w:type="dxa"/>
            <w:tcBorders>
              <w:top w:val="nil"/>
              <w:left w:val="nil"/>
              <w:bottom w:val="nil"/>
              <w:right w:val="nil"/>
            </w:tcBorders>
            <w:shd w:val="clear" w:color="auto" w:fill="auto"/>
            <w:noWrap/>
            <w:vAlign w:val="bottom"/>
            <w:hideMark/>
          </w:tcPr>
          <w:p w14:paraId="7085C2B2" w14:textId="17FF79CA" w:rsidR="00DC7146" w:rsidRPr="00261857" w:rsidRDefault="00DC7146" w:rsidP="00DC7146">
            <w:pPr>
              <w:jc w:val="center"/>
              <w:rPr>
                <w:rFonts w:eastAsia="Times New Roman" w:cs="Times New Roman"/>
                <w:color w:val="000000"/>
                <w:sz w:val="20"/>
                <w:szCs w:val="20"/>
              </w:rPr>
            </w:pPr>
            <w:r>
              <w:rPr>
                <w:color w:val="000000"/>
                <w:sz w:val="20"/>
                <w:szCs w:val="20"/>
              </w:rPr>
              <w:t>yes</w:t>
            </w:r>
          </w:p>
        </w:tc>
        <w:tc>
          <w:tcPr>
            <w:tcW w:w="1166" w:type="dxa"/>
            <w:tcBorders>
              <w:top w:val="nil"/>
              <w:left w:val="nil"/>
              <w:bottom w:val="nil"/>
              <w:right w:val="nil"/>
            </w:tcBorders>
            <w:shd w:val="clear" w:color="auto" w:fill="auto"/>
            <w:noWrap/>
            <w:vAlign w:val="bottom"/>
            <w:hideMark/>
          </w:tcPr>
          <w:p w14:paraId="568B0B4B" w14:textId="17F1C6A9" w:rsidR="00DC7146" w:rsidRPr="00261857" w:rsidRDefault="00DC7146" w:rsidP="00DC7146">
            <w:pPr>
              <w:jc w:val="center"/>
              <w:rPr>
                <w:rFonts w:eastAsia="Times New Roman" w:cs="Times New Roman"/>
                <w:color w:val="000000"/>
                <w:sz w:val="20"/>
                <w:szCs w:val="20"/>
              </w:rPr>
            </w:pPr>
            <w:r>
              <w:rPr>
                <w:color w:val="000000"/>
                <w:sz w:val="20"/>
                <w:szCs w:val="20"/>
              </w:rPr>
              <w:t>no</w:t>
            </w:r>
          </w:p>
        </w:tc>
        <w:tc>
          <w:tcPr>
            <w:tcW w:w="1166" w:type="dxa"/>
            <w:tcBorders>
              <w:top w:val="nil"/>
              <w:left w:val="nil"/>
              <w:bottom w:val="nil"/>
              <w:right w:val="nil"/>
            </w:tcBorders>
            <w:shd w:val="clear" w:color="auto" w:fill="auto"/>
            <w:noWrap/>
            <w:vAlign w:val="bottom"/>
            <w:hideMark/>
          </w:tcPr>
          <w:p w14:paraId="2F3D13FD" w14:textId="27686CB2" w:rsidR="00DC7146" w:rsidRPr="00261857" w:rsidRDefault="00DC7146" w:rsidP="00DC7146">
            <w:pPr>
              <w:jc w:val="center"/>
              <w:rPr>
                <w:rFonts w:eastAsia="Times New Roman" w:cs="Times New Roman"/>
                <w:color w:val="000000"/>
                <w:sz w:val="20"/>
                <w:szCs w:val="20"/>
              </w:rPr>
            </w:pPr>
            <w:r>
              <w:rPr>
                <w:color w:val="000000"/>
                <w:sz w:val="20"/>
                <w:szCs w:val="20"/>
              </w:rPr>
              <w:t>yes</w:t>
            </w:r>
          </w:p>
        </w:tc>
        <w:tc>
          <w:tcPr>
            <w:tcW w:w="1166" w:type="dxa"/>
            <w:tcBorders>
              <w:top w:val="nil"/>
              <w:left w:val="nil"/>
              <w:bottom w:val="nil"/>
              <w:right w:val="nil"/>
            </w:tcBorders>
            <w:shd w:val="clear" w:color="auto" w:fill="auto"/>
            <w:noWrap/>
            <w:vAlign w:val="bottom"/>
            <w:hideMark/>
          </w:tcPr>
          <w:p w14:paraId="55349F49" w14:textId="71F92D77" w:rsidR="00DC7146" w:rsidRPr="00261857" w:rsidRDefault="00DC7146" w:rsidP="00DC7146">
            <w:pPr>
              <w:jc w:val="center"/>
              <w:rPr>
                <w:rFonts w:eastAsia="Times New Roman" w:cs="Times New Roman"/>
                <w:color w:val="000000"/>
                <w:sz w:val="20"/>
                <w:szCs w:val="20"/>
              </w:rPr>
            </w:pPr>
            <w:r>
              <w:rPr>
                <w:color w:val="000000"/>
                <w:sz w:val="20"/>
                <w:szCs w:val="20"/>
              </w:rPr>
              <w:t>yes</w:t>
            </w:r>
          </w:p>
        </w:tc>
      </w:tr>
      <w:tr w:rsidR="00DC7146" w:rsidRPr="00261857" w14:paraId="461D5F8F" w14:textId="77777777" w:rsidTr="00DC7146">
        <w:trPr>
          <w:trHeight w:val="255"/>
        </w:trPr>
        <w:tc>
          <w:tcPr>
            <w:tcW w:w="1920" w:type="dxa"/>
            <w:tcBorders>
              <w:top w:val="nil"/>
              <w:left w:val="nil"/>
              <w:bottom w:val="nil"/>
              <w:right w:val="nil"/>
            </w:tcBorders>
            <w:shd w:val="clear" w:color="auto" w:fill="auto"/>
            <w:noWrap/>
            <w:vAlign w:val="bottom"/>
            <w:hideMark/>
          </w:tcPr>
          <w:p w14:paraId="5B69145A" w14:textId="0D453BAA" w:rsidR="00DC7146" w:rsidRPr="00261857" w:rsidRDefault="00DC7146" w:rsidP="00DC7146">
            <w:pPr>
              <w:rPr>
                <w:rFonts w:eastAsia="Times New Roman" w:cs="Times New Roman"/>
                <w:color w:val="000000"/>
                <w:sz w:val="20"/>
                <w:szCs w:val="20"/>
              </w:rPr>
            </w:pPr>
            <w:r>
              <w:rPr>
                <w:color w:val="000000"/>
                <w:sz w:val="20"/>
                <w:szCs w:val="20"/>
              </w:rPr>
              <w:t>School Covariates</w:t>
            </w:r>
          </w:p>
        </w:tc>
        <w:tc>
          <w:tcPr>
            <w:tcW w:w="1214" w:type="dxa"/>
            <w:tcBorders>
              <w:top w:val="nil"/>
              <w:left w:val="nil"/>
              <w:bottom w:val="nil"/>
              <w:right w:val="nil"/>
            </w:tcBorders>
            <w:shd w:val="clear" w:color="auto" w:fill="auto"/>
            <w:noWrap/>
            <w:vAlign w:val="bottom"/>
            <w:hideMark/>
          </w:tcPr>
          <w:p w14:paraId="693EA253" w14:textId="2E4A89F4" w:rsidR="00DC7146" w:rsidRPr="00261857" w:rsidRDefault="00DC7146" w:rsidP="00DC7146">
            <w:pPr>
              <w:jc w:val="center"/>
              <w:rPr>
                <w:rFonts w:eastAsia="Times New Roman" w:cs="Times New Roman"/>
                <w:color w:val="000000"/>
                <w:sz w:val="20"/>
                <w:szCs w:val="20"/>
              </w:rPr>
            </w:pPr>
            <w:r>
              <w:rPr>
                <w:color w:val="000000"/>
                <w:sz w:val="20"/>
                <w:szCs w:val="20"/>
              </w:rPr>
              <w:t>no</w:t>
            </w:r>
          </w:p>
        </w:tc>
        <w:tc>
          <w:tcPr>
            <w:tcW w:w="1213" w:type="dxa"/>
            <w:tcBorders>
              <w:top w:val="nil"/>
              <w:left w:val="nil"/>
              <w:bottom w:val="nil"/>
              <w:right w:val="nil"/>
            </w:tcBorders>
            <w:shd w:val="clear" w:color="auto" w:fill="auto"/>
            <w:noWrap/>
            <w:vAlign w:val="bottom"/>
            <w:hideMark/>
          </w:tcPr>
          <w:p w14:paraId="22E63DFE" w14:textId="6896120F" w:rsidR="00DC7146" w:rsidRPr="00261857" w:rsidRDefault="00DC7146" w:rsidP="00DC7146">
            <w:pPr>
              <w:jc w:val="center"/>
              <w:rPr>
                <w:rFonts w:eastAsia="Times New Roman" w:cs="Times New Roman"/>
                <w:color w:val="000000"/>
                <w:sz w:val="20"/>
                <w:szCs w:val="20"/>
              </w:rPr>
            </w:pPr>
            <w:r>
              <w:rPr>
                <w:color w:val="000000"/>
                <w:sz w:val="20"/>
                <w:szCs w:val="20"/>
              </w:rPr>
              <w:t>no</w:t>
            </w:r>
          </w:p>
        </w:tc>
        <w:tc>
          <w:tcPr>
            <w:tcW w:w="1213" w:type="dxa"/>
            <w:tcBorders>
              <w:top w:val="nil"/>
              <w:left w:val="nil"/>
              <w:bottom w:val="nil"/>
              <w:right w:val="nil"/>
            </w:tcBorders>
            <w:shd w:val="clear" w:color="auto" w:fill="auto"/>
            <w:noWrap/>
            <w:vAlign w:val="bottom"/>
            <w:hideMark/>
          </w:tcPr>
          <w:p w14:paraId="75E50C11" w14:textId="09A96309" w:rsidR="00DC7146" w:rsidRPr="00261857" w:rsidRDefault="00DC7146" w:rsidP="00DC7146">
            <w:pPr>
              <w:jc w:val="center"/>
              <w:rPr>
                <w:rFonts w:eastAsia="Times New Roman" w:cs="Times New Roman"/>
                <w:color w:val="000000"/>
                <w:sz w:val="20"/>
                <w:szCs w:val="20"/>
              </w:rPr>
            </w:pPr>
            <w:r>
              <w:rPr>
                <w:color w:val="000000"/>
                <w:sz w:val="20"/>
                <w:szCs w:val="20"/>
              </w:rPr>
              <w:t>yes</w:t>
            </w:r>
          </w:p>
        </w:tc>
        <w:tc>
          <w:tcPr>
            <w:tcW w:w="1166" w:type="dxa"/>
            <w:tcBorders>
              <w:top w:val="nil"/>
              <w:left w:val="nil"/>
              <w:bottom w:val="nil"/>
              <w:right w:val="nil"/>
            </w:tcBorders>
            <w:shd w:val="clear" w:color="auto" w:fill="auto"/>
            <w:noWrap/>
            <w:vAlign w:val="bottom"/>
            <w:hideMark/>
          </w:tcPr>
          <w:p w14:paraId="6F0CDD5C" w14:textId="047DDAF2" w:rsidR="00DC7146" w:rsidRPr="00261857" w:rsidRDefault="00DC7146" w:rsidP="00DC7146">
            <w:pPr>
              <w:jc w:val="center"/>
              <w:rPr>
                <w:rFonts w:eastAsia="Times New Roman" w:cs="Times New Roman"/>
                <w:color w:val="000000"/>
                <w:sz w:val="20"/>
                <w:szCs w:val="20"/>
              </w:rPr>
            </w:pPr>
            <w:r>
              <w:rPr>
                <w:color w:val="000000"/>
                <w:sz w:val="20"/>
                <w:szCs w:val="20"/>
              </w:rPr>
              <w:t>no</w:t>
            </w:r>
          </w:p>
        </w:tc>
        <w:tc>
          <w:tcPr>
            <w:tcW w:w="1166" w:type="dxa"/>
            <w:tcBorders>
              <w:top w:val="nil"/>
              <w:left w:val="nil"/>
              <w:bottom w:val="nil"/>
              <w:right w:val="nil"/>
            </w:tcBorders>
            <w:shd w:val="clear" w:color="auto" w:fill="auto"/>
            <w:noWrap/>
            <w:vAlign w:val="bottom"/>
            <w:hideMark/>
          </w:tcPr>
          <w:p w14:paraId="5B9515EB" w14:textId="556EC8BA" w:rsidR="00DC7146" w:rsidRPr="00261857" w:rsidRDefault="00DC7146" w:rsidP="00DC7146">
            <w:pPr>
              <w:jc w:val="center"/>
              <w:rPr>
                <w:rFonts w:eastAsia="Times New Roman" w:cs="Times New Roman"/>
                <w:color w:val="000000"/>
                <w:sz w:val="20"/>
                <w:szCs w:val="20"/>
              </w:rPr>
            </w:pPr>
            <w:r>
              <w:rPr>
                <w:color w:val="000000"/>
                <w:sz w:val="20"/>
                <w:szCs w:val="20"/>
              </w:rPr>
              <w:t>no</w:t>
            </w:r>
          </w:p>
        </w:tc>
        <w:tc>
          <w:tcPr>
            <w:tcW w:w="1166" w:type="dxa"/>
            <w:tcBorders>
              <w:top w:val="nil"/>
              <w:left w:val="nil"/>
              <w:bottom w:val="nil"/>
              <w:right w:val="nil"/>
            </w:tcBorders>
            <w:shd w:val="clear" w:color="auto" w:fill="auto"/>
            <w:noWrap/>
            <w:vAlign w:val="bottom"/>
            <w:hideMark/>
          </w:tcPr>
          <w:p w14:paraId="0176D030" w14:textId="1A3A483C" w:rsidR="00DC7146" w:rsidRPr="00261857" w:rsidRDefault="00DC7146" w:rsidP="00DC7146">
            <w:pPr>
              <w:jc w:val="center"/>
              <w:rPr>
                <w:rFonts w:eastAsia="Times New Roman" w:cs="Times New Roman"/>
                <w:color w:val="000000"/>
                <w:sz w:val="20"/>
                <w:szCs w:val="20"/>
              </w:rPr>
            </w:pPr>
            <w:r>
              <w:rPr>
                <w:color w:val="000000"/>
                <w:sz w:val="20"/>
                <w:szCs w:val="20"/>
              </w:rPr>
              <w:t>yes</w:t>
            </w:r>
          </w:p>
        </w:tc>
      </w:tr>
      <w:tr w:rsidR="00DC7146" w:rsidRPr="00261857" w14:paraId="14F201C0" w14:textId="77777777" w:rsidTr="00DC7146">
        <w:trPr>
          <w:trHeight w:val="255"/>
        </w:trPr>
        <w:tc>
          <w:tcPr>
            <w:tcW w:w="1920" w:type="dxa"/>
            <w:tcBorders>
              <w:top w:val="nil"/>
              <w:left w:val="nil"/>
              <w:bottom w:val="nil"/>
              <w:right w:val="nil"/>
            </w:tcBorders>
            <w:shd w:val="clear" w:color="auto" w:fill="auto"/>
            <w:noWrap/>
            <w:vAlign w:val="bottom"/>
            <w:hideMark/>
          </w:tcPr>
          <w:p w14:paraId="6FE7CB89" w14:textId="003D6EB6" w:rsidR="00DC7146" w:rsidRPr="00261857" w:rsidRDefault="00DC7146" w:rsidP="00DC7146">
            <w:pPr>
              <w:rPr>
                <w:rFonts w:eastAsia="Times New Roman" w:cs="Times New Roman"/>
                <w:color w:val="000000"/>
                <w:sz w:val="20"/>
                <w:szCs w:val="20"/>
              </w:rPr>
            </w:pPr>
            <w:r>
              <w:rPr>
                <w:color w:val="000000"/>
                <w:sz w:val="20"/>
                <w:szCs w:val="20"/>
              </w:rPr>
              <w:t>Test Scores</w:t>
            </w:r>
          </w:p>
        </w:tc>
        <w:tc>
          <w:tcPr>
            <w:tcW w:w="1214" w:type="dxa"/>
            <w:tcBorders>
              <w:top w:val="nil"/>
              <w:left w:val="nil"/>
              <w:bottom w:val="nil"/>
              <w:right w:val="nil"/>
            </w:tcBorders>
            <w:shd w:val="clear" w:color="auto" w:fill="auto"/>
            <w:noWrap/>
            <w:vAlign w:val="bottom"/>
            <w:hideMark/>
          </w:tcPr>
          <w:p w14:paraId="2A78433A" w14:textId="02E57959" w:rsidR="00DC7146" w:rsidRPr="00261857" w:rsidRDefault="00DC7146" w:rsidP="00DC7146">
            <w:pPr>
              <w:jc w:val="center"/>
              <w:rPr>
                <w:rFonts w:eastAsia="Times New Roman" w:cs="Times New Roman"/>
                <w:color w:val="000000"/>
                <w:sz w:val="20"/>
                <w:szCs w:val="20"/>
              </w:rPr>
            </w:pPr>
            <w:r>
              <w:rPr>
                <w:color w:val="000000"/>
                <w:sz w:val="20"/>
                <w:szCs w:val="20"/>
              </w:rPr>
              <w:t>156212</w:t>
            </w:r>
          </w:p>
        </w:tc>
        <w:tc>
          <w:tcPr>
            <w:tcW w:w="1213" w:type="dxa"/>
            <w:tcBorders>
              <w:top w:val="nil"/>
              <w:left w:val="nil"/>
              <w:bottom w:val="nil"/>
              <w:right w:val="nil"/>
            </w:tcBorders>
            <w:shd w:val="clear" w:color="auto" w:fill="auto"/>
            <w:noWrap/>
            <w:vAlign w:val="bottom"/>
            <w:hideMark/>
          </w:tcPr>
          <w:p w14:paraId="62B7D6AB" w14:textId="45CBFBA7" w:rsidR="00DC7146" w:rsidRPr="00261857" w:rsidRDefault="00DC7146" w:rsidP="00DC7146">
            <w:pPr>
              <w:jc w:val="center"/>
              <w:rPr>
                <w:rFonts w:eastAsia="Times New Roman" w:cs="Times New Roman"/>
                <w:color w:val="000000"/>
                <w:sz w:val="20"/>
                <w:szCs w:val="20"/>
              </w:rPr>
            </w:pPr>
            <w:r>
              <w:rPr>
                <w:color w:val="000000"/>
                <w:sz w:val="20"/>
                <w:szCs w:val="20"/>
              </w:rPr>
              <w:t>156212</w:t>
            </w:r>
          </w:p>
        </w:tc>
        <w:tc>
          <w:tcPr>
            <w:tcW w:w="1213" w:type="dxa"/>
            <w:tcBorders>
              <w:top w:val="nil"/>
              <w:left w:val="nil"/>
              <w:bottom w:val="nil"/>
              <w:right w:val="nil"/>
            </w:tcBorders>
            <w:shd w:val="clear" w:color="auto" w:fill="auto"/>
            <w:noWrap/>
            <w:vAlign w:val="bottom"/>
            <w:hideMark/>
          </w:tcPr>
          <w:p w14:paraId="41B34CB7" w14:textId="427CD5AF" w:rsidR="00DC7146" w:rsidRPr="00261857" w:rsidRDefault="00DC7146" w:rsidP="00DC7146">
            <w:pPr>
              <w:jc w:val="center"/>
              <w:rPr>
                <w:rFonts w:eastAsia="Times New Roman" w:cs="Times New Roman"/>
                <w:color w:val="000000"/>
                <w:sz w:val="20"/>
                <w:szCs w:val="20"/>
              </w:rPr>
            </w:pPr>
            <w:r>
              <w:rPr>
                <w:color w:val="000000"/>
                <w:sz w:val="20"/>
                <w:szCs w:val="20"/>
              </w:rPr>
              <w:t>156212</w:t>
            </w:r>
          </w:p>
        </w:tc>
        <w:tc>
          <w:tcPr>
            <w:tcW w:w="1166" w:type="dxa"/>
            <w:tcBorders>
              <w:top w:val="nil"/>
              <w:left w:val="nil"/>
              <w:bottom w:val="nil"/>
              <w:right w:val="nil"/>
            </w:tcBorders>
            <w:shd w:val="clear" w:color="auto" w:fill="auto"/>
            <w:noWrap/>
            <w:vAlign w:val="bottom"/>
            <w:hideMark/>
          </w:tcPr>
          <w:p w14:paraId="1692E638" w14:textId="0A87D929" w:rsidR="00DC7146" w:rsidRPr="00261857" w:rsidRDefault="00DC7146" w:rsidP="00DC7146">
            <w:pPr>
              <w:jc w:val="center"/>
              <w:rPr>
                <w:rFonts w:eastAsia="Times New Roman" w:cs="Times New Roman"/>
                <w:color w:val="000000"/>
                <w:sz w:val="20"/>
                <w:szCs w:val="20"/>
              </w:rPr>
            </w:pPr>
            <w:r>
              <w:rPr>
                <w:color w:val="000000"/>
                <w:sz w:val="20"/>
                <w:szCs w:val="20"/>
              </w:rPr>
              <w:t>155459</w:t>
            </w:r>
          </w:p>
        </w:tc>
        <w:tc>
          <w:tcPr>
            <w:tcW w:w="1166" w:type="dxa"/>
            <w:tcBorders>
              <w:top w:val="nil"/>
              <w:left w:val="nil"/>
              <w:bottom w:val="nil"/>
              <w:right w:val="nil"/>
            </w:tcBorders>
            <w:shd w:val="clear" w:color="auto" w:fill="auto"/>
            <w:noWrap/>
            <w:vAlign w:val="bottom"/>
            <w:hideMark/>
          </w:tcPr>
          <w:p w14:paraId="1C96AEBD" w14:textId="36126DF7" w:rsidR="00DC7146" w:rsidRPr="00261857" w:rsidRDefault="00DC7146" w:rsidP="00DC7146">
            <w:pPr>
              <w:jc w:val="center"/>
              <w:rPr>
                <w:rFonts w:eastAsia="Times New Roman" w:cs="Times New Roman"/>
                <w:color w:val="000000"/>
                <w:sz w:val="20"/>
                <w:szCs w:val="20"/>
              </w:rPr>
            </w:pPr>
            <w:r>
              <w:rPr>
                <w:color w:val="000000"/>
                <w:sz w:val="20"/>
                <w:szCs w:val="20"/>
              </w:rPr>
              <w:t>155459</w:t>
            </w:r>
          </w:p>
        </w:tc>
        <w:tc>
          <w:tcPr>
            <w:tcW w:w="1166" w:type="dxa"/>
            <w:tcBorders>
              <w:top w:val="nil"/>
              <w:left w:val="nil"/>
              <w:bottom w:val="nil"/>
              <w:right w:val="nil"/>
            </w:tcBorders>
            <w:shd w:val="clear" w:color="auto" w:fill="auto"/>
            <w:noWrap/>
            <w:vAlign w:val="bottom"/>
            <w:hideMark/>
          </w:tcPr>
          <w:p w14:paraId="5BBA4B92" w14:textId="453AEDFF" w:rsidR="00DC7146" w:rsidRPr="00261857" w:rsidRDefault="00DC7146" w:rsidP="00DC7146">
            <w:pPr>
              <w:jc w:val="center"/>
              <w:rPr>
                <w:rFonts w:eastAsia="Times New Roman" w:cs="Times New Roman"/>
                <w:color w:val="000000"/>
                <w:sz w:val="20"/>
                <w:szCs w:val="20"/>
              </w:rPr>
            </w:pPr>
            <w:r>
              <w:rPr>
                <w:color w:val="000000"/>
                <w:sz w:val="20"/>
                <w:szCs w:val="20"/>
              </w:rPr>
              <w:t>155459</w:t>
            </w:r>
          </w:p>
        </w:tc>
      </w:tr>
      <w:tr w:rsidR="00DC7146" w:rsidRPr="00261857" w14:paraId="6802DB11" w14:textId="77777777" w:rsidTr="00DC7146">
        <w:trPr>
          <w:trHeight w:val="255"/>
        </w:trPr>
        <w:tc>
          <w:tcPr>
            <w:tcW w:w="1920" w:type="dxa"/>
            <w:tcBorders>
              <w:top w:val="nil"/>
              <w:left w:val="nil"/>
              <w:bottom w:val="nil"/>
              <w:right w:val="nil"/>
            </w:tcBorders>
            <w:shd w:val="clear" w:color="auto" w:fill="auto"/>
            <w:noWrap/>
            <w:vAlign w:val="bottom"/>
            <w:hideMark/>
          </w:tcPr>
          <w:p w14:paraId="2339D0D5" w14:textId="3EC21095" w:rsidR="00DC7146" w:rsidRPr="00261857" w:rsidRDefault="00DC7146" w:rsidP="00DC7146">
            <w:pPr>
              <w:rPr>
                <w:rFonts w:eastAsia="Times New Roman" w:cs="Times New Roman"/>
                <w:color w:val="000000"/>
                <w:sz w:val="20"/>
                <w:szCs w:val="20"/>
              </w:rPr>
            </w:pPr>
            <w:r>
              <w:rPr>
                <w:color w:val="000000"/>
                <w:sz w:val="20"/>
                <w:szCs w:val="20"/>
              </w:rPr>
              <w:t>Students</w:t>
            </w:r>
          </w:p>
        </w:tc>
        <w:tc>
          <w:tcPr>
            <w:tcW w:w="1214" w:type="dxa"/>
            <w:tcBorders>
              <w:top w:val="nil"/>
              <w:left w:val="nil"/>
              <w:bottom w:val="nil"/>
              <w:right w:val="nil"/>
            </w:tcBorders>
            <w:shd w:val="clear" w:color="auto" w:fill="auto"/>
            <w:noWrap/>
            <w:vAlign w:val="bottom"/>
            <w:hideMark/>
          </w:tcPr>
          <w:p w14:paraId="7C0D4A0D" w14:textId="2985CADF" w:rsidR="00DC7146" w:rsidRPr="00261857" w:rsidRDefault="00DC7146" w:rsidP="00DC7146">
            <w:pPr>
              <w:jc w:val="center"/>
              <w:rPr>
                <w:rFonts w:eastAsia="Times New Roman" w:cs="Times New Roman"/>
                <w:color w:val="000000"/>
                <w:sz w:val="20"/>
                <w:szCs w:val="20"/>
              </w:rPr>
            </w:pPr>
            <w:r>
              <w:rPr>
                <w:color w:val="000000"/>
                <w:sz w:val="20"/>
                <w:szCs w:val="20"/>
              </w:rPr>
              <w:t>14577</w:t>
            </w:r>
          </w:p>
        </w:tc>
        <w:tc>
          <w:tcPr>
            <w:tcW w:w="1213" w:type="dxa"/>
            <w:tcBorders>
              <w:top w:val="nil"/>
              <w:left w:val="nil"/>
              <w:bottom w:val="nil"/>
              <w:right w:val="nil"/>
            </w:tcBorders>
            <w:shd w:val="clear" w:color="auto" w:fill="auto"/>
            <w:noWrap/>
            <w:vAlign w:val="bottom"/>
            <w:hideMark/>
          </w:tcPr>
          <w:p w14:paraId="24DECA4A" w14:textId="6EBAB0F1" w:rsidR="00DC7146" w:rsidRPr="00261857" w:rsidRDefault="00DC7146" w:rsidP="00DC7146">
            <w:pPr>
              <w:jc w:val="center"/>
              <w:rPr>
                <w:rFonts w:eastAsia="Times New Roman" w:cs="Times New Roman"/>
                <w:color w:val="000000"/>
                <w:sz w:val="20"/>
                <w:szCs w:val="20"/>
              </w:rPr>
            </w:pPr>
            <w:r>
              <w:rPr>
                <w:color w:val="000000"/>
                <w:sz w:val="20"/>
                <w:szCs w:val="20"/>
              </w:rPr>
              <w:t>14577</w:t>
            </w:r>
          </w:p>
        </w:tc>
        <w:tc>
          <w:tcPr>
            <w:tcW w:w="1213" w:type="dxa"/>
            <w:tcBorders>
              <w:top w:val="nil"/>
              <w:left w:val="nil"/>
              <w:bottom w:val="nil"/>
              <w:right w:val="nil"/>
            </w:tcBorders>
            <w:shd w:val="clear" w:color="auto" w:fill="auto"/>
            <w:noWrap/>
            <w:vAlign w:val="bottom"/>
            <w:hideMark/>
          </w:tcPr>
          <w:p w14:paraId="12032C36" w14:textId="5B0A147A" w:rsidR="00DC7146" w:rsidRPr="00261857" w:rsidRDefault="00DC7146" w:rsidP="00DC7146">
            <w:pPr>
              <w:jc w:val="center"/>
              <w:rPr>
                <w:rFonts w:eastAsia="Times New Roman" w:cs="Times New Roman"/>
                <w:color w:val="000000"/>
                <w:sz w:val="20"/>
                <w:szCs w:val="20"/>
              </w:rPr>
            </w:pPr>
            <w:r>
              <w:rPr>
                <w:color w:val="000000"/>
                <w:sz w:val="20"/>
                <w:szCs w:val="20"/>
              </w:rPr>
              <w:t>14577</w:t>
            </w:r>
          </w:p>
        </w:tc>
        <w:tc>
          <w:tcPr>
            <w:tcW w:w="1166" w:type="dxa"/>
            <w:tcBorders>
              <w:top w:val="nil"/>
              <w:left w:val="nil"/>
              <w:bottom w:val="nil"/>
              <w:right w:val="nil"/>
            </w:tcBorders>
            <w:shd w:val="clear" w:color="auto" w:fill="auto"/>
            <w:noWrap/>
            <w:vAlign w:val="bottom"/>
            <w:hideMark/>
          </w:tcPr>
          <w:p w14:paraId="1EC3D75B" w14:textId="6DE51000" w:rsidR="00DC7146" w:rsidRPr="00261857" w:rsidRDefault="00DC7146" w:rsidP="00DC7146">
            <w:pPr>
              <w:jc w:val="center"/>
              <w:rPr>
                <w:rFonts w:eastAsia="Times New Roman" w:cs="Times New Roman"/>
                <w:color w:val="000000"/>
                <w:sz w:val="20"/>
                <w:szCs w:val="20"/>
              </w:rPr>
            </w:pPr>
            <w:r>
              <w:rPr>
                <w:color w:val="000000"/>
                <w:sz w:val="20"/>
                <w:szCs w:val="20"/>
              </w:rPr>
              <w:t>14577</w:t>
            </w:r>
          </w:p>
        </w:tc>
        <w:tc>
          <w:tcPr>
            <w:tcW w:w="1166" w:type="dxa"/>
            <w:tcBorders>
              <w:top w:val="nil"/>
              <w:left w:val="nil"/>
              <w:bottom w:val="nil"/>
              <w:right w:val="nil"/>
            </w:tcBorders>
            <w:shd w:val="clear" w:color="auto" w:fill="auto"/>
            <w:noWrap/>
            <w:vAlign w:val="bottom"/>
            <w:hideMark/>
          </w:tcPr>
          <w:p w14:paraId="5A297953" w14:textId="31F012A4" w:rsidR="00DC7146" w:rsidRPr="00261857" w:rsidRDefault="00DC7146" w:rsidP="00DC7146">
            <w:pPr>
              <w:jc w:val="center"/>
              <w:rPr>
                <w:rFonts w:eastAsia="Times New Roman" w:cs="Times New Roman"/>
                <w:color w:val="000000"/>
                <w:sz w:val="20"/>
                <w:szCs w:val="20"/>
              </w:rPr>
            </w:pPr>
            <w:r>
              <w:rPr>
                <w:color w:val="000000"/>
                <w:sz w:val="20"/>
                <w:szCs w:val="20"/>
              </w:rPr>
              <w:t>14577</w:t>
            </w:r>
          </w:p>
        </w:tc>
        <w:tc>
          <w:tcPr>
            <w:tcW w:w="1166" w:type="dxa"/>
            <w:tcBorders>
              <w:top w:val="nil"/>
              <w:left w:val="nil"/>
              <w:bottom w:val="nil"/>
              <w:right w:val="nil"/>
            </w:tcBorders>
            <w:shd w:val="clear" w:color="auto" w:fill="auto"/>
            <w:noWrap/>
            <w:vAlign w:val="bottom"/>
            <w:hideMark/>
          </w:tcPr>
          <w:p w14:paraId="042058FF" w14:textId="66E23315" w:rsidR="00DC7146" w:rsidRPr="00261857" w:rsidRDefault="00DC7146" w:rsidP="00DC7146">
            <w:pPr>
              <w:jc w:val="center"/>
              <w:rPr>
                <w:rFonts w:eastAsia="Times New Roman" w:cs="Times New Roman"/>
                <w:color w:val="000000"/>
                <w:sz w:val="20"/>
                <w:szCs w:val="20"/>
              </w:rPr>
            </w:pPr>
            <w:r>
              <w:rPr>
                <w:color w:val="000000"/>
                <w:sz w:val="20"/>
                <w:szCs w:val="20"/>
              </w:rPr>
              <w:t>14577</w:t>
            </w:r>
          </w:p>
        </w:tc>
      </w:tr>
      <w:tr w:rsidR="00DC7146" w:rsidRPr="00261857" w14:paraId="739C0FAA" w14:textId="77777777" w:rsidTr="00DC7146">
        <w:trPr>
          <w:trHeight w:val="255"/>
        </w:trPr>
        <w:tc>
          <w:tcPr>
            <w:tcW w:w="1920" w:type="dxa"/>
            <w:tcBorders>
              <w:top w:val="nil"/>
              <w:left w:val="nil"/>
              <w:bottom w:val="single" w:sz="4" w:space="0" w:color="auto"/>
              <w:right w:val="nil"/>
            </w:tcBorders>
            <w:shd w:val="clear" w:color="auto" w:fill="auto"/>
            <w:noWrap/>
            <w:vAlign w:val="bottom"/>
            <w:hideMark/>
          </w:tcPr>
          <w:p w14:paraId="509B105D" w14:textId="297B9C8B" w:rsidR="00DC7146" w:rsidRPr="00261857" w:rsidRDefault="00DC7146" w:rsidP="00DC7146">
            <w:pPr>
              <w:rPr>
                <w:rFonts w:eastAsia="Times New Roman" w:cs="Times New Roman"/>
                <w:color w:val="000000"/>
                <w:sz w:val="20"/>
                <w:szCs w:val="20"/>
              </w:rPr>
            </w:pPr>
            <w:r>
              <w:rPr>
                <w:color w:val="000000"/>
                <w:sz w:val="20"/>
                <w:szCs w:val="20"/>
              </w:rPr>
              <w:t>Schools</w:t>
            </w:r>
          </w:p>
        </w:tc>
        <w:tc>
          <w:tcPr>
            <w:tcW w:w="1214" w:type="dxa"/>
            <w:tcBorders>
              <w:top w:val="nil"/>
              <w:left w:val="nil"/>
              <w:bottom w:val="single" w:sz="4" w:space="0" w:color="auto"/>
              <w:right w:val="nil"/>
            </w:tcBorders>
            <w:shd w:val="clear" w:color="auto" w:fill="auto"/>
            <w:noWrap/>
            <w:vAlign w:val="bottom"/>
            <w:hideMark/>
          </w:tcPr>
          <w:p w14:paraId="67CF9CEB" w14:textId="2DBF8E49" w:rsidR="00DC7146" w:rsidRPr="00261857" w:rsidRDefault="00DC7146" w:rsidP="00DC7146">
            <w:pPr>
              <w:jc w:val="center"/>
              <w:rPr>
                <w:rFonts w:eastAsia="Times New Roman" w:cs="Times New Roman"/>
                <w:color w:val="000000"/>
                <w:sz w:val="20"/>
                <w:szCs w:val="20"/>
              </w:rPr>
            </w:pPr>
            <w:r>
              <w:rPr>
                <w:color w:val="000000"/>
                <w:sz w:val="20"/>
                <w:szCs w:val="20"/>
              </w:rPr>
              <w:t>50</w:t>
            </w:r>
          </w:p>
        </w:tc>
        <w:tc>
          <w:tcPr>
            <w:tcW w:w="1213" w:type="dxa"/>
            <w:tcBorders>
              <w:top w:val="nil"/>
              <w:left w:val="nil"/>
              <w:bottom w:val="single" w:sz="4" w:space="0" w:color="auto"/>
              <w:right w:val="nil"/>
            </w:tcBorders>
            <w:shd w:val="clear" w:color="auto" w:fill="auto"/>
            <w:noWrap/>
            <w:vAlign w:val="bottom"/>
            <w:hideMark/>
          </w:tcPr>
          <w:p w14:paraId="22C3DB1C" w14:textId="449B53B9" w:rsidR="00DC7146" w:rsidRPr="00261857" w:rsidRDefault="00DC7146" w:rsidP="00DC7146">
            <w:pPr>
              <w:jc w:val="center"/>
              <w:rPr>
                <w:rFonts w:eastAsia="Times New Roman" w:cs="Times New Roman"/>
                <w:color w:val="000000"/>
                <w:sz w:val="20"/>
                <w:szCs w:val="20"/>
              </w:rPr>
            </w:pPr>
            <w:r>
              <w:rPr>
                <w:color w:val="000000"/>
                <w:sz w:val="20"/>
                <w:szCs w:val="20"/>
              </w:rPr>
              <w:t>50</w:t>
            </w:r>
          </w:p>
        </w:tc>
        <w:tc>
          <w:tcPr>
            <w:tcW w:w="1213" w:type="dxa"/>
            <w:tcBorders>
              <w:top w:val="nil"/>
              <w:left w:val="nil"/>
              <w:bottom w:val="single" w:sz="4" w:space="0" w:color="auto"/>
              <w:right w:val="nil"/>
            </w:tcBorders>
            <w:shd w:val="clear" w:color="auto" w:fill="auto"/>
            <w:noWrap/>
            <w:vAlign w:val="bottom"/>
            <w:hideMark/>
          </w:tcPr>
          <w:p w14:paraId="4EB97EB0" w14:textId="7512D8F4" w:rsidR="00DC7146" w:rsidRPr="00261857" w:rsidRDefault="00DC7146" w:rsidP="00DC7146">
            <w:pPr>
              <w:jc w:val="center"/>
              <w:rPr>
                <w:rFonts w:eastAsia="Times New Roman" w:cs="Times New Roman"/>
                <w:color w:val="000000"/>
                <w:sz w:val="20"/>
                <w:szCs w:val="20"/>
              </w:rPr>
            </w:pPr>
            <w:r>
              <w:rPr>
                <w:color w:val="000000"/>
                <w:sz w:val="20"/>
                <w:szCs w:val="20"/>
              </w:rPr>
              <w:t>50</w:t>
            </w:r>
          </w:p>
        </w:tc>
        <w:tc>
          <w:tcPr>
            <w:tcW w:w="1166" w:type="dxa"/>
            <w:tcBorders>
              <w:top w:val="nil"/>
              <w:left w:val="nil"/>
              <w:bottom w:val="single" w:sz="4" w:space="0" w:color="auto"/>
              <w:right w:val="nil"/>
            </w:tcBorders>
            <w:shd w:val="clear" w:color="auto" w:fill="auto"/>
            <w:noWrap/>
            <w:vAlign w:val="bottom"/>
            <w:hideMark/>
          </w:tcPr>
          <w:p w14:paraId="3D3E04A6" w14:textId="515F9FD8" w:rsidR="00DC7146" w:rsidRPr="00261857" w:rsidRDefault="00DC7146" w:rsidP="00DC7146">
            <w:pPr>
              <w:jc w:val="center"/>
              <w:rPr>
                <w:rFonts w:eastAsia="Times New Roman" w:cs="Times New Roman"/>
                <w:color w:val="000000"/>
                <w:sz w:val="20"/>
                <w:szCs w:val="20"/>
              </w:rPr>
            </w:pPr>
            <w:r>
              <w:rPr>
                <w:color w:val="000000"/>
                <w:sz w:val="20"/>
                <w:szCs w:val="20"/>
              </w:rPr>
              <w:t>50</w:t>
            </w:r>
          </w:p>
        </w:tc>
        <w:tc>
          <w:tcPr>
            <w:tcW w:w="1166" w:type="dxa"/>
            <w:tcBorders>
              <w:top w:val="nil"/>
              <w:left w:val="nil"/>
              <w:bottom w:val="single" w:sz="4" w:space="0" w:color="auto"/>
              <w:right w:val="nil"/>
            </w:tcBorders>
            <w:shd w:val="clear" w:color="auto" w:fill="auto"/>
            <w:noWrap/>
            <w:vAlign w:val="bottom"/>
            <w:hideMark/>
          </w:tcPr>
          <w:p w14:paraId="0F451E90" w14:textId="4E1ED971" w:rsidR="00DC7146" w:rsidRPr="00261857" w:rsidRDefault="00DC7146" w:rsidP="00DC7146">
            <w:pPr>
              <w:jc w:val="center"/>
              <w:rPr>
                <w:rFonts w:eastAsia="Times New Roman" w:cs="Times New Roman"/>
                <w:color w:val="000000"/>
                <w:sz w:val="20"/>
                <w:szCs w:val="20"/>
              </w:rPr>
            </w:pPr>
            <w:r>
              <w:rPr>
                <w:color w:val="000000"/>
                <w:sz w:val="20"/>
                <w:szCs w:val="20"/>
              </w:rPr>
              <w:t>50</w:t>
            </w:r>
          </w:p>
        </w:tc>
        <w:tc>
          <w:tcPr>
            <w:tcW w:w="1166" w:type="dxa"/>
            <w:tcBorders>
              <w:top w:val="nil"/>
              <w:left w:val="nil"/>
              <w:bottom w:val="single" w:sz="4" w:space="0" w:color="auto"/>
              <w:right w:val="nil"/>
            </w:tcBorders>
            <w:shd w:val="clear" w:color="auto" w:fill="auto"/>
            <w:noWrap/>
            <w:vAlign w:val="bottom"/>
            <w:hideMark/>
          </w:tcPr>
          <w:p w14:paraId="69B22E03" w14:textId="626ED8E6" w:rsidR="00DC7146" w:rsidRPr="00261857" w:rsidRDefault="00DC7146" w:rsidP="00DC7146">
            <w:pPr>
              <w:jc w:val="center"/>
              <w:rPr>
                <w:rFonts w:eastAsia="Times New Roman" w:cs="Times New Roman"/>
                <w:color w:val="000000"/>
                <w:sz w:val="20"/>
                <w:szCs w:val="20"/>
              </w:rPr>
            </w:pPr>
            <w:r>
              <w:rPr>
                <w:color w:val="000000"/>
                <w:sz w:val="20"/>
                <w:szCs w:val="20"/>
              </w:rPr>
              <w:t>50</w:t>
            </w:r>
          </w:p>
        </w:tc>
      </w:tr>
      <w:tr w:rsidR="00261857" w:rsidRPr="00261857" w14:paraId="59D0E127" w14:textId="77777777" w:rsidTr="00DC7146">
        <w:trPr>
          <w:trHeight w:val="1125"/>
        </w:trPr>
        <w:tc>
          <w:tcPr>
            <w:tcW w:w="9058" w:type="dxa"/>
            <w:gridSpan w:val="7"/>
            <w:tcBorders>
              <w:top w:val="single" w:sz="4" w:space="0" w:color="auto"/>
              <w:left w:val="nil"/>
              <w:bottom w:val="nil"/>
              <w:right w:val="nil"/>
            </w:tcBorders>
            <w:shd w:val="clear" w:color="auto" w:fill="auto"/>
            <w:hideMark/>
          </w:tcPr>
          <w:p w14:paraId="4511E026" w14:textId="3A81E39A" w:rsidR="00261857" w:rsidRPr="00261857" w:rsidRDefault="00261857" w:rsidP="004B52F3">
            <w:pPr>
              <w:rPr>
                <w:rFonts w:eastAsia="Times New Roman" w:cs="Times New Roman"/>
                <w:color w:val="000000"/>
                <w:sz w:val="20"/>
                <w:szCs w:val="20"/>
              </w:rPr>
            </w:pPr>
            <w:r w:rsidRPr="00261857">
              <w:rPr>
                <w:rFonts w:eastAsia="Times New Roman" w:cs="Times New Roman"/>
                <w:color w:val="000000"/>
                <w:sz w:val="20"/>
                <w:szCs w:val="20"/>
              </w:rPr>
              <w:t xml:space="preserve">Standard errors in parentheses. *** p&lt;0.01, ** p&lt;0.05, * p&lt;0.1. </w:t>
            </w:r>
            <w:r w:rsidR="002510B3" w:rsidRPr="00B25343">
              <w:rPr>
                <w:rFonts w:eastAsia="Times New Roman" w:cs="Times New Roman"/>
                <w:color w:val="000000"/>
                <w:sz w:val="20"/>
                <w:szCs w:val="20"/>
              </w:rPr>
              <w:t xml:space="preserve">EL=English Learner. </w:t>
            </w:r>
            <w:r w:rsidR="002510B3">
              <w:rPr>
                <w:rFonts w:eastAsia="Times New Roman" w:cs="Times New Roman"/>
                <w:color w:val="000000"/>
                <w:sz w:val="20"/>
                <w:szCs w:val="20"/>
              </w:rPr>
              <w:t xml:space="preserve">DL = dual language. </w:t>
            </w:r>
            <w:r w:rsidR="002510B3" w:rsidRPr="00B25343">
              <w:rPr>
                <w:rFonts w:eastAsia="Times New Roman" w:cs="Times New Roman"/>
                <w:color w:val="000000"/>
                <w:sz w:val="20"/>
                <w:szCs w:val="20"/>
              </w:rPr>
              <w:t>RIT = Rasch Unit. SPED = Special Education. FRPL = Free or reduced-price lunch. Gr = grade. AY = Academic year.</w:t>
            </w:r>
            <w:r w:rsidR="002510B3">
              <w:rPr>
                <w:rFonts w:eastAsia="Times New Roman" w:cs="Times New Roman"/>
                <w:color w:val="000000"/>
                <w:sz w:val="20"/>
                <w:szCs w:val="20"/>
              </w:rPr>
              <w:t xml:space="preserve"> </w:t>
            </w:r>
            <w:r w:rsidR="008A58BF">
              <w:rPr>
                <w:rFonts w:eastAsia="Times New Roman" w:cs="Times New Roman"/>
                <w:color w:val="000000"/>
                <w:sz w:val="20"/>
                <w:szCs w:val="20"/>
              </w:rPr>
              <w:t>Sample includes Hispanic students who took MAP Growth assessments between 20</w:t>
            </w:r>
            <w:r w:rsidR="00DC7146">
              <w:rPr>
                <w:rFonts w:eastAsia="Times New Roman" w:cs="Times New Roman"/>
                <w:color w:val="000000"/>
                <w:sz w:val="20"/>
                <w:szCs w:val="20"/>
              </w:rPr>
              <w:t>11-12</w:t>
            </w:r>
            <w:r w:rsidR="008A58BF">
              <w:rPr>
                <w:rFonts w:eastAsia="Times New Roman" w:cs="Times New Roman"/>
                <w:color w:val="000000"/>
                <w:sz w:val="20"/>
                <w:szCs w:val="20"/>
              </w:rPr>
              <w:t xml:space="preserve"> and </w:t>
            </w:r>
            <w:r w:rsidR="001527A0">
              <w:rPr>
                <w:rFonts w:eastAsia="Times New Roman" w:cs="Times New Roman"/>
                <w:color w:val="000000"/>
                <w:sz w:val="20"/>
                <w:szCs w:val="20"/>
              </w:rPr>
              <w:t>winter 2020</w:t>
            </w:r>
            <w:r w:rsidR="00306EC6">
              <w:rPr>
                <w:rFonts w:eastAsia="Times New Roman" w:cs="Times New Roman"/>
                <w:color w:val="000000"/>
                <w:sz w:val="20"/>
                <w:szCs w:val="20"/>
              </w:rPr>
              <w:t xml:space="preserve"> in 2</w:t>
            </w:r>
            <w:r w:rsidR="00306EC6" w:rsidRPr="00306EC6">
              <w:rPr>
                <w:rFonts w:eastAsia="Times New Roman" w:cs="Times New Roman"/>
                <w:color w:val="000000"/>
                <w:sz w:val="20"/>
                <w:szCs w:val="20"/>
                <w:vertAlign w:val="superscript"/>
              </w:rPr>
              <w:t>nd</w:t>
            </w:r>
            <w:r w:rsidR="00306EC6">
              <w:rPr>
                <w:rFonts w:eastAsia="Times New Roman" w:cs="Times New Roman"/>
                <w:color w:val="000000"/>
                <w:sz w:val="20"/>
                <w:szCs w:val="20"/>
              </w:rPr>
              <w:t xml:space="preserve"> to 8</w:t>
            </w:r>
            <w:r w:rsidR="00306EC6" w:rsidRPr="00306EC6">
              <w:rPr>
                <w:rFonts w:eastAsia="Times New Roman" w:cs="Times New Roman"/>
                <w:color w:val="000000"/>
                <w:sz w:val="20"/>
                <w:szCs w:val="20"/>
                <w:vertAlign w:val="superscript"/>
              </w:rPr>
              <w:t>th</w:t>
            </w:r>
            <w:r w:rsidR="00306EC6">
              <w:rPr>
                <w:rFonts w:eastAsia="Times New Roman" w:cs="Times New Roman"/>
                <w:color w:val="000000"/>
                <w:sz w:val="20"/>
                <w:szCs w:val="20"/>
              </w:rPr>
              <w:t xml:space="preserve"> grade</w:t>
            </w:r>
            <w:r w:rsidR="008A58BF">
              <w:rPr>
                <w:rFonts w:eastAsia="Times New Roman" w:cs="Times New Roman"/>
                <w:color w:val="000000"/>
                <w:sz w:val="20"/>
                <w:szCs w:val="20"/>
              </w:rPr>
              <w:t>. Each column is a separate 3-level piecewise growth model regression with RIT score as the dependent variable. Starting RIT is the intercept and represents test scores on the first day of 2</w:t>
            </w:r>
            <w:r w:rsidR="008A58BF" w:rsidRPr="008A58BF">
              <w:rPr>
                <w:rFonts w:eastAsia="Times New Roman" w:cs="Times New Roman"/>
                <w:color w:val="000000"/>
                <w:sz w:val="20"/>
                <w:szCs w:val="20"/>
                <w:vertAlign w:val="superscript"/>
              </w:rPr>
              <w:t>nd</w:t>
            </w:r>
            <w:r w:rsidR="008A58BF">
              <w:rPr>
                <w:rFonts w:eastAsia="Times New Roman" w:cs="Times New Roman"/>
                <w:color w:val="000000"/>
                <w:sz w:val="20"/>
                <w:szCs w:val="20"/>
              </w:rPr>
              <w:t xml:space="preserve"> grade. Ever-DL is an indicator for ever enrolling in the dual language program. Female, Ever-FRPL, Ever-EL, Ever-SPED, and refused EL service are student-level covariates. Refused EL service represents having refused EL service in either kindergarten or 1</w:t>
            </w:r>
            <w:r w:rsidR="008A58BF" w:rsidRPr="008A58BF">
              <w:rPr>
                <w:rFonts w:eastAsia="Times New Roman" w:cs="Times New Roman"/>
                <w:color w:val="000000"/>
                <w:sz w:val="20"/>
                <w:szCs w:val="20"/>
                <w:vertAlign w:val="superscript"/>
              </w:rPr>
              <w:t>st</w:t>
            </w:r>
            <w:r w:rsidR="008A58BF">
              <w:rPr>
                <w:rFonts w:eastAsia="Times New Roman" w:cs="Times New Roman"/>
                <w:color w:val="000000"/>
                <w:sz w:val="20"/>
                <w:szCs w:val="20"/>
              </w:rPr>
              <w:t xml:space="preserve"> grade. School % FRPL and school % EL are school-level covariates.</w:t>
            </w:r>
            <w:r w:rsidR="000E102D">
              <w:rPr>
                <w:rFonts w:eastAsia="Times New Roman" w:cs="Times New Roman"/>
                <w:color w:val="000000"/>
                <w:sz w:val="20"/>
                <w:szCs w:val="20"/>
              </w:rPr>
              <w:t xml:space="preserve"> </w:t>
            </w:r>
            <w:r w:rsidR="00911880">
              <w:rPr>
                <w:rFonts w:eastAsia="Times New Roman" w:cs="Times New Roman"/>
                <w:color w:val="000000"/>
                <w:sz w:val="20"/>
                <w:szCs w:val="20"/>
              </w:rPr>
              <w:t xml:space="preserve">Main effects represent growth estimates for non-DL students. </w:t>
            </w:r>
            <w:r w:rsidR="000E102D">
              <w:rPr>
                <w:rFonts w:eastAsia="Times New Roman" w:cs="Times New Roman"/>
                <w:color w:val="000000"/>
                <w:sz w:val="20"/>
                <w:szCs w:val="20"/>
              </w:rPr>
              <w:t>Interaction effects representing differential growth for dual language participants are bolded.</w:t>
            </w:r>
          </w:p>
        </w:tc>
      </w:tr>
    </w:tbl>
    <w:p w14:paraId="7D72DF28" w14:textId="680CB1EE" w:rsidR="00261857" w:rsidRDefault="00261857" w:rsidP="004B52F3"/>
    <w:p w14:paraId="4A12E59B" w14:textId="77777777" w:rsidR="00261857" w:rsidRDefault="00261857" w:rsidP="004B52F3">
      <w:r>
        <w:br w:type="page"/>
      </w:r>
    </w:p>
    <w:p w14:paraId="41D407B7" w14:textId="59A5D771" w:rsidR="00261857" w:rsidRDefault="00261857" w:rsidP="004B52F3">
      <w:r>
        <w:lastRenderedPageBreak/>
        <w:t xml:space="preserve">Table </w:t>
      </w:r>
      <w:r w:rsidR="00306EC6">
        <w:t>4</w:t>
      </w:r>
      <w:r>
        <w:t>. Estimated Monthly Growth Rates for Ever-ELs</w:t>
      </w:r>
    </w:p>
    <w:tbl>
      <w:tblPr>
        <w:tblW w:w="8996" w:type="dxa"/>
        <w:tblLook w:val="04A0" w:firstRow="1" w:lastRow="0" w:firstColumn="1" w:lastColumn="0" w:noHBand="0" w:noVBand="1"/>
      </w:tblPr>
      <w:tblGrid>
        <w:gridCol w:w="2000"/>
        <w:gridCol w:w="1166"/>
        <w:gridCol w:w="1166"/>
        <w:gridCol w:w="1166"/>
        <w:gridCol w:w="1166"/>
        <w:gridCol w:w="1166"/>
        <w:gridCol w:w="1166"/>
      </w:tblGrid>
      <w:tr w:rsidR="00337135" w:rsidRPr="00337135" w14:paraId="5CF47849" w14:textId="77777777" w:rsidTr="00306EC6">
        <w:trPr>
          <w:trHeight w:val="255"/>
        </w:trPr>
        <w:tc>
          <w:tcPr>
            <w:tcW w:w="2000" w:type="dxa"/>
            <w:tcBorders>
              <w:top w:val="single" w:sz="4" w:space="0" w:color="auto"/>
              <w:left w:val="nil"/>
              <w:bottom w:val="nil"/>
              <w:right w:val="nil"/>
            </w:tcBorders>
            <w:shd w:val="clear" w:color="auto" w:fill="auto"/>
            <w:noWrap/>
            <w:vAlign w:val="bottom"/>
            <w:hideMark/>
          </w:tcPr>
          <w:p w14:paraId="5CF65CCD" w14:textId="77777777" w:rsidR="00337135" w:rsidRPr="00337135" w:rsidRDefault="00337135" w:rsidP="004B52F3">
            <w:pPr>
              <w:rPr>
                <w:rFonts w:eastAsia="Times New Roman" w:cs="Times New Roman"/>
                <w:color w:val="000000"/>
                <w:sz w:val="20"/>
                <w:szCs w:val="20"/>
              </w:rPr>
            </w:pPr>
            <w:r w:rsidRPr="00337135">
              <w:rPr>
                <w:rFonts w:eastAsia="Times New Roman" w:cs="Times New Roman"/>
                <w:color w:val="000000"/>
                <w:sz w:val="20"/>
                <w:szCs w:val="20"/>
              </w:rPr>
              <w:t> </w:t>
            </w:r>
          </w:p>
        </w:tc>
        <w:tc>
          <w:tcPr>
            <w:tcW w:w="3498" w:type="dxa"/>
            <w:gridSpan w:val="3"/>
            <w:tcBorders>
              <w:top w:val="single" w:sz="4" w:space="0" w:color="auto"/>
              <w:left w:val="nil"/>
              <w:bottom w:val="nil"/>
              <w:right w:val="nil"/>
            </w:tcBorders>
            <w:shd w:val="clear" w:color="auto" w:fill="auto"/>
            <w:noWrap/>
            <w:vAlign w:val="bottom"/>
            <w:hideMark/>
          </w:tcPr>
          <w:p w14:paraId="72531AC8" w14:textId="77777777" w:rsidR="00337135" w:rsidRPr="00337135" w:rsidRDefault="00337135" w:rsidP="004B52F3">
            <w:pPr>
              <w:jc w:val="center"/>
              <w:rPr>
                <w:rFonts w:eastAsia="Times New Roman" w:cs="Times New Roman"/>
                <w:color w:val="000000"/>
                <w:sz w:val="20"/>
                <w:szCs w:val="20"/>
              </w:rPr>
            </w:pPr>
            <w:r w:rsidRPr="00337135">
              <w:rPr>
                <w:rFonts w:eastAsia="Times New Roman" w:cs="Times New Roman"/>
                <w:color w:val="000000"/>
                <w:sz w:val="20"/>
                <w:szCs w:val="20"/>
              </w:rPr>
              <w:t>Math</w:t>
            </w:r>
          </w:p>
        </w:tc>
        <w:tc>
          <w:tcPr>
            <w:tcW w:w="3498" w:type="dxa"/>
            <w:gridSpan w:val="3"/>
            <w:tcBorders>
              <w:top w:val="single" w:sz="4" w:space="0" w:color="auto"/>
              <w:left w:val="nil"/>
              <w:bottom w:val="nil"/>
              <w:right w:val="nil"/>
            </w:tcBorders>
            <w:shd w:val="clear" w:color="auto" w:fill="auto"/>
            <w:noWrap/>
            <w:vAlign w:val="bottom"/>
            <w:hideMark/>
          </w:tcPr>
          <w:p w14:paraId="79376396" w14:textId="77777777" w:rsidR="00337135" w:rsidRPr="00337135" w:rsidRDefault="00337135" w:rsidP="004B52F3">
            <w:pPr>
              <w:jc w:val="center"/>
              <w:rPr>
                <w:rFonts w:eastAsia="Times New Roman" w:cs="Times New Roman"/>
                <w:color w:val="000000"/>
                <w:sz w:val="20"/>
                <w:szCs w:val="20"/>
              </w:rPr>
            </w:pPr>
            <w:r w:rsidRPr="00337135">
              <w:rPr>
                <w:rFonts w:eastAsia="Times New Roman" w:cs="Times New Roman"/>
                <w:color w:val="000000"/>
                <w:sz w:val="20"/>
                <w:szCs w:val="20"/>
              </w:rPr>
              <w:t>Reading</w:t>
            </w:r>
          </w:p>
        </w:tc>
      </w:tr>
      <w:tr w:rsidR="00337135" w:rsidRPr="00337135" w14:paraId="6A35F7DE" w14:textId="77777777" w:rsidTr="00306EC6">
        <w:trPr>
          <w:trHeight w:val="255"/>
        </w:trPr>
        <w:tc>
          <w:tcPr>
            <w:tcW w:w="2000" w:type="dxa"/>
            <w:tcBorders>
              <w:top w:val="nil"/>
              <w:left w:val="nil"/>
              <w:bottom w:val="nil"/>
              <w:right w:val="nil"/>
            </w:tcBorders>
            <w:shd w:val="clear" w:color="auto" w:fill="auto"/>
            <w:noWrap/>
            <w:vAlign w:val="bottom"/>
            <w:hideMark/>
          </w:tcPr>
          <w:p w14:paraId="29B78008" w14:textId="77777777" w:rsidR="00337135" w:rsidRPr="00337135" w:rsidRDefault="00337135" w:rsidP="004B52F3">
            <w:pPr>
              <w:jc w:val="center"/>
              <w:rPr>
                <w:rFonts w:eastAsia="Times New Roman" w:cs="Times New Roman"/>
                <w:color w:val="000000"/>
                <w:sz w:val="20"/>
                <w:szCs w:val="20"/>
              </w:rPr>
            </w:pPr>
          </w:p>
        </w:tc>
        <w:tc>
          <w:tcPr>
            <w:tcW w:w="1166" w:type="dxa"/>
            <w:tcBorders>
              <w:top w:val="nil"/>
              <w:left w:val="nil"/>
              <w:bottom w:val="single" w:sz="4" w:space="0" w:color="auto"/>
              <w:right w:val="nil"/>
            </w:tcBorders>
            <w:shd w:val="clear" w:color="auto" w:fill="auto"/>
            <w:noWrap/>
            <w:vAlign w:val="bottom"/>
            <w:hideMark/>
          </w:tcPr>
          <w:p w14:paraId="7FB781E1" w14:textId="77777777" w:rsidR="00337135" w:rsidRPr="00337135" w:rsidRDefault="00337135" w:rsidP="004B52F3">
            <w:pPr>
              <w:jc w:val="center"/>
              <w:rPr>
                <w:rFonts w:eastAsia="Times New Roman" w:cs="Times New Roman"/>
                <w:color w:val="000000"/>
                <w:sz w:val="20"/>
                <w:szCs w:val="20"/>
              </w:rPr>
            </w:pPr>
            <w:r w:rsidRPr="00337135">
              <w:rPr>
                <w:rFonts w:eastAsia="Times New Roman" w:cs="Times New Roman"/>
                <w:color w:val="000000"/>
                <w:sz w:val="20"/>
                <w:szCs w:val="20"/>
              </w:rPr>
              <w:t>(1)</w:t>
            </w:r>
          </w:p>
        </w:tc>
        <w:tc>
          <w:tcPr>
            <w:tcW w:w="1166" w:type="dxa"/>
            <w:tcBorders>
              <w:top w:val="nil"/>
              <w:left w:val="nil"/>
              <w:bottom w:val="single" w:sz="4" w:space="0" w:color="auto"/>
              <w:right w:val="nil"/>
            </w:tcBorders>
            <w:shd w:val="clear" w:color="auto" w:fill="auto"/>
            <w:noWrap/>
            <w:vAlign w:val="bottom"/>
            <w:hideMark/>
          </w:tcPr>
          <w:p w14:paraId="3DFE7FD0" w14:textId="77777777" w:rsidR="00337135" w:rsidRPr="00337135" w:rsidRDefault="00337135" w:rsidP="004B52F3">
            <w:pPr>
              <w:jc w:val="center"/>
              <w:rPr>
                <w:rFonts w:eastAsia="Times New Roman" w:cs="Times New Roman"/>
                <w:color w:val="000000"/>
                <w:sz w:val="20"/>
                <w:szCs w:val="20"/>
              </w:rPr>
            </w:pPr>
            <w:r w:rsidRPr="00337135">
              <w:rPr>
                <w:rFonts w:eastAsia="Times New Roman" w:cs="Times New Roman"/>
                <w:color w:val="000000"/>
                <w:sz w:val="20"/>
                <w:szCs w:val="20"/>
              </w:rPr>
              <w:t>(2)</w:t>
            </w:r>
          </w:p>
        </w:tc>
        <w:tc>
          <w:tcPr>
            <w:tcW w:w="1166" w:type="dxa"/>
            <w:tcBorders>
              <w:top w:val="nil"/>
              <w:left w:val="nil"/>
              <w:bottom w:val="single" w:sz="4" w:space="0" w:color="auto"/>
              <w:right w:val="nil"/>
            </w:tcBorders>
            <w:shd w:val="clear" w:color="auto" w:fill="auto"/>
            <w:noWrap/>
            <w:vAlign w:val="bottom"/>
            <w:hideMark/>
          </w:tcPr>
          <w:p w14:paraId="677A17C4" w14:textId="77777777" w:rsidR="00337135" w:rsidRPr="00337135" w:rsidRDefault="00337135" w:rsidP="004B52F3">
            <w:pPr>
              <w:jc w:val="center"/>
              <w:rPr>
                <w:rFonts w:eastAsia="Times New Roman" w:cs="Times New Roman"/>
                <w:color w:val="000000"/>
                <w:sz w:val="20"/>
                <w:szCs w:val="20"/>
              </w:rPr>
            </w:pPr>
            <w:r w:rsidRPr="00337135">
              <w:rPr>
                <w:rFonts w:eastAsia="Times New Roman" w:cs="Times New Roman"/>
                <w:color w:val="000000"/>
                <w:sz w:val="20"/>
                <w:szCs w:val="20"/>
              </w:rPr>
              <w:t>(3)</w:t>
            </w:r>
          </w:p>
        </w:tc>
        <w:tc>
          <w:tcPr>
            <w:tcW w:w="1166" w:type="dxa"/>
            <w:tcBorders>
              <w:top w:val="nil"/>
              <w:left w:val="nil"/>
              <w:bottom w:val="single" w:sz="4" w:space="0" w:color="auto"/>
              <w:right w:val="nil"/>
            </w:tcBorders>
            <w:shd w:val="clear" w:color="auto" w:fill="auto"/>
            <w:noWrap/>
            <w:vAlign w:val="bottom"/>
            <w:hideMark/>
          </w:tcPr>
          <w:p w14:paraId="51EEA5CD" w14:textId="77777777" w:rsidR="00337135" w:rsidRPr="00337135" w:rsidRDefault="00337135" w:rsidP="004B52F3">
            <w:pPr>
              <w:jc w:val="center"/>
              <w:rPr>
                <w:rFonts w:eastAsia="Times New Roman" w:cs="Times New Roman"/>
                <w:color w:val="000000"/>
                <w:sz w:val="20"/>
                <w:szCs w:val="20"/>
              </w:rPr>
            </w:pPr>
            <w:r w:rsidRPr="00337135">
              <w:rPr>
                <w:rFonts w:eastAsia="Times New Roman" w:cs="Times New Roman"/>
                <w:color w:val="000000"/>
                <w:sz w:val="20"/>
                <w:szCs w:val="20"/>
              </w:rPr>
              <w:t>(4)</w:t>
            </w:r>
          </w:p>
        </w:tc>
        <w:tc>
          <w:tcPr>
            <w:tcW w:w="1166" w:type="dxa"/>
            <w:tcBorders>
              <w:top w:val="nil"/>
              <w:left w:val="nil"/>
              <w:bottom w:val="single" w:sz="4" w:space="0" w:color="auto"/>
              <w:right w:val="nil"/>
            </w:tcBorders>
            <w:shd w:val="clear" w:color="auto" w:fill="auto"/>
            <w:noWrap/>
            <w:vAlign w:val="bottom"/>
            <w:hideMark/>
          </w:tcPr>
          <w:p w14:paraId="4B5B7D04" w14:textId="77777777" w:rsidR="00337135" w:rsidRPr="00337135" w:rsidRDefault="00337135" w:rsidP="004B52F3">
            <w:pPr>
              <w:jc w:val="center"/>
              <w:rPr>
                <w:rFonts w:eastAsia="Times New Roman" w:cs="Times New Roman"/>
                <w:color w:val="000000"/>
                <w:sz w:val="20"/>
                <w:szCs w:val="20"/>
              </w:rPr>
            </w:pPr>
            <w:r w:rsidRPr="00337135">
              <w:rPr>
                <w:rFonts w:eastAsia="Times New Roman" w:cs="Times New Roman"/>
                <w:color w:val="000000"/>
                <w:sz w:val="20"/>
                <w:szCs w:val="20"/>
              </w:rPr>
              <w:t>(5)</w:t>
            </w:r>
          </w:p>
        </w:tc>
        <w:tc>
          <w:tcPr>
            <w:tcW w:w="1166" w:type="dxa"/>
            <w:tcBorders>
              <w:top w:val="nil"/>
              <w:left w:val="nil"/>
              <w:bottom w:val="single" w:sz="4" w:space="0" w:color="auto"/>
              <w:right w:val="nil"/>
            </w:tcBorders>
            <w:shd w:val="clear" w:color="auto" w:fill="auto"/>
            <w:noWrap/>
            <w:vAlign w:val="bottom"/>
            <w:hideMark/>
          </w:tcPr>
          <w:p w14:paraId="0FD7F09A" w14:textId="77777777" w:rsidR="00337135" w:rsidRPr="00337135" w:rsidRDefault="00337135" w:rsidP="004B52F3">
            <w:pPr>
              <w:jc w:val="center"/>
              <w:rPr>
                <w:rFonts w:eastAsia="Times New Roman" w:cs="Times New Roman"/>
                <w:color w:val="000000"/>
                <w:sz w:val="20"/>
                <w:szCs w:val="20"/>
              </w:rPr>
            </w:pPr>
            <w:r w:rsidRPr="00337135">
              <w:rPr>
                <w:rFonts w:eastAsia="Times New Roman" w:cs="Times New Roman"/>
                <w:color w:val="000000"/>
                <w:sz w:val="20"/>
                <w:szCs w:val="20"/>
              </w:rPr>
              <w:t>(6)</w:t>
            </w:r>
          </w:p>
        </w:tc>
      </w:tr>
      <w:tr w:rsidR="00337135" w:rsidRPr="00337135" w14:paraId="6D77E221" w14:textId="77777777" w:rsidTr="00306EC6">
        <w:trPr>
          <w:trHeight w:val="255"/>
        </w:trPr>
        <w:tc>
          <w:tcPr>
            <w:tcW w:w="2000" w:type="dxa"/>
            <w:tcBorders>
              <w:top w:val="single" w:sz="4" w:space="0" w:color="auto"/>
              <w:left w:val="nil"/>
              <w:bottom w:val="nil"/>
              <w:right w:val="nil"/>
            </w:tcBorders>
            <w:shd w:val="clear" w:color="auto" w:fill="auto"/>
            <w:noWrap/>
            <w:vAlign w:val="bottom"/>
            <w:hideMark/>
          </w:tcPr>
          <w:p w14:paraId="3372FB22" w14:textId="77777777" w:rsidR="00337135" w:rsidRPr="00337135" w:rsidRDefault="00337135" w:rsidP="004B52F3">
            <w:pPr>
              <w:rPr>
                <w:rFonts w:eastAsia="Times New Roman" w:cs="Times New Roman"/>
                <w:color w:val="000000"/>
                <w:sz w:val="20"/>
                <w:szCs w:val="20"/>
              </w:rPr>
            </w:pPr>
            <w:r w:rsidRPr="00337135">
              <w:rPr>
                <w:rFonts w:eastAsia="Times New Roman" w:cs="Times New Roman"/>
                <w:color w:val="000000"/>
                <w:sz w:val="20"/>
                <w:szCs w:val="20"/>
              </w:rPr>
              <w:t> </w:t>
            </w:r>
          </w:p>
        </w:tc>
        <w:tc>
          <w:tcPr>
            <w:tcW w:w="1166" w:type="dxa"/>
            <w:tcBorders>
              <w:top w:val="nil"/>
              <w:left w:val="nil"/>
              <w:bottom w:val="nil"/>
              <w:right w:val="nil"/>
            </w:tcBorders>
            <w:shd w:val="clear" w:color="auto" w:fill="auto"/>
            <w:noWrap/>
            <w:vAlign w:val="bottom"/>
            <w:hideMark/>
          </w:tcPr>
          <w:p w14:paraId="5D190803" w14:textId="77777777" w:rsidR="00337135" w:rsidRPr="00337135" w:rsidRDefault="00337135" w:rsidP="004B52F3">
            <w:pP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245551EE" w14:textId="77777777" w:rsidR="00337135" w:rsidRPr="00337135" w:rsidRDefault="00337135" w:rsidP="004B52F3">
            <w:pPr>
              <w:jc w:val="cente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7834CE15" w14:textId="77777777" w:rsidR="00337135" w:rsidRPr="00337135" w:rsidRDefault="00337135" w:rsidP="004B52F3">
            <w:pPr>
              <w:jc w:val="cente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1CD2E56E" w14:textId="77777777" w:rsidR="00337135" w:rsidRPr="00337135" w:rsidRDefault="00337135" w:rsidP="004B52F3">
            <w:pPr>
              <w:jc w:val="cente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61B872B8" w14:textId="77777777" w:rsidR="00337135" w:rsidRPr="00337135" w:rsidRDefault="00337135" w:rsidP="004B52F3">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7C15DACD" w14:textId="77777777" w:rsidR="00337135" w:rsidRPr="00337135" w:rsidRDefault="00337135" w:rsidP="004B52F3">
            <w:pPr>
              <w:rPr>
                <w:rFonts w:eastAsia="Times New Roman" w:cs="Times New Roman"/>
                <w:sz w:val="20"/>
                <w:szCs w:val="20"/>
              </w:rPr>
            </w:pPr>
          </w:p>
        </w:tc>
      </w:tr>
      <w:tr w:rsidR="00306EC6" w:rsidRPr="00337135" w14:paraId="6A6276D9" w14:textId="77777777" w:rsidTr="00306EC6">
        <w:trPr>
          <w:trHeight w:val="255"/>
        </w:trPr>
        <w:tc>
          <w:tcPr>
            <w:tcW w:w="2000" w:type="dxa"/>
            <w:tcBorders>
              <w:top w:val="nil"/>
              <w:left w:val="nil"/>
              <w:bottom w:val="nil"/>
              <w:right w:val="nil"/>
            </w:tcBorders>
            <w:shd w:val="clear" w:color="auto" w:fill="auto"/>
            <w:noWrap/>
            <w:vAlign w:val="bottom"/>
            <w:hideMark/>
          </w:tcPr>
          <w:p w14:paraId="2B2B0F57" w14:textId="69B0CA55" w:rsidR="00306EC6" w:rsidRPr="00337135" w:rsidRDefault="00306EC6" w:rsidP="00306EC6">
            <w:pPr>
              <w:rPr>
                <w:rFonts w:eastAsia="Times New Roman" w:cs="Times New Roman"/>
                <w:color w:val="000000"/>
                <w:sz w:val="20"/>
                <w:szCs w:val="20"/>
              </w:rPr>
            </w:pPr>
            <w:r>
              <w:rPr>
                <w:color w:val="000000"/>
                <w:sz w:val="20"/>
                <w:szCs w:val="20"/>
              </w:rPr>
              <w:t>Starting RIT</w:t>
            </w:r>
          </w:p>
        </w:tc>
        <w:tc>
          <w:tcPr>
            <w:tcW w:w="1166" w:type="dxa"/>
            <w:tcBorders>
              <w:top w:val="nil"/>
              <w:left w:val="nil"/>
              <w:bottom w:val="nil"/>
              <w:right w:val="nil"/>
            </w:tcBorders>
            <w:shd w:val="clear" w:color="auto" w:fill="auto"/>
            <w:noWrap/>
            <w:vAlign w:val="bottom"/>
            <w:hideMark/>
          </w:tcPr>
          <w:p w14:paraId="2DF8401E" w14:textId="7896E645" w:rsidR="00306EC6" w:rsidRPr="00337135" w:rsidRDefault="00306EC6" w:rsidP="00306EC6">
            <w:pPr>
              <w:jc w:val="center"/>
              <w:rPr>
                <w:rFonts w:eastAsia="Times New Roman" w:cs="Times New Roman"/>
                <w:color w:val="000000"/>
                <w:sz w:val="20"/>
                <w:szCs w:val="20"/>
              </w:rPr>
            </w:pPr>
            <w:r>
              <w:rPr>
                <w:color w:val="000000"/>
                <w:sz w:val="20"/>
                <w:szCs w:val="20"/>
              </w:rPr>
              <w:t>167.547***</w:t>
            </w:r>
          </w:p>
        </w:tc>
        <w:tc>
          <w:tcPr>
            <w:tcW w:w="1166" w:type="dxa"/>
            <w:tcBorders>
              <w:top w:val="nil"/>
              <w:left w:val="nil"/>
              <w:bottom w:val="nil"/>
              <w:right w:val="nil"/>
            </w:tcBorders>
            <w:shd w:val="clear" w:color="auto" w:fill="auto"/>
            <w:noWrap/>
            <w:vAlign w:val="bottom"/>
            <w:hideMark/>
          </w:tcPr>
          <w:p w14:paraId="27C08BA0" w14:textId="16F5BA26" w:rsidR="00306EC6" w:rsidRPr="00337135" w:rsidRDefault="00306EC6" w:rsidP="00306EC6">
            <w:pPr>
              <w:jc w:val="center"/>
              <w:rPr>
                <w:rFonts w:eastAsia="Times New Roman" w:cs="Times New Roman"/>
                <w:color w:val="000000"/>
                <w:sz w:val="20"/>
                <w:szCs w:val="20"/>
              </w:rPr>
            </w:pPr>
            <w:r>
              <w:rPr>
                <w:color w:val="000000"/>
                <w:sz w:val="20"/>
                <w:szCs w:val="20"/>
              </w:rPr>
              <w:t>174.216***</w:t>
            </w:r>
          </w:p>
        </w:tc>
        <w:tc>
          <w:tcPr>
            <w:tcW w:w="1166" w:type="dxa"/>
            <w:tcBorders>
              <w:top w:val="nil"/>
              <w:left w:val="nil"/>
              <w:bottom w:val="nil"/>
              <w:right w:val="nil"/>
            </w:tcBorders>
            <w:shd w:val="clear" w:color="auto" w:fill="auto"/>
            <w:noWrap/>
            <w:vAlign w:val="bottom"/>
            <w:hideMark/>
          </w:tcPr>
          <w:p w14:paraId="20B952F7" w14:textId="632AB525" w:rsidR="00306EC6" w:rsidRPr="00337135" w:rsidRDefault="00306EC6" w:rsidP="00306EC6">
            <w:pPr>
              <w:jc w:val="center"/>
              <w:rPr>
                <w:rFonts w:eastAsia="Times New Roman" w:cs="Times New Roman"/>
                <w:color w:val="000000"/>
                <w:sz w:val="20"/>
                <w:szCs w:val="20"/>
              </w:rPr>
            </w:pPr>
            <w:r>
              <w:rPr>
                <w:color w:val="000000"/>
                <w:sz w:val="20"/>
                <w:szCs w:val="20"/>
              </w:rPr>
              <w:t>174.264***</w:t>
            </w:r>
          </w:p>
        </w:tc>
        <w:tc>
          <w:tcPr>
            <w:tcW w:w="1166" w:type="dxa"/>
            <w:tcBorders>
              <w:top w:val="nil"/>
              <w:left w:val="nil"/>
              <w:bottom w:val="nil"/>
              <w:right w:val="nil"/>
            </w:tcBorders>
            <w:shd w:val="clear" w:color="auto" w:fill="auto"/>
            <w:noWrap/>
            <w:vAlign w:val="bottom"/>
            <w:hideMark/>
          </w:tcPr>
          <w:p w14:paraId="00B09F68" w14:textId="1E574284" w:rsidR="00306EC6" w:rsidRPr="00337135" w:rsidRDefault="00306EC6" w:rsidP="00306EC6">
            <w:pPr>
              <w:jc w:val="center"/>
              <w:rPr>
                <w:rFonts w:eastAsia="Times New Roman" w:cs="Times New Roman"/>
                <w:color w:val="000000"/>
                <w:sz w:val="20"/>
                <w:szCs w:val="20"/>
              </w:rPr>
            </w:pPr>
            <w:r>
              <w:rPr>
                <w:color w:val="000000"/>
                <w:sz w:val="20"/>
                <w:szCs w:val="20"/>
              </w:rPr>
              <w:t>161.479***</w:t>
            </w:r>
          </w:p>
        </w:tc>
        <w:tc>
          <w:tcPr>
            <w:tcW w:w="1166" w:type="dxa"/>
            <w:tcBorders>
              <w:top w:val="nil"/>
              <w:left w:val="nil"/>
              <w:bottom w:val="nil"/>
              <w:right w:val="nil"/>
            </w:tcBorders>
            <w:shd w:val="clear" w:color="auto" w:fill="auto"/>
            <w:noWrap/>
            <w:vAlign w:val="bottom"/>
            <w:hideMark/>
          </w:tcPr>
          <w:p w14:paraId="12E00BCF" w14:textId="46573863" w:rsidR="00306EC6" w:rsidRPr="00337135" w:rsidRDefault="00306EC6" w:rsidP="00306EC6">
            <w:pPr>
              <w:jc w:val="center"/>
              <w:rPr>
                <w:rFonts w:eastAsia="Times New Roman" w:cs="Times New Roman"/>
                <w:color w:val="000000"/>
                <w:sz w:val="20"/>
                <w:szCs w:val="20"/>
              </w:rPr>
            </w:pPr>
            <w:r>
              <w:rPr>
                <w:color w:val="000000"/>
                <w:sz w:val="20"/>
                <w:szCs w:val="20"/>
              </w:rPr>
              <w:t>168.316***</w:t>
            </w:r>
          </w:p>
        </w:tc>
        <w:tc>
          <w:tcPr>
            <w:tcW w:w="1166" w:type="dxa"/>
            <w:tcBorders>
              <w:top w:val="nil"/>
              <w:left w:val="nil"/>
              <w:bottom w:val="nil"/>
              <w:right w:val="nil"/>
            </w:tcBorders>
            <w:shd w:val="clear" w:color="auto" w:fill="auto"/>
            <w:noWrap/>
            <w:vAlign w:val="bottom"/>
            <w:hideMark/>
          </w:tcPr>
          <w:p w14:paraId="3831D26D" w14:textId="79F8599F" w:rsidR="00306EC6" w:rsidRPr="00337135" w:rsidRDefault="00306EC6" w:rsidP="00306EC6">
            <w:pPr>
              <w:jc w:val="center"/>
              <w:rPr>
                <w:rFonts w:eastAsia="Times New Roman" w:cs="Times New Roman"/>
                <w:color w:val="000000"/>
                <w:sz w:val="20"/>
                <w:szCs w:val="20"/>
              </w:rPr>
            </w:pPr>
            <w:r>
              <w:rPr>
                <w:color w:val="000000"/>
                <w:sz w:val="20"/>
                <w:szCs w:val="20"/>
              </w:rPr>
              <w:t>168.381***</w:t>
            </w:r>
          </w:p>
        </w:tc>
      </w:tr>
      <w:tr w:rsidR="00306EC6" w:rsidRPr="00337135" w14:paraId="5162824C" w14:textId="77777777" w:rsidTr="00306EC6">
        <w:trPr>
          <w:trHeight w:val="255"/>
        </w:trPr>
        <w:tc>
          <w:tcPr>
            <w:tcW w:w="2000" w:type="dxa"/>
            <w:tcBorders>
              <w:top w:val="nil"/>
              <w:left w:val="nil"/>
              <w:bottom w:val="nil"/>
              <w:right w:val="nil"/>
            </w:tcBorders>
            <w:shd w:val="clear" w:color="auto" w:fill="auto"/>
            <w:noWrap/>
            <w:vAlign w:val="bottom"/>
            <w:hideMark/>
          </w:tcPr>
          <w:p w14:paraId="5E7663DB"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7EE1C084" w14:textId="72B167D2" w:rsidR="00306EC6" w:rsidRPr="00337135" w:rsidRDefault="00306EC6" w:rsidP="00306EC6">
            <w:pPr>
              <w:jc w:val="center"/>
              <w:rPr>
                <w:rFonts w:eastAsia="Times New Roman" w:cs="Times New Roman"/>
                <w:color w:val="000000"/>
                <w:sz w:val="20"/>
                <w:szCs w:val="20"/>
              </w:rPr>
            </w:pPr>
            <w:r>
              <w:rPr>
                <w:color w:val="000000"/>
                <w:sz w:val="20"/>
                <w:szCs w:val="20"/>
              </w:rPr>
              <w:t>(0.828)</w:t>
            </w:r>
          </w:p>
        </w:tc>
        <w:tc>
          <w:tcPr>
            <w:tcW w:w="1166" w:type="dxa"/>
            <w:tcBorders>
              <w:top w:val="nil"/>
              <w:left w:val="nil"/>
              <w:bottom w:val="nil"/>
              <w:right w:val="nil"/>
            </w:tcBorders>
            <w:shd w:val="clear" w:color="auto" w:fill="auto"/>
            <w:noWrap/>
            <w:vAlign w:val="bottom"/>
            <w:hideMark/>
          </w:tcPr>
          <w:p w14:paraId="35A380BD" w14:textId="72105A3E" w:rsidR="00306EC6" w:rsidRPr="00337135" w:rsidRDefault="00306EC6" w:rsidP="00306EC6">
            <w:pPr>
              <w:jc w:val="center"/>
              <w:rPr>
                <w:rFonts w:eastAsia="Times New Roman" w:cs="Times New Roman"/>
                <w:color w:val="000000"/>
                <w:sz w:val="20"/>
                <w:szCs w:val="20"/>
              </w:rPr>
            </w:pPr>
            <w:r>
              <w:rPr>
                <w:color w:val="000000"/>
                <w:sz w:val="20"/>
                <w:szCs w:val="20"/>
              </w:rPr>
              <w:t>(0.991)</w:t>
            </w:r>
          </w:p>
        </w:tc>
        <w:tc>
          <w:tcPr>
            <w:tcW w:w="1166" w:type="dxa"/>
            <w:tcBorders>
              <w:top w:val="nil"/>
              <w:left w:val="nil"/>
              <w:bottom w:val="nil"/>
              <w:right w:val="nil"/>
            </w:tcBorders>
            <w:shd w:val="clear" w:color="auto" w:fill="auto"/>
            <w:noWrap/>
            <w:vAlign w:val="bottom"/>
            <w:hideMark/>
          </w:tcPr>
          <w:p w14:paraId="5C8EA501" w14:textId="04C90876" w:rsidR="00306EC6" w:rsidRPr="00337135" w:rsidRDefault="00306EC6" w:rsidP="00306EC6">
            <w:pPr>
              <w:jc w:val="center"/>
              <w:rPr>
                <w:rFonts w:eastAsia="Times New Roman" w:cs="Times New Roman"/>
                <w:color w:val="000000"/>
                <w:sz w:val="20"/>
                <w:szCs w:val="20"/>
              </w:rPr>
            </w:pPr>
            <w:r>
              <w:rPr>
                <w:color w:val="000000"/>
                <w:sz w:val="20"/>
                <w:szCs w:val="20"/>
              </w:rPr>
              <w:t>(0.960)</w:t>
            </w:r>
          </w:p>
        </w:tc>
        <w:tc>
          <w:tcPr>
            <w:tcW w:w="1166" w:type="dxa"/>
            <w:tcBorders>
              <w:top w:val="nil"/>
              <w:left w:val="nil"/>
              <w:bottom w:val="nil"/>
              <w:right w:val="nil"/>
            </w:tcBorders>
            <w:shd w:val="clear" w:color="auto" w:fill="auto"/>
            <w:noWrap/>
            <w:vAlign w:val="bottom"/>
            <w:hideMark/>
          </w:tcPr>
          <w:p w14:paraId="675D091A" w14:textId="1D26DB5E" w:rsidR="00306EC6" w:rsidRPr="00337135" w:rsidRDefault="00306EC6" w:rsidP="00306EC6">
            <w:pPr>
              <w:jc w:val="center"/>
              <w:rPr>
                <w:rFonts w:eastAsia="Times New Roman" w:cs="Times New Roman"/>
                <w:color w:val="000000"/>
                <w:sz w:val="20"/>
                <w:szCs w:val="20"/>
              </w:rPr>
            </w:pPr>
            <w:r>
              <w:rPr>
                <w:color w:val="000000"/>
                <w:sz w:val="20"/>
                <w:szCs w:val="20"/>
              </w:rPr>
              <w:t>(1.626)</w:t>
            </w:r>
          </w:p>
        </w:tc>
        <w:tc>
          <w:tcPr>
            <w:tcW w:w="1166" w:type="dxa"/>
            <w:tcBorders>
              <w:top w:val="nil"/>
              <w:left w:val="nil"/>
              <w:bottom w:val="nil"/>
              <w:right w:val="nil"/>
            </w:tcBorders>
            <w:shd w:val="clear" w:color="auto" w:fill="auto"/>
            <w:noWrap/>
            <w:vAlign w:val="bottom"/>
            <w:hideMark/>
          </w:tcPr>
          <w:p w14:paraId="7733204E" w14:textId="668D7C4B" w:rsidR="00306EC6" w:rsidRPr="00337135" w:rsidRDefault="00306EC6" w:rsidP="00306EC6">
            <w:pPr>
              <w:jc w:val="center"/>
              <w:rPr>
                <w:rFonts w:eastAsia="Times New Roman" w:cs="Times New Roman"/>
                <w:color w:val="000000"/>
                <w:sz w:val="20"/>
                <w:szCs w:val="20"/>
              </w:rPr>
            </w:pPr>
            <w:r>
              <w:rPr>
                <w:color w:val="000000"/>
                <w:sz w:val="20"/>
                <w:szCs w:val="20"/>
              </w:rPr>
              <w:t>(1.265)</w:t>
            </w:r>
          </w:p>
        </w:tc>
        <w:tc>
          <w:tcPr>
            <w:tcW w:w="1166" w:type="dxa"/>
            <w:tcBorders>
              <w:top w:val="nil"/>
              <w:left w:val="nil"/>
              <w:bottom w:val="nil"/>
              <w:right w:val="nil"/>
            </w:tcBorders>
            <w:shd w:val="clear" w:color="auto" w:fill="auto"/>
            <w:noWrap/>
            <w:vAlign w:val="bottom"/>
            <w:hideMark/>
          </w:tcPr>
          <w:p w14:paraId="7F6B45D2" w14:textId="0838227D" w:rsidR="00306EC6" w:rsidRPr="00337135" w:rsidRDefault="00306EC6" w:rsidP="00306EC6">
            <w:pPr>
              <w:jc w:val="center"/>
              <w:rPr>
                <w:rFonts w:eastAsia="Times New Roman" w:cs="Times New Roman"/>
                <w:color w:val="000000"/>
                <w:sz w:val="20"/>
                <w:szCs w:val="20"/>
              </w:rPr>
            </w:pPr>
            <w:r>
              <w:rPr>
                <w:color w:val="000000"/>
                <w:sz w:val="20"/>
                <w:szCs w:val="20"/>
              </w:rPr>
              <w:t>(1.379)</w:t>
            </w:r>
          </w:p>
        </w:tc>
      </w:tr>
      <w:tr w:rsidR="00306EC6" w:rsidRPr="00337135" w14:paraId="665376E3" w14:textId="77777777" w:rsidTr="00306EC6">
        <w:trPr>
          <w:trHeight w:val="255"/>
        </w:trPr>
        <w:tc>
          <w:tcPr>
            <w:tcW w:w="2000" w:type="dxa"/>
            <w:tcBorders>
              <w:top w:val="nil"/>
              <w:left w:val="nil"/>
              <w:bottom w:val="nil"/>
              <w:right w:val="nil"/>
            </w:tcBorders>
            <w:shd w:val="clear" w:color="auto" w:fill="auto"/>
            <w:noWrap/>
            <w:vAlign w:val="bottom"/>
            <w:hideMark/>
          </w:tcPr>
          <w:p w14:paraId="4B2D84EF" w14:textId="64E0A9B4" w:rsidR="00306EC6" w:rsidRPr="00337135" w:rsidRDefault="00306EC6" w:rsidP="00306EC6">
            <w:pPr>
              <w:rPr>
                <w:rFonts w:eastAsia="Times New Roman" w:cs="Times New Roman"/>
                <w:color w:val="000000"/>
                <w:sz w:val="20"/>
                <w:szCs w:val="20"/>
              </w:rPr>
            </w:pPr>
            <w:r>
              <w:rPr>
                <w:color w:val="000000"/>
                <w:sz w:val="20"/>
                <w:szCs w:val="20"/>
              </w:rPr>
              <w:t>Gr 2 AY</w:t>
            </w:r>
          </w:p>
        </w:tc>
        <w:tc>
          <w:tcPr>
            <w:tcW w:w="1166" w:type="dxa"/>
            <w:tcBorders>
              <w:top w:val="nil"/>
              <w:left w:val="nil"/>
              <w:bottom w:val="nil"/>
              <w:right w:val="nil"/>
            </w:tcBorders>
            <w:shd w:val="clear" w:color="auto" w:fill="auto"/>
            <w:noWrap/>
            <w:vAlign w:val="bottom"/>
            <w:hideMark/>
          </w:tcPr>
          <w:p w14:paraId="2C51B12C" w14:textId="0A200013" w:rsidR="00306EC6" w:rsidRPr="00337135" w:rsidRDefault="00306EC6" w:rsidP="00306EC6">
            <w:pPr>
              <w:jc w:val="center"/>
              <w:rPr>
                <w:rFonts w:eastAsia="Times New Roman" w:cs="Times New Roman"/>
                <w:color w:val="000000"/>
                <w:sz w:val="20"/>
                <w:szCs w:val="20"/>
              </w:rPr>
            </w:pPr>
            <w:r>
              <w:rPr>
                <w:color w:val="000000"/>
                <w:sz w:val="20"/>
                <w:szCs w:val="20"/>
              </w:rPr>
              <w:t>1.777***</w:t>
            </w:r>
          </w:p>
        </w:tc>
        <w:tc>
          <w:tcPr>
            <w:tcW w:w="1166" w:type="dxa"/>
            <w:tcBorders>
              <w:top w:val="nil"/>
              <w:left w:val="nil"/>
              <w:bottom w:val="nil"/>
              <w:right w:val="nil"/>
            </w:tcBorders>
            <w:shd w:val="clear" w:color="auto" w:fill="auto"/>
            <w:noWrap/>
            <w:vAlign w:val="bottom"/>
            <w:hideMark/>
          </w:tcPr>
          <w:p w14:paraId="5506B17C" w14:textId="5266EE60" w:rsidR="00306EC6" w:rsidRPr="00337135" w:rsidRDefault="00306EC6" w:rsidP="00306EC6">
            <w:pPr>
              <w:jc w:val="center"/>
              <w:rPr>
                <w:rFonts w:eastAsia="Times New Roman" w:cs="Times New Roman"/>
                <w:color w:val="000000"/>
                <w:sz w:val="20"/>
                <w:szCs w:val="20"/>
              </w:rPr>
            </w:pPr>
            <w:r>
              <w:rPr>
                <w:color w:val="000000"/>
                <w:sz w:val="20"/>
                <w:szCs w:val="20"/>
              </w:rPr>
              <w:t>1.777***</w:t>
            </w:r>
          </w:p>
        </w:tc>
        <w:tc>
          <w:tcPr>
            <w:tcW w:w="1166" w:type="dxa"/>
            <w:tcBorders>
              <w:top w:val="nil"/>
              <w:left w:val="nil"/>
              <w:bottom w:val="nil"/>
              <w:right w:val="nil"/>
            </w:tcBorders>
            <w:shd w:val="clear" w:color="auto" w:fill="auto"/>
            <w:noWrap/>
            <w:vAlign w:val="bottom"/>
            <w:hideMark/>
          </w:tcPr>
          <w:p w14:paraId="7CD3CD57" w14:textId="40E66EE1" w:rsidR="00306EC6" w:rsidRPr="00337135" w:rsidRDefault="00306EC6" w:rsidP="00306EC6">
            <w:pPr>
              <w:jc w:val="center"/>
              <w:rPr>
                <w:rFonts w:eastAsia="Times New Roman" w:cs="Times New Roman"/>
                <w:color w:val="000000"/>
                <w:sz w:val="20"/>
                <w:szCs w:val="20"/>
              </w:rPr>
            </w:pPr>
            <w:r>
              <w:rPr>
                <w:color w:val="000000"/>
                <w:sz w:val="20"/>
                <w:szCs w:val="20"/>
              </w:rPr>
              <w:t>1.777***</w:t>
            </w:r>
          </w:p>
        </w:tc>
        <w:tc>
          <w:tcPr>
            <w:tcW w:w="1166" w:type="dxa"/>
            <w:tcBorders>
              <w:top w:val="nil"/>
              <w:left w:val="nil"/>
              <w:bottom w:val="nil"/>
              <w:right w:val="nil"/>
            </w:tcBorders>
            <w:shd w:val="clear" w:color="auto" w:fill="auto"/>
            <w:noWrap/>
            <w:vAlign w:val="bottom"/>
            <w:hideMark/>
          </w:tcPr>
          <w:p w14:paraId="64798700" w14:textId="084366A2" w:rsidR="00306EC6" w:rsidRPr="00337135" w:rsidRDefault="00306EC6" w:rsidP="00306EC6">
            <w:pPr>
              <w:jc w:val="center"/>
              <w:rPr>
                <w:rFonts w:eastAsia="Times New Roman" w:cs="Times New Roman"/>
                <w:color w:val="000000"/>
                <w:sz w:val="20"/>
                <w:szCs w:val="20"/>
              </w:rPr>
            </w:pPr>
            <w:r>
              <w:rPr>
                <w:color w:val="000000"/>
                <w:sz w:val="20"/>
                <w:szCs w:val="20"/>
              </w:rPr>
              <w:t>1.794***</w:t>
            </w:r>
          </w:p>
        </w:tc>
        <w:tc>
          <w:tcPr>
            <w:tcW w:w="1166" w:type="dxa"/>
            <w:tcBorders>
              <w:top w:val="nil"/>
              <w:left w:val="nil"/>
              <w:bottom w:val="nil"/>
              <w:right w:val="nil"/>
            </w:tcBorders>
            <w:shd w:val="clear" w:color="auto" w:fill="auto"/>
            <w:noWrap/>
            <w:vAlign w:val="bottom"/>
            <w:hideMark/>
          </w:tcPr>
          <w:p w14:paraId="253D09B5" w14:textId="50333549" w:rsidR="00306EC6" w:rsidRPr="00337135" w:rsidRDefault="00306EC6" w:rsidP="00306EC6">
            <w:pPr>
              <w:jc w:val="center"/>
              <w:rPr>
                <w:rFonts w:eastAsia="Times New Roman" w:cs="Times New Roman"/>
                <w:color w:val="000000"/>
                <w:sz w:val="20"/>
                <w:szCs w:val="20"/>
              </w:rPr>
            </w:pPr>
            <w:r>
              <w:rPr>
                <w:color w:val="000000"/>
                <w:sz w:val="20"/>
                <w:szCs w:val="20"/>
              </w:rPr>
              <w:t>1.792***</w:t>
            </w:r>
          </w:p>
        </w:tc>
        <w:tc>
          <w:tcPr>
            <w:tcW w:w="1166" w:type="dxa"/>
            <w:tcBorders>
              <w:top w:val="nil"/>
              <w:left w:val="nil"/>
              <w:bottom w:val="nil"/>
              <w:right w:val="nil"/>
            </w:tcBorders>
            <w:shd w:val="clear" w:color="auto" w:fill="auto"/>
            <w:noWrap/>
            <w:vAlign w:val="bottom"/>
            <w:hideMark/>
          </w:tcPr>
          <w:p w14:paraId="31AA1E26" w14:textId="4FC52F6A" w:rsidR="00306EC6" w:rsidRPr="00337135" w:rsidRDefault="00306EC6" w:rsidP="00306EC6">
            <w:pPr>
              <w:jc w:val="center"/>
              <w:rPr>
                <w:rFonts w:eastAsia="Times New Roman" w:cs="Times New Roman"/>
                <w:color w:val="000000"/>
                <w:sz w:val="20"/>
                <w:szCs w:val="20"/>
              </w:rPr>
            </w:pPr>
            <w:r>
              <w:rPr>
                <w:color w:val="000000"/>
                <w:sz w:val="20"/>
                <w:szCs w:val="20"/>
              </w:rPr>
              <w:t>1.792***</w:t>
            </w:r>
          </w:p>
        </w:tc>
      </w:tr>
      <w:tr w:rsidR="00306EC6" w:rsidRPr="00337135" w14:paraId="646DF9C7" w14:textId="77777777" w:rsidTr="00306EC6">
        <w:trPr>
          <w:trHeight w:val="255"/>
        </w:trPr>
        <w:tc>
          <w:tcPr>
            <w:tcW w:w="2000" w:type="dxa"/>
            <w:tcBorders>
              <w:top w:val="nil"/>
              <w:left w:val="nil"/>
              <w:bottom w:val="nil"/>
              <w:right w:val="nil"/>
            </w:tcBorders>
            <w:shd w:val="clear" w:color="auto" w:fill="auto"/>
            <w:noWrap/>
            <w:vAlign w:val="bottom"/>
            <w:hideMark/>
          </w:tcPr>
          <w:p w14:paraId="2B04CF90"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729B8CC5" w14:textId="0210B750" w:rsidR="00306EC6" w:rsidRPr="00337135" w:rsidRDefault="00306EC6" w:rsidP="00306EC6">
            <w:pPr>
              <w:jc w:val="center"/>
              <w:rPr>
                <w:rFonts w:eastAsia="Times New Roman" w:cs="Times New Roman"/>
                <w:color w:val="000000"/>
                <w:sz w:val="20"/>
                <w:szCs w:val="20"/>
              </w:rPr>
            </w:pPr>
            <w:r>
              <w:rPr>
                <w:color w:val="000000"/>
                <w:sz w:val="20"/>
                <w:szCs w:val="20"/>
              </w:rPr>
              <w:t>(0.039)</w:t>
            </w:r>
          </w:p>
        </w:tc>
        <w:tc>
          <w:tcPr>
            <w:tcW w:w="1166" w:type="dxa"/>
            <w:tcBorders>
              <w:top w:val="nil"/>
              <w:left w:val="nil"/>
              <w:bottom w:val="nil"/>
              <w:right w:val="nil"/>
            </w:tcBorders>
            <w:shd w:val="clear" w:color="auto" w:fill="auto"/>
            <w:noWrap/>
            <w:vAlign w:val="bottom"/>
            <w:hideMark/>
          </w:tcPr>
          <w:p w14:paraId="54744A04" w14:textId="1E68484F" w:rsidR="00306EC6" w:rsidRPr="00337135" w:rsidRDefault="00306EC6" w:rsidP="00306EC6">
            <w:pPr>
              <w:jc w:val="center"/>
              <w:rPr>
                <w:rFonts w:eastAsia="Times New Roman" w:cs="Times New Roman"/>
                <w:color w:val="000000"/>
                <w:sz w:val="20"/>
                <w:szCs w:val="20"/>
              </w:rPr>
            </w:pPr>
            <w:r>
              <w:rPr>
                <w:color w:val="000000"/>
                <w:sz w:val="20"/>
                <w:szCs w:val="20"/>
              </w:rPr>
              <w:t>(0.038)</w:t>
            </w:r>
          </w:p>
        </w:tc>
        <w:tc>
          <w:tcPr>
            <w:tcW w:w="1166" w:type="dxa"/>
            <w:tcBorders>
              <w:top w:val="nil"/>
              <w:left w:val="nil"/>
              <w:bottom w:val="nil"/>
              <w:right w:val="nil"/>
            </w:tcBorders>
            <w:shd w:val="clear" w:color="auto" w:fill="auto"/>
            <w:noWrap/>
            <w:vAlign w:val="bottom"/>
            <w:hideMark/>
          </w:tcPr>
          <w:p w14:paraId="0C485D63" w14:textId="2BE9E0E0" w:rsidR="00306EC6" w:rsidRPr="00337135" w:rsidRDefault="00306EC6" w:rsidP="00306EC6">
            <w:pPr>
              <w:jc w:val="center"/>
              <w:rPr>
                <w:rFonts w:eastAsia="Times New Roman" w:cs="Times New Roman"/>
                <w:color w:val="000000"/>
                <w:sz w:val="20"/>
                <w:szCs w:val="20"/>
              </w:rPr>
            </w:pPr>
            <w:r>
              <w:rPr>
                <w:color w:val="000000"/>
                <w:sz w:val="20"/>
                <w:szCs w:val="20"/>
              </w:rPr>
              <w:t>(0.038)</w:t>
            </w:r>
          </w:p>
        </w:tc>
        <w:tc>
          <w:tcPr>
            <w:tcW w:w="1166" w:type="dxa"/>
            <w:tcBorders>
              <w:top w:val="nil"/>
              <w:left w:val="nil"/>
              <w:bottom w:val="nil"/>
              <w:right w:val="nil"/>
            </w:tcBorders>
            <w:shd w:val="clear" w:color="auto" w:fill="auto"/>
            <w:noWrap/>
            <w:vAlign w:val="bottom"/>
            <w:hideMark/>
          </w:tcPr>
          <w:p w14:paraId="4F3361F3" w14:textId="220043BC" w:rsidR="00306EC6" w:rsidRPr="00337135" w:rsidRDefault="00306EC6" w:rsidP="00306EC6">
            <w:pPr>
              <w:jc w:val="center"/>
              <w:rPr>
                <w:rFonts w:eastAsia="Times New Roman" w:cs="Times New Roman"/>
                <w:color w:val="000000"/>
                <w:sz w:val="20"/>
                <w:szCs w:val="20"/>
              </w:rPr>
            </w:pPr>
            <w:r>
              <w:rPr>
                <w:color w:val="000000"/>
                <w:sz w:val="20"/>
                <w:szCs w:val="20"/>
              </w:rPr>
              <w:t>(0.038)</w:t>
            </w:r>
          </w:p>
        </w:tc>
        <w:tc>
          <w:tcPr>
            <w:tcW w:w="1166" w:type="dxa"/>
            <w:tcBorders>
              <w:top w:val="nil"/>
              <w:left w:val="nil"/>
              <w:bottom w:val="nil"/>
              <w:right w:val="nil"/>
            </w:tcBorders>
            <w:shd w:val="clear" w:color="auto" w:fill="auto"/>
            <w:noWrap/>
            <w:vAlign w:val="bottom"/>
            <w:hideMark/>
          </w:tcPr>
          <w:p w14:paraId="01418FF5" w14:textId="6DA61A9F" w:rsidR="00306EC6" w:rsidRPr="00337135" w:rsidRDefault="00306EC6" w:rsidP="00306EC6">
            <w:pPr>
              <w:jc w:val="center"/>
              <w:rPr>
                <w:rFonts w:eastAsia="Times New Roman" w:cs="Times New Roman"/>
                <w:color w:val="000000"/>
                <w:sz w:val="20"/>
                <w:szCs w:val="20"/>
              </w:rPr>
            </w:pPr>
            <w:r>
              <w:rPr>
                <w:color w:val="000000"/>
                <w:sz w:val="20"/>
                <w:szCs w:val="20"/>
              </w:rPr>
              <w:t>(0.038)</w:t>
            </w:r>
          </w:p>
        </w:tc>
        <w:tc>
          <w:tcPr>
            <w:tcW w:w="1166" w:type="dxa"/>
            <w:tcBorders>
              <w:top w:val="nil"/>
              <w:left w:val="nil"/>
              <w:bottom w:val="nil"/>
              <w:right w:val="nil"/>
            </w:tcBorders>
            <w:shd w:val="clear" w:color="auto" w:fill="auto"/>
            <w:noWrap/>
            <w:vAlign w:val="bottom"/>
            <w:hideMark/>
          </w:tcPr>
          <w:p w14:paraId="4B3C53F7" w14:textId="0B30C11F" w:rsidR="00306EC6" w:rsidRPr="00337135" w:rsidRDefault="00306EC6" w:rsidP="00306EC6">
            <w:pPr>
              <w:jc w:val="center"/>
              <w:rPr>
                <w:rFonts w:eastAsia="Times New Roman" w:cs="Times New Roman"/>
                <w:color w:val="000000"/>
                <w:sz w:val="20"/>
                <w:szCs w:val="20"/>
              </w:rPr>
            </w:pPr>
            <w:r>
              <w:rPr>
                <w:color w:val="000000"/>
                <w:sz w:val="20"/>
                <w:szCs w:val="20"/>
              </w:rPr>
              <w:t>(0.038)</w:t>
            </w:r>
          </w:p>
        </w:tc>
      </w:tr>
      <w:tr w:rsidR="00306EC6" w:rsidRPr="00337135" w14:paraId="57F5EA97" w14:textId="77777777" w:rsidTr="00306EC6">
        <w:trPr>
          <w:trHeight w:val="255"/>
        </w:trPr>
        <w:tc>
          <w:tcPr>
            <w:tcW w:w="2000" w:type="dxa"/>
            <w:tcBorders>
              <w:top w:val="nil"/>
              <w:left w:val="nil"/>
              <w:bottom w:val="nil"/>
              <w:right w:val="nil"/>
            </w:tcBorders>
            <w:shd w:val="clear" w:color="auto" w:fill="auto"/>
            <w:noWrap/>
            <w:vAlign w:val="bottom"/>
            <w:hideMark/>
          </w:tcPr>
          <w:p w14:paraId="6A1444CC" w14:textId="4C02718B" w:rsidR="00306EC6" w:rsidRPr="00337135" w:rsidRDefault="00306EC6" w:rsidP="00306EC6">
            <w:pPr>
              <w:rPr>
                <w:rFonts w:eastAsia="Times New Roman" w:cs="Times New Roman"/>
                <w:b/>
                <w:bCs/>
                <w:color w:val="000000"/>
                <w:sz w:val="20"/>
                <w:szCs w:val="20"/>
              </w:rPr>
            </w:pPr>
            <w:r>
              <w:rPr>
                <w:b/>
                <w:bCs/>
                <w:color w:val="000000"/>
                <w:sz w:val="20"/>
                <w:szCs w:val="20"/>
              </w:rPr>
              <w:t>DL x Gr 2 AY</w:t>
            </w:r>
          </w:p>
        </w:tc>
        <w:tc>
          <w:tcPr>
            <w:tcW w:w="1166" w:type="dxa"/>
            <w:tcBorders>
              <w:top w:val="nil"/>
              <w:left w:val="nil"/>
              <w:bottom w:val="nil"/>
              <w:right w:val="nil"/>
            </w:tcBorders>
            <w:shd w:val="clear" w:color="auto" w:fill="auto"/>
            <w:noWrap/>
            <w:vAlign w:val="bottom"/>
            <w:hideMark/>
          </w:tcPr>
          <w:p w14:paraId="26A02977" w14:textId="43AF1F51" w:rsidR="00306EC6" w:rsidRPr="00337135" w:rsidRDefault="00306EC6" w:rsidP="00306EC6">
            <w:pPr>
              <w:jc w:val="center"/>
              <w:rPr>
                <w:rFonts w:eastAsia="Times New Roman" w:cs="Times New Roman"/>
                <w:b/>
                <w:bCs/>
                <w:color w:val="000000"/>
                <w:sz w:val="20"/>
                <w:szCs w:val="20"/>
              </w:rPr>
            </w:pPr>
            <w:r>
              <w:rPr>
                <w:b/>
                <w:bCs/>
                <w:color w:val="000000"/>
                <w:sz w:val="20"/>
                <w:szCs w:val="20"/>
              </w:rPr>
              <w:t>0.196***</w:t>
            </w:r>
          </w:p>
        </w:tc>
        <w:tc>
          <w:tcPr>
            <w:tcW w:w="1166" w:type="dxa"/>
            <w:tcBorders>
              <w:top w:val="nil"/>
              <w:left w:val="nil"/>
              <w:bottom w:val="nil"/>
              <w:right w:val="nil"/>
            </w:tcBorders>
            <w:shd w:val="clear" w:color="auto" w:fill="auto"/>
            <w:noWrap/>
            <w:vAlign w:val="bottom"/>
            <w:hideMark/>
          </w:tcPr>
          <w:p w14:paraId="69638E86" w14:textId="35BCBDAA" w:rsidR="00306EC6" w:rsidRPr="00337135" w:rsidRDefault="00306EC6" w:rsidP="00306EC6">
            <w:pPr>
              <w:jc w:val="center"/>
              <w:rPr>
                <w:rFonts w:eastAsia="Times New Roman" w:cs="Times New Roman"/>
                <w:b/>
                <w:bCs/>
                <w:color w:val="000000"/>
                <w:sz w:val="20"/>
                <w:szCs w:val="20"/>
              </w:rPr>
            </w:pPr>
            <w:r>
              <w:rPr>
                <w:b/>
                <w:bCs/>
                <w:color w:val="000000"/>
                <w:sz w:val="20"/>
                <w:szCs w:val="20"/>
              </w:rPr>
              <w:t>0.195***</w:t>
            </w:r>
          </w:p>
        </w:tc>
        <w:tc>
          <w:tcPr>
            <w:tcW w:w="1166" w:type="dxa"/>
            <w:tcBorders>
              <w:top w:val="nil"/>
              <w:left w:val="nil"/>
              <w:bottom w:val="nil"/>
              <w:right w:val="nil"/>
            </w:tcBorders>
            <w:shd w:val="clear" w:color="auto" w:fill="auto"/>
            <w:noWrap/>
            <w:vAlign w:val="bottom"/>
            <w:hideMark/>
          </w:tcPr>
          <w:p w14:paraId="2B5F91C8" w14:textId="321E8225" w:rsidR="00306EC6" w:rsidRPr="00337135" w:rsidRDefault="00306EC6" w:rsidP="00306EC6">
            <w:pPr>
              <w:jc w:val="center"/>
              <w:rPr>
                <w:rFonts w:eastAsia="Times New Roman" w:cs="Times New Roman"/>
                <w:b/>
                <w:bCs/>
                <w:color w:val="000000"/>
                <w:sz w:val="20"/>
                <w:szCs w:val="20"/>
              </w:rPr>
            </w:pPr>
            <w:r>
              <w:rPr>
                <w:b/>
                <w:bCs/>
                <w:color w:val="000000"/>
                <w:sz w:val="20"/>
                <w:szCs w:val="20"/>
              </w:rPr>
              <w:t>0.195***</w:t>
            </w:r>
          </w:p>
        </w:tc>
        <w:tc>
          <w:tcPr>
            <w:tcW w:w="1166" w:type="dxa"/>
            <w:tcBorders>
              <w:top w:val="nil"/>
              <w:left w:val="nil"/>
              <w:bottom w:val="nil"/>
              <w:right w:val="nil"/>
            </w:tcBorders>
            <w:shd w:val="clear" w:color="auto" w:fill="auto"/>
            <w:noWrap/>
            <w:vAlign w:val="bottom"/>
            <w:hideMark/>
          </w:tcPr>
          <w:p w14:paraId="0C687D1A" w14:textId="09B53EB4" w:rsidR="00306EC6" w:rsidRPr="00337135" w:rsidRDefault="00306EC6" w:rsidP="00306EC6">
            <w:pPr>
              <w:jc w:val="center"/>
              <w:rPr>
                <w:rFonts w:eastAsia="Times New Roman" w:cs="Times New Roman"/>
                <w:b/>
                <w:bCs/>
                <w:color w:val="000000"/>
                <w:sz w:val="20"/>
                <w:szCs w:val="20"/>
              </w:rPr>
            </w:pPr>
            <w:r>
              <w:rPr>
                <w:b/>
                <w:bCs/>
                <w:color w:val="000000"/>
                <w:sz w:val="20"/>
                <w:szCs w:val="20"/>
              </w:rPr>
              <w:t>0.123**</w:t>
            </w:r>
          </w:p>
        </w:tc>
        <w:tc>
          <w:tcPr>
            <w:tcW w:w="1166" w:type="dxa"/>
            <w:tcBorders>
              <w:top w:val="nil"/>
              <w:left w:val="nil"/>
              <w:bottom w:val="nil"/>
              <w:right w:val="nil"/>
            </w:tcBorders>
            <w:shd w:val="clear" w:color="auto" w:fill="auto"/>
            <w:noWrap/>
            <w:vAlign w:val="bottom"/>
            <w:hideMark/>
          </w:tcPr>
          <w:p w14:paraId="1F9400F3" w14:textId="0B83E836" w:rsidR="00306EC6" w:rsidRPr="00337135" w:rsidRDefault="00306EC6" w:rsidP="00306EC6">
            <w:pPr>
              <w:jc w:val="center"/>
              <w:rPr>
                <w:rFonts w:eastAsia="Times New Roman" w:cs="Times New Roman"/>
                <w:b/>
                <w:bCs/>
                <w:color w:val="000000"/>
                <w:sz w:val="20"/>
                <w:szCs w:val="20"/>
              </w:rPr>
            </w:pPr>
            <w:r>
              <w:rPr>
                <w:b/>
                <w:bCs/>
                <w:color w:val="000000"/>
                <w:sz w:val="20"/>
                <w:szCs w:val="20"/>
              </w:rPr>
              <w:t>0.124**</w:t>
            </w:r>
          </w:p>
        </w:tc>
        <w:tc>
          <w:tcPr>
            <w:tcW w:w="1166" w:type="dxa"/>
            <w:tcBorders>
              <w:top w:val="nil"/>
              <w:left w:val="nil"/>
              <w:bottom w:val="nil"/>
              <w:right w:val="nil"/>
            </w:tcBorders>
            <w:shd w:val="clear" w:color="auto" w:fill="auto"/>
            <w:noWrap/>
            <w:vAlign w:val="bottom"/>
            <w:hideMark/>
          </w:tcPr>
          <w:p w14:paraId="0BF52E17" w14:textId="0FB58D92" w:rsidR="00306EC6" w:rsidRPr="00337135" w:rsidRDefault="00306EC6" w:rsidP="00306EC6">
            <w:pPr>
              <w:jc w:val="center"/>
              <w:rPr>
                <w:rFonts w:eastAsia="Times New Roman" w:cs="Times New Roman"/>
                <w:b/>
                <w:bCs/>
                <w:color w:val="000000"/>
                <w:sz w:val="20"/>
                <w:szCs w:val="20"/>
              </w:rPr>
            </w:pPr>
            <w:r>
              <w:rPr>
                <w:b/>
                <w:bCs/>
                <w:color w:val="000000"/>
                <w:sz w:val="20"/>
                <w:szCs w:val="20"/>
              </w:rPr>
              <w:t>0.124**</w:t>
            </w:r>
          </w:p>
        </w:tc>
      </w:tr>
      <w:tr w:rsidR="00306EC6" w:rsidRPr="00337135" w14:paraId="2F506AED" w14:textId="77777777" w:rsidTr="00306EC6">
        <w:trPr>
          <w:trHeight w:val="255"/>
        </w:trPr>
        <w:tc>
          <w:tcPr>
            <w:tcW w:w="2000" w:type="dxa"/>
            <w:tcBorders>
              <w:top w:val="nil"/>
              <w:left w:val="nil"/>
              <w:bottom w:val="nil"/>
              <w:right w:val="nil"/>
            </w:tcBorders>
            <w:shd w:val="clear" w:color="auto" w:fill="auto"/>
            <w:noWrap/>
            <w:vAlign w:val="bottom"/>
            <w:hideMark/>
          </w:tcPr>
          <w:p w14:paraId="10359294"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7244E492" w14:textId="2BA3233D" w:rsidR="00306EC6" w:rsidRPr="00337135" w:rsidRDefault="00306EC6" w:rsidP="00306EC6">
            <w:pPr>
              <w:jc w:val="center"/>
              <w:rPr>
                <w:rFonts w:eastAsia="Times New Roman" w:cs="Times New Roman"/>
                <w:color w:val="000000"/>
                <w:sz w:val="20"/>
                <w:szCs w:val="20"/>
              </w:rPr>
            </w:pPr>
            <w:r>
              <w:rPr>
                <w:color w:val="000000"/>
                <w:sz w:val="20"/>
                <w:szCs w:val="20"/>
              </w:rPr>
              <w:t>(0.068)</w:t>
            </w:r>
          </w:p>
        </w:tc>
        <w:tc>
          <w:tcPr>
            <w:tcW w:w="1166" w:type="dxa"/>
            <w:tcBorders>
              <w:top w:val="nil"/>
              <w:left w:val="nil"/>
              <w:bottom w:val="nil"/>
              <w:right w:val="nil"/>
            </w:tcBorders>
            <w:shd w:val="clear" w:color="auto" w:fill="auto"/>
            <w:noWrap/>
            <w:vAlign w:val="bottom"/>
            <w:hideMark/>
          </w:tcPr>
          <w:p w14:paraId="5801A6B4" w14:textId="0219A750" w:rsidR="00306EC6" w:rsidRPr="00337135" w:rsidRDefault="00306EC6" w:rsidP="00306EC6">
            <w:pPr>
              <w:jc w:val="center"/>
              <w:rPr>
                <w:rFonts w:eastAsia="Times New Roman" w:cs="Times New Roman"/>
                <w:color w:val="000000"/>
                <w:sz w:val="20"/>
                <w:szCs w:val="20"/>
              </w:rPr>
            </w:pPr>
            <w:r>
              <w:rPr>
                <w:color w:val="000000"/>
                <w:sz w:val="20"/>
                <w:szCs w:val="20"/>
              </w:rPr>
              <w:t>(0.068)</w:t>
            </w:r>
          </w:p>
        </w:tc>
        <w:tc>
          <w:tcPr>
            <w:tcW w:w="1166" w:type="dxa"/>
            <w:tcBorders>
              <w:top w:val="nil"/>
              <w:left w:val="nil"/>
              <w:bottom w:val="nil"/>
              <w:right w:val="nil"/>
            </w:tcBorders>
            <w:shd w:val="clear" w:color="auto" w:fill="auto"/>
            <w:noWrap/>
            <w:vAlign w:val="bottom"/>
            <w:hideMark/>
          </w:tcPr>
          <w:p w14:paraId="5265365C" w14:textId="4AFC4214" w:rsidR="00306EC6" w:rsidRPr="00337135" w:rsidRDefault="00306EC6" w:rsidP="00306EC6">
            <w:pPr>
              <w:jc w:val="center"/>
              <w:rPr>
                <w:rFonts w:eastAsia="Times New Roman" w:cs="Times New Roman"/>
                <w:color w:val="000000"/>
                <w:sz w:val="20"/>
                <w:szCs w:val="20"/>
              </w:rPr>
            </w:pPr>
            <w:r>
              <w:rPr>
                <w:color w:val="000000"/>
                <w:sz w:val="20"/>
                <w:szCs w:val="20"/>
              </w:rPr>
              <w:t>(0.068)</w:t>
            </w:r>
          </w:p>
        </w:tc>
        <w:tc>
          <w:tcPr>
            <w:tcW w:w="1166" w:type="dxa"/>
            <w:tcBorders>
              <w:top w:val="nil"/>
              <w:left w:val="nil"/>
              <w:bottom w:val="nil"/>
              <w:right w:val="nil"/>
            </w:tcBorders>
            <w:shd w:val="clear" w:color="auto" w:fill="auto"/>
            <w:noWrap/>
            <w:vAlign w:val="bottom"/>
            <w:hideMark/>
          </w:tcPr>
          <w:p w14:paraId="0FE341A4" w14:textId="227C9F62" w:rsidR="00306EC6" w:rsidRPr="00337135" w:rsidRDefault="00306EC6" w:rsidP="00306EC6">
            <w:pPr>
              <w:jc w:val="center"/>
              <w:rPr>
                <w:rFonts w:eastAsia="Times New Roman" w:cs="Times New Roman"/>
                <w:color w:val="000000"/>
                <w:sz w:val="20"/>
                <w:szCs w:val="20"/>
              </w:rPr>
            </w:pPr>
            <w:r>
              <w:rPr>
                <w:color w:val="000000"/>
                <w:sz w:val="20"/>
                <w:szCs w:val="20"/>
              </w:rPr>
              <w:t>(0.057)</w:t>
            </w:r>
          </w:p>
        </w:tc>
        <w:tc>
          <w:tcPr>
            <w:tcW w:w="1166" w:type="dxa"/>
            <w:tcBorders>
              <w:top w:val="nil"/>
              <w:left w:val="nil"/>
              <w:bottom w:val="nil"/>
              <w:right w:val="nil"/>
            </w:tcBorders>
            <w:shd w:val="clear" w:color="auto" w:fill="auto"/>
            <w:noWrap/>
            <w:vAlign w:val="bottom"/>
            <w:hideMark/>
          </w:tcPr>
          <w:p w14:paraId="1C59D85E" w14:textId="3CD948F4" w:rsidR="00306EC6" w:rsidRPr="00337135" w:rsidRDefault="00306EC6" w:rsidP="00306EC6">
            <w:pPr>
              <w:jc w:val="center"/>
              <w:rPr>
                <w:rFonts w:eastAsia="Times New Roman" w:cs="Times New Roman"/>
                <w:color w:val="000000"/>
                <w:sz w:val="20"/>
                <w:szCs w:val="20"/>
              </w:rPr>
            </w:pPr>
            <w:r>
              <w:rPr>
                <w:color w:val="000000"/>
                <w:sz w:val="20"/>
                <w:szCs w:val="20"/>
              </w:rPr>
              <w:t>(0.056)</w:t>
            </w:r>
          </w:p>
        </w:tc>
        <w:tc>
          <w:tcPr>
            <w:tcW w:w="1166" w:type="dxa"/>
            <w:tcBorders>
              <w:top w:val="nil"/>
              <w:left w:val="nil"/>
              <w:bottom w:val="nil"/>
              <w:right w:val="nil"/>
            </w:tcBorders>
            <w:shd w:val="clear" w:color="auto" w:fill="auto"/>
            <w:noWrap/>
            <w:vAlign w:val="bottom"/>
            <w:hideMark/>
          </w:tcPr>
          <w:p w14:paraId="3DCE52EF" w14:textId="38FDDC76" w:rsidR="00306EC6" w:rsidRPr="00337135" w:rsidRDefault="00306EC6" w:rsidP="00306EC6">
            <w:pPr>
              <w:jc w:val="center"/>
              <w:rPr>
                <w:rFonts w:eastAsia="Times New Roman" w:cs="Times New Roman"/>
                <w:color w:val="000000"/>
                <w:sz w:val="20"/>
                <w:szCs w:val="20"/>
              </w:rPr>
            </w:pPr>
            <w:r>
              <w:rPr>
                <w:color w:val="000000"/>
                <w:sz w:val="20"/>
                <w:szCs w:val="20"/>
              </w:rPr>
              <w:t>(0.056)</w:t>
            </w:r>
          </w:p>
        </w:tc>
      </w:tr>
      <w:tr w:rsidR="00306EC6" w:rsidRPr="00337135" w14:paraId="5803C17D" w14:textId="77777777" w:rsidTr="00306EC6">
        <w:trPr>
          <w:trHeight w:val="255"/>
        </w:trPr>
        <w:tc>
          <w:tcPr>
            <w:tcW w:w="2000" w:type="dxa"/>
            <w:tcBorders>
              <w:top w:val="nil"/>
              <w:left w:val="nil"/>
              <w:bottom w:val="nil"/>
              <w:right w:val="nil"/>
            </w:tcBorders>
            <w:shd w:val="clear" w:color="auto" w:fill="auto"/>
            <w:noWrap/>
            <w:vAlign w:val="bottom"/>
            <w:hideMark/>
          </w:tcPr>
          <w:p w14:paraId="3B22C03E" w14:textId="4C5B135B" w:rsidR="00306EC6" w:rsidRPr="00337135" w:rsidRDefault="00306EC6" w:rsidP="00306EC6">
            <w:pPr>
              <w:rPr>
                <w:rFonts w:eastAsia="Times New Roman" w:cs="Times New Roman"/>
                <w:color w:val="000000"/>
                <w:sz w:val="20"/>
                <w:szCs w:val="20"/>
              </w:rPr>
            </w:pPr>
            <w:r>
              <w:rPr>
                <w:color w:val="000000"/>
                <w:sz w:val="20"/>
                <w:szCs w:val="20"/>
              </w:rPr>
              <w:t>Gr 2 Summer</w:t>
            </w:r>
          </w:p>
        </w:tc>
        <w:tc>
          <w:tcPr>
            <w:tcW w:w="1166" w:type="dxa"/>
            <w:tcBorders>
              <w:top w:val="nil"/>
              <w:left w:val="nil"/>
              <w:bottom w:val="nil"/>
              <w:right w:val="nil"/>
            </w:tcBorders>
            <w:shd w:val="clear" w:color="auto" w:fill="auto"/>
            <w:noWrap/>
            <w:vAlign w:val="bottom"/>
            <w:hideMark/>
          </w:tcPr>
          <w:p w14:paraId="3F35E291" w14:textId="4151AE1F" w:rsidR="00306EC6" w:rsidRPr="00337135" w:rsidRDefault="00306EC6" w:rsidP="00306EC6">
            <w:pPr>
              <w:jc w:val="center"/>
              <w:rPr>
                <w:rFonts w:eastAsia="Times New Roman" w:cs="Times New Roman"/>
                <w:color w:val="000000"/>
                <w:sz w:val="20"/>
                <w:szCs w:val="20"/>
              </w:rPr>
            </w:pPr>
            <w:r>
              <w:rPr>
                <w:color w:val="000000"/>
                <w:sz w:val="20"/>
                <w:szCs w:val="20"/>
              </w:rPr>
              <w:t>-0.592***</w:t>
            </w:r>
          </w:p>
        </w:tc>
        <w:tc>
          <w:tcPr>
            <w:tcW w:w="1166" w:type="dxa"/>
            <w:tcBorders>
              <w:top w:val="nil"/>
              <w:left w:val="nil"/>
              <w:bottom w:val="nil"/>
              <w:right w:val="nil"/>
            </w:tcBorders>
            <w:shd w:val="clear" w:color="auto" w:fill="auto"/>
            <w:noWrap/>
            <w:vAlign w:val="bottom"/>
            <w:hideMark/>
          </w:tcPr>
          <w:p w14:paraId="11419890" w14:textId="7192BB7A" w:rsidR="00306EC6" w:rsidRPr="00337135" w:rsidRDefault="00306EC6" w:rsidP="00306EC6">
            <w:pPr>
              <w:jc w:val="center"/>
              <w:rPr>
                <w:rFonts w:eastAsia="Times New Roman" w:cs="Times New Roman"/>
                <w:color w:val="000000"/>
                <w:sz w:val="20"/>
                <w:szCs w:val="20"/>
              </w:rPr>
            </w:pPr>
            <w:r>
              <w:rPr>
                <w:color w:val="000000"/>
                <w:sz w:val="20"/>
                <w:szCs w:val="20"/>
              </w:rPr>
              <w:t>-0.583***</w:t>
            </w:r>
          </w:p>
        </w:tc>
        <w:tc>
          <w:tcPr>
            <w:tcW w:w="1166" w:type="dxa"/>
            <w:tcBorders>
              <w:top w:val="nil"/>
              <w:left w:val="nil"/>
              <w:bottom w:val="nil"/>
              <w:right w:val="nil"/>
            </w:tcBorders>
            <w:shd w:val="clear" w:color="auto" w:fill="auto"/>
            <w:noWrap/>
            <w:vAlign w:val="bottom"/>
            <w:hideMark/>
          </w:tcPr>
          <w:p w14:paraId="1C869585" w14:textId="1E2FEFEA" w:rsidR="00306EC6" w:rsidRPr="00337135" w:rsidRDefault="00306EC6" w:rsidP="00306EC6">
            <w:pPr>
              <w:jc w:val="center"/>
              <w:rPr>
                <w:rFonts w:eastAsia="Times New Roman" w:cs="Times New Roman"/>
                <w:color w:val="000000"/>
                <w:sz w:val="20"/>
                <w:szCs w:val="20"/>
              </w:rPr>
            </w:pPr>
            <w:r>
              <w:rPr>
                <w:color w:val="000000"/>
                <w:sz w:val="20"/>
                <w:szCs w:val="20"/>
              </w:rPr>
              <w:t>-0.583***</w:t>
            </w:r>
          </w:p>
        </w:tc>
        <w:tc>
          <w:tcPr>
            <w:tcW w:w="1166" w:type="dxa"/>
            <w:tcBorders>
              <w:top w:val="nil"/>
              <w:left w:val="nil"/>
              <w:bottom w:val="nil"/>
              <w:right w:val="nil"/>
            </w:tcBorders>
            <w:shd w:val="clear" w:color="auto" w:fill="auto"/>
            <w:noWrap/>
            <w:vAlign w:val="bottom"/>
            <w:hideMark/>
          </w:tcPr>
          <w:p w14:paraId="7222D48C" w14:textId="7BCF5465" w:rsidR="00306EC6" w:rsidRPr="00337135" w:rsidRDefault="00306EC6" w:rsidP="00306EC6">
            <w:pPr>
              <w:jc w:val="center"/>
              <w:rPr>
                <w:rFonts w:eastAsia="Times New Roman" w:cs="Times New Roman"/>
                <w:color w:val="000000"/>
                <w:sz w:val="20"/>
                <w:szCs w:val="20"/>
              </w:rPr>
            </w:pPr>
            <w:r>
              <w:rPr>
                <w:color w:val="000000"/>
                <w:sz w:val="20"/>
                <w:szCs w:val="20"/>
              </w:rPr>
              <w:t>-0.181*</w:t>
            </w:r>
          </w:p>
        </w:tc>
        <w:tc>
          <w:tcPr>
            <w:tcW w:w="1166" w:type="dxa"/>
            <w:tcBorders>
              <w:top w:val="nil"/>
              <w:left w:val="nil"/>
              <w:bottom w:val="nil"/>
              <w:right w:val="nil"/>
            </w:tcBorders>
            <w:shd w:val="clear" w:color="auto" w:fill="auto"/>
            <w:noWrap/>
            <w:vAlign w:val="bottom"/>
            <w:hideMark/>
          </w:tcPr>
          <w:p w14:paraId="3D40F8C5" w14:textId="13D055E9" w:rsidR="00306EC6" w:rsidRPr="00337135" w:rsidRDefault="00306EC6" w:rsidP="00306EC6">
            <w:pPr>
              <w:jc w:val="center"/>
              <w:rPr>
                <w:rFonts w:eastAsia="Times New Roman" w:cs="Times New Roman"/>
                <w:color w:val="000000"/>
                <w:sz w:val="20"/>
                <w:szCs w:val="20"/>
              </w:rPr>
            </w:pPr>
            <w:r>
              <w:rPr>
                <w:color w:val="000000"/>
                <w:sz w:val="20"/>
                <w:szCs w:val="20"/>
              </w:rPr>
              <w:t>-0.165</w:t>
            </w:r>
          </w:p>
        </w:tc>
        <w:tc>
          <w:tcPr>
            <w:tcW w:w="1166" w:type="dxa"/>
            <w:tcBorders>
              <w:top w:val="nil"/>
              <w:left w:val="nil"/>
              <w:bottom w:val="nil"/>
              <w:right w:val="nil"/>
            </w:tcBorders>
            <w:shd w:val="clear" w:color="auto" w:fill="auto"/>
            <w:noWrap/>
            <w:vAlign w:val="bottom"/>
            <w:hideMark/>
          </w:tcPr>
          <w:p w14:paraId="0094656D" w14:textId="562B2E2A" w:rsidR="00306EC6" w:rsidRPr="00337135" w:rsidRDefault="00306EC6" w:rsidP="00306EC6">
            <w:pPr>
              <w:jc w:val="center"/>
              <w:rPr>
                <w:rFonts w:eastAsia="Times New Roman" w:cs="Times New Roman"/>
                <w:color w:val="000000"/>
                <w:sz w:val="20"/>
                <w:szCs w:val="20"/>
              </w:rPr>
            </w:pPr>
            <w:r>
              <w:rPr>
                <w:color w:val="000000"/>
                <w:sz w:val="20"/>
                <w:szCs w:val="20"/>
              </w:rPr>
              <w:t>-0.165</w:t>
            </w:r>
          </w:p>
        </w:tc>
      </w:tr>
      <w:tr w:rsidR="00306EC6" w:rsidRPr="00337135" w14:paraId="058B7626" w14:textId="77777777" w:rsidTr="00306EC6">
        <w:trPr>
          <w:trHeight w:val="255"/>
        </w:trPr>
        <w:tc>
          <w:tcPr>
            <w:tcW w:w="2000" w:type="dxa"/>
            <w:tcBorders>
              <w:top w:val="nil"/>
              <w:left w:val="nil"/>
              <w:bottom w:val="nil"/>
              <w:right w:val="nil"/>
            </w:tcBorders>
            <w:shd w:val="clear" w:color="auto" w:fill="auto"/>
            <w:noWrap/>
            <w:vAlign w:val="bottom"/>
            <w:hideMark/>
          </w:tcPr>
          <w:p w14:paraId="2322CFC6"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0989AB6F" w14:textId="249971A9" w:rsidR="00306EC6" w:rsidRPr="00337135" w:rsidRDefault="00306EC6" w:rsidP="00306EC6">
            <w:pPr>
              <w:jc w:val="center"/>
              <w:rPr>
                <w:rFonts w:eastAsia="Times New Roman" w:cs="Times New Roman"/>
                <w:color w:val="000000"/>
                <w:sz w:val="20"/>
                <w:szCs w:val="20"/>
              </w:rPr>
            </w:pPr>
            <w:r>
              <w:rPr>
                <w:color w:val="000000"/>
                <w:sz w:val="20"/>
                <w:szCs w:val="20"/>
              </w:rPr>
              <w:t>(0.115)</w:t>
            </w:r>
          </w:p>
        </w:tc>
        <w:tc>
          <w:tcPr>
            <w:tcW w:w="1166" w:type="dxa"/>
            <w:tcBorders>
              <w:top w:val="nil"/>
              <w:left w:val="nil"/>
              <w:bottom w:val="nil"/>
              <w:right w:val="nil"/>
            </w:tcBorders>
            <w:shd w:val="clear" w:color="auto" w:fill="auto"/>
            <w:noWrap/>
            <w:vAlign w:val="bottom"/>
            <w:hideMark/>
          </w:tcPr>
          <w:p w14:paraId="01828643" w14:textId="72643130" w:rsidR="00306EC6" w:rsidRPr="00337135" w:rsidRDefault="00306EC6" w:rsidP="00306EC6">
            <w:pPr>
              <w:jc w:val="center"/>
              <w:rPr>
                <w:rFonts w:eastAsia="Times New Roman" w:cs="Times New Roman"/>
                <w:color w:val="000000"/>
                <w:sz w:val="20"/>
                <w:szCs w:val="20"/>
              </w:rPr>
            </w:pPr>
            <w:r>
              <w:rPr>
                <w:color w:val="000000"/>
                <w:sz w:val="20"/>
                <w:szCs w:val="20"/>
              </w:rPr>
              <w:t>(0.114)</w:t>
            </w:r>
          </w:p>
        </w:tc>
        <w:tc>
          <w:tcPr>
            <w:tcW w:w="1166" w:type="dxa"/>
            <w:tcBorders>
              <w:top w:val="nil"/>
              <w:left w:val="nil"/>
              <w:bottom w:val="nil"/>
              <w:right w:val="nil"/>
            </w:tcBorders>
            <w:shd w:val="clear" w:color="auto" w:fill="auto"/>
            <w:noWrap/>
            <w:vAlign w:val="bottom"/>
            <w:hideMark/>
          </w:tcPr>
          <w:p w14:paraId="07657004" w14:textId="4673A3F3" w:rsidR="00306EC6" w:rsidRPr="00337135" w:rsidRDefault="00306EC6" w:rsidP="00306EC6">
            <w:pPr>
              <w:jc w:val="center"/>
              <w:rPr>
                <w:rFonts w:eastAsia="Times New Roman" w:cs="Times New Roman"/>
                <w:color w:val="000000"/>
                <w:sz w:val="20"/>
                <w:szCs w:val="20"/>
              </w:rPr>
            </w:pPr>
            <w:r>
              <w:rPr>
                <w:color w:val="000000"/>
                <w:sz w:val="20"/>
                <w:szCs w:val="20"/>
              </w:rPr>
              <w:t>(0.114)</w:t>
            </w:r>
          </w:p>
        </w:tc>
        <w:tc>
          <w:tcPr>
            <w:tcW w:w="1166" w:type="dxa"/>
            <w:tcBorders>
              <w:top w:val="nil"/>
              <w:left w:val="nil"/>
              <w:bottom w:val="nil"/>
              <w:right w:val="nil"/>
            </w:tcBorders>
            <w:shd w:val="clear" w:color="auto" w:fill="auto"/>
            <w:noWrap/>
            <w:vAlign w:val="bottom"/>
            <w:hideMark/>
          </w:tcPr>
          <w:p w14:paraId="5986FB5B" w14:textId="1C197E14" w:rsidR="00306EC6" w:rsidRPr="00337135" w:rsidRDefault="00306EC6" w:rsidP="00306EC6">
            <w:pPr>
              <w:jc w:val="center"/>
              <w:rPr>
                <w:rFonts w:eastAsia="Times New Roman" w:cs="Times New Roman"/>
                <w:color w:val="000000"/>
                <w:sz w:val="20"/>
                <w:szCs w:val="20"/>
              </w:rPr>
            </w:pPr>
            <w:r>
              <w:rPr>
                <w:color w:val="000000"/>
                <w:sz w:val="20"/>
                <w:szCs w:val="20"/>
              </w:rPr>
              <w:t>(0.106)</w:t>
            </w:r>
          </w:p>
        </w:tc>
        <w:tc>
          <w:tcPr>
            <w:tcW w:w="1166" w:type="dxa"/>
            <w:tcBorders>
              <w:top w:val="nil"/>
              <w:left w:val="nil"/>
              <w:bottom w:val="nil"/>
              <w:right w:val="nil"/>
            </w:tcBorders>
            <w:shd w:val="clear" w:color="auto" w:fill="auto"/>
            <w:noWrap/>
            <w:vAlign w:val="bottom"/>
            <w:hideMark/>
          </w:tcPr>
          <w:p w14:paraId="2A65B65A" w14:textId="294737B4" w:rsidR="00306EC6" w:rsidRPr="00337135" w:rsidRDefault="00306EC6" w:rsidP="00306EC6">
            <w:pPr>
              <w:jc w:val="center"/>
              <w:rPr>
                <w:rFonts w:eastAsia="Times New Roman" w:cs="Times New Roman"/>
                <w:color w:val="000000"/>
                <w:sz w:val="20"/>
                <w:szCs w:val="20"/>
              </w:rPr>
            </w:pPr>
            <w:r>
              <w:rPr>
                <w:color w:val="000000"/>
                <w:sz w:val="20"/>
                <w:szCs w:val="20"/>
              </w:rPr>
              <w:t>(0.106)</w:t>
            </w:r>
          </w:p>
        </w:tc>
        <w:tc>
          <w:tcPr>
            <w:tcW w:w="1166" w:type="dxa"/>
            <w:tcBorders>
              <w:top w:val="nil"/>
              <w:left w:val="nil"/>
              <w:bottom w:val="nil"/>
              <w:right w:val="nil"/>
            </w:tcBorders>
            <w:shd w:val="clear" w:color="auto" w:fill="auto"/>
            <w:noWrap/>
            <w:vAlign w:val="bottom"/>
            <w:hideMark/>
          </w:tcPr>
          <w:p w14:paraId="1B11663A" w14:textId="6692A88B" w:rsidR="00306EC6" w:rsidRPr="00337135" w:rsidRDefault="00306EC6" w:rsidP="00306EC6">
            <w:pPr>
              <w:jc w:val="center"/>
              <w:rPr>
                <w:rFonts w:eastAsia="Times New Roman" w:cs="Times New Roman"/>
                <w:color w:val="000000"/>
                <w:sz w:val="20"/>
                <w:szCs w:val="20"/>
              </w:rPr>
            </w:pPr>
            <w:r>
              <w:rPr>
                <w:color w:val="000000"/>
                <w:sz w:val="20"/>
                <w:szCs w:val="20"/>
              </w:rPr>
              <w:t>(0.106)</w:t>
            </w:r>
          </w:p>
        </w:tc>
      </w:tr>
      <w:tr w:rsidR="00306EC6" w:rsidRPr="00337135" w14:paraId="6EC754F8" w14:textId="77777777" w:rsidTr="00306EC6">
        <w:trPr>
          <w:trHeight w:val="255"/>
        </w:trPr>
        <w:tc>
          <w:tcPr>
            <w:tcW w:w="2000" w:type="dxa"/>
            <w:tcBorders>
              <w:top w:val="nil"/>
              <w:left w:val="nil"/>
              <w:bottom w:val="nil"/>
              <w:right w:val="nil"/>
            </w:tcBorders>
            <w:shd w:val="clear" w:color="auto" w:fill="auto"/>
            <w:noWrap/>
            <w:vAlign w:val="bottom"/>
            <w:hideMark/>
          </w:tcPr>
          <w:p w14:paraId="52403053" w14:textId="221D7BF4" w:rsidR="00306EC6" w:rsidRPr="00337135" w:rsidRDefault="00306EC6" w:rsidP="00306EC6">
            <w:pPr>
              <w:rPr>
                <w:rFonts w:eastAsia="Times New Roman" w:cs="Times New Roman"/>
                <w:b/>
                <w:bCs/>
                <w:color w:val="000000"/>
                <w:sz w:val="20"/>
                <w:szCs w:val="20"/>
              </w:rPr>
            </w:pPr>
            <w:r>
              <w:rPr>
                <w:b/>
                <w:bCs/>
                <w:color w:val="000000"/>
                <w:sz w:val="20"/>
                <w:szCs w:val="20"/>
              </w:rPr>
              <w:t>DL x Gr 2 Summer</w:t>
            </w:r>
          </w:p>
        </w:tc>
        <w:tc>
          <w:tcPr>
            <w:tcW w:w="1166" w:type="dxa"/>
            <w:tcBorders>
              <w:top w:val="nil"/>
              <w:left w:val="nil"/>
              <w:bottom w:val="nil"/>
              <w:right w:val="nil"/>
            </w:tcBorders>
            <w:shd w:val="clear" w:color="auto" w:fill="auto"/>
            <w:noWrap/>
            <w:vAlign w:val="bottom"/>
            <w:hideMark/>
          </w:tcPr>
          <w:p w14:paraId="038AB38D" w14:textId="1FEF2175" w:rsidR="00306EC6" w:rsidRPr="00337135" w:rsidRDefault="00306EC6" w:rsidP="00306EC6">
            <w:pPr>
              <w:jc w:val="center"/>
              <w:rPr>
                <w:rFonts w:eastAsia="Times New Roman" w:cs="Times New Roman"/>
                <w:b/>
                <w:bCs/>
                <w:color w:val="000000"/>
                <w:sz w:val="20"/>
                <w:szCs w:val="20"/>
              </w:rPr>
            </w:pPr>
            <w:r>
              <w:rPr>
                <w:b/>
                <w:bCs/>
                <w:color w:val="000000"/>
                <w:sz w:val="20"/>
                <w:szCs w:val="20"/>
              </w:rPr>
              <w:t>-1.070***</w:t>
            </w:r>
          </w:p>
        </w:tc>
        <w:tc>
          <w:tcPr>
            <w:tcW w:w="1166" w:type="dxa"/>
            <w:tcBorders>
              <w:top w:val="nil"/>
              <w:left w:val="nil"/>
              <w:bottom w:val="nil"/>
              <w:right w:val="nil"/>
            </w:tcBorders>
            <w:shd w:val="clear" w:color="auto" w:fill="auto"/>
            <w:noWrap/>
            <w:vAlign w:val="bottom"/>
            <w:hideMark/>
          </w:tcPr>
          <w:p w14:paraId="7B16E210" w14:textId="329CFDDC" w:rsidR="00306EC6" w:rsidRPr="00337135" w:rsidRDefault="00306EC6" w:rsidP="00306EC6">
            <w:pPr>
              <w:jc w:val="center"/>
              <w:rPr>
                <w:rFonts w:eastAsia="Times New Roman" w:cs="Times New Roman"/>
                <w:b/>
                <w:bCs/>
                <w:color w:val="000000"/>
                <w:sz w:val="20"/>
                <w:szCs w:val="20"/>
              </w:rPr>
            </w:pPr>
            <w:r>
              <w:rPr>
                <w:b/>
                <w:bCs/>
                <w:color w:val="000000"/>
                <w:sz w:val="20"/>
                <w:szCs w:val="20"/>
              </w:rPr>
              <w:t>-1.078***</w:t>
            </w:r>
          </w:p>
        </w:tc>
        <w:tc>
          <w:tcPr>
            <w:tcW w:w="1166" w:type="dxa"/>
            <w:tcBorders>
              <w:top w:val="nil"/>
              <w:left w:val="nil"/>
              <w:bottom w:val="nil"/>
              <w:right w:val="nil"/>
            </w:tcBorders>
            <w:shd w:val="clear" w:color="auto" w:fill="auto"/>
            <w:noWrap/>
            <w:vAlign w:val="bottom"/>
            <w:hideMark/>
          </w:tcPr>
          <w:p w14:paraId="37EB88B5" w14:textId="2E81C0C8" w:rsidR="00306EC6" w:rsidRPr="00337135" w:rsidRDefault="00306EC6" w:rsidP="00306EC6">
            <w:pPr>
              <w:jc w:val="center"/>
              <w:rPr>
                <w:rFonts w:eastAsia="Times New Roman" w:cs="Times New Roman"/>
                <w:b/>
                <w:bCs/>
                <w:color w:val="000000"/>
                <w:sz w:val="20"/>
                <w:szCs w:val="20"/>
              </w:rPr>
            </w:pPr>
            <w:r>
              <w:rPr>
                <w:b/>
                <w:bCs/>
                <w:color w:val="000000"/>
                <w:sz w:val="20"/>
                <w:szCs w:val="20"/>
              </w:rPr>
              <w:t>-1.078***</w:t>
            </w:r>
          </w:p>
        </w:tc>
        <w:tc>
          <w:tcPr>
            <w:tcW w:w="1166" w:type="dxa"/>
            <w:tcBorders>
              <w:top w:val="nil"/>
              <w:left w:val="nil"/>
              <w:bottom w:val="nil"/>
              <w:right w:val="nil"/>
            </w:tcBorders>
            <w:shd w:val="clear" w:color="auto" w:fill="auto"/>
            <w:noWrap/>
            <w:vAlign w:val="bottom"/>
            <w:hideMark/>
          </w:tcPr>
          <w:p w14:paraId="61E85C32" w14:textId="60CAE2B7" w:rsidR="00306EC6" w:rsidRPr="00337135" w:rsidRDefault="00306EC6" w:rsidP="00306EC6">
            <w:pPr>
              <w:jc w:val="center"/>
              <w:rPr>
                <w:rFonts w:eastAsia="Times New Roman" w:cs="Times New Roman"/>
                <w:b/>
                <w:bCs/>
                <w:color w:val="000000"/>
                <w:sz w:val="20"/>
                <w:szCs w:val="20"/>
              </w:rPr>
            </w:pPr>
            <w:r>
              <w:rPr>
                <w:b/>
                <w:bCs/>
                <w:color w:val="000000"/>
                <w:sz w:val="20"/>
                <w:szCs w:val="20"/>
              </w:rPr>
              <w:t>-0.303**</w:t>
            </w:r>
          </w:p>
        </w:tc>
        <w:tc>
          <w:tcPr>
            <w:tcW w:w="1166" w:type="dxa"/>
            <w:tcBorders>
              <w:top w:val="nil"/>
              <w:left w:val="nil"/>
              <w:bottom w:val="nil"/>
              <w:right w:val="nil"/>
            </w:tcBorders>
            <w:shd w:val="clear" w:color="auto" w:fill="auto"/>
            <w:noWrap/>
            <w:vAlign w:val="bottom"/>
            <w:hideMark/>
          </w:tcPr>
          <w:p w14:paraId="2A25DF34" w14:textId="5D126F9E" w:rsidR="00306EC6" w:rsidRPr="00337135" w:rsidRDefault="00306EC6" w:rsidP="00306EC6">
            <w:pPr>
              <w:jc w:val="center"/>
              <w:rPr>
                <w:rFonts w:eastAsia="Times New Roman" w:cs="Times New Roman"/>
                <w:b/>
                <w:bCs/>
                <w:color w:val="000000"/>
                <w:sz w:val="20"/>
                <w:szCs w:val="20"/>
              </w:rPr>
            </w:pPr>
            <w:r>
              <w:rPr>
                <w:b/>
                <w:bCs/>
                <w:color w:val="000000"/>
                <w:sz w:val="20"/>
                <w:szCs w:val="20"/>
              </w:rPr>
              <w:t>-0.316**</w:t>
            </w:r>
          </w:p>
        </w:tc>
        <w:tc>
          <w:tcPr>
            <w:tcW w:w="1166" w:type="dxa"/>
            <w:tcBorders>
              <w:top w:val="nil"/>
              <w:left w:val="nil"/>
              <w:bottom w:val="nil"/>
              <w:right w:val="nil"/>
            </w:tcBorders>
            <w:shd w:val="clear" w:color="auto" w:fill="auto"/>
            <w:noWrap/>
            <w:vAlign w:val="bottom"/>
            <w:hideMark/>
          </w:tcPr>
          <w:p w14:paraId="09F09D18" w14:textId="671B61F0" w:rsidR="00306EC6" w:rsidRPr="00337135" w:rsidRDefault="00306EC6" w:rsidP="00306EC6">
            <w:pPr>
              <w:jc w:val="center"/>
              <w:rPr>
                <w:rFonts w:eastAsia="Times New Roman" w:cs="Times New Roman"/>
                <w:b/>
                <w:bCs/>
                <w:color w:val="000000"/>
                <w:sz w:val="20"/>
                <w:szCs w:val="20"/>
              </w:rPr>
            </w:pPr>
            <w:r>
              <w:rPr>
                <w:b/>
                <w:bCs/>
                <w:color w:val="000000"/>
                <w:sz w:val="20"/>
                <w:szCs w:val="20"/>
              </w:rPr>
              <w:t>-0.316**</w:t>
            </w:r>
          </w:p>
        </w:tc>
      </w:tr>
      <w:tr w:rsidR="00306EC6" w:rsidRPr="00337135" w14:paraId="700FE609" w14:textId="77777777" w:rsidTr="00306EC6">
        <w:trPr>
          <w:trHeight w:val="255"/>
        </w:trPr>
        <w:tc>
          <w:tcPr>
            <w:tcW w:w="2000" w:type="dxa"/>
            <w:tcBorders>
              <w:top w:val="nil"/>
              <w:left w:val="nil"/>
              <w:bottom w:val="nil"/>
              <w:right w:val="nil"/>
            </w:tcBorders>
            <w:shd w:val="clear" w:color="auto" w:fill="auto"/>
            <w:noWrap/>
            <w:vAlign w:val="bottom"/>
            <w:hideMark/>
          </w:tcPr>
          <w:p w14:paraId="70139139"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39B71D89" w14:textId="47DFF234" w:rsidR="00306EC6" w:rsidRPr="00337135" w:rsidRDefault="00306EC6" w:rsidP="00306EC6">
            <w:pPr>
              <w:jc w:val="center"/>
              <w:rPr>
                <w:rFonts w:eastAsia="Times New Roman" w:cs="Times New Roman"/>
                <w:color w:val="000000"/>
                <w:sz w:val="20"/>
                <w:szCs w:val="20"/>
              </w:rPr>
            </w:pPr>
            <w:r>
              <w:rPr>
                <w:color w:val="000000"/>
                <w:sz w:val="20"/>
                <w:szCs w:val="20"/>
              </w:rPr>
              <w:t>(0.144)</w:t>
            </w:r>
          </w:p>
        </w:tc>
        <w:tc>
          <w:tcPr>
            <w:tcW w:w="1166" w:type="dxa"/>
            <w:tcBorders>
              <w:top w:val="nil"/>
              <w:left w:val="nil"/>
              <w:bottom w:val="nil"/>
              <w:right w:val="nil"/>
            </w:tcBorders>
            <w:shd w:val="clear" w:color="auto" w:fill="auto"/>
            <w:noWrap/>
            <w:vAlign w:val="bottom"/>
            <w:hideMark/>
          </w:tcPr>
          <w:p w14:paraId="40F4E4EA" w14:textId="52FB5F10" w:rsidR="00306EC6" w:rsidRPr="00337135" w:rsidRDefault="00306EC6" w:rsidP="00306EC6">
            <w:pPr>
              <w:jc w:val="center"/>
              <w:rPr>
                <w:rFonts w:eastAsia="Times New Roman" w:cs="Times New Roman"/>
                <w:color w:val="000000"/>
                <w:sz w:val="20"/>
                <w:szCs w:val="20"/>
              </w:rPr>
            </w:pPr>
            <w:r>
              <w:rPr>
                <w:color w:val="000000"/>
                <w:sz w:val="20"/>
                <w:szCs w:val="20"/>
              </w:rPr>
              <w:t>(0.142)</w:t>
            </w:r>
          </w:p>
        </w:tc>
        <w:tc>
          <w:tcPr>
            <w:tcW w:w="1166" w:type="dxa"/>
            <w:tcBorders>
              <w:top w:val="nil"/>
              <w:left w:val="nil"/>
              <w:bottom w:val="nil"/>
              <w:right w:val="nil"/>
            </w:tcBorders>
            <w:shd w:val="clear" w:color="auto" w:fill="auto"/>
            <w:noWrap/>
            <w:vAlign w:val="bottom"/>
            <w:hideMark/>
          </w:tcPr>
          <w:p w14:paraId="0DFEBE2D" w14:textId="535EB1C0" w:rsidR="00306EC6" w:rsidRPr="00337135" w:rsidRDefault="00306EC6" w:rsidP="00306EC6">
            <w:pPr>
              <w:jc w:val="center"/>
              <w:rPr>
                <w:rFonts w:eastAsia="Times New Roman" w:cs="Times New Roman"/>
                <w:color w:val="000000"/>
                <w:sz w:val="20"/>
                <w:szCs w:val="20"/>
              </w:rPr>
            </w:pPr>
            <w:r>
              <w:rPr>
                <w:color w:val="000000"/>
                <w:sz w:val="20"/>
                <w:szCs w:val="20"/>
              </w:rPr>
              <w:t>(0.142)</w:t>
            </w:r>
          </w:p>
        </w:tc>
        <w:tc>
          <w:tcPr>
            <w:tcW w:w="1166" w:type="dxa"/>
            <w:tcBorders>
              <w:top w:val="nil"/>
              <w:left w:val="nil"/>
              <w:bottom w:val="nil"/>
              <w:right w:val="nil"/>
            </w:tcBorders>
            <w:shd w:val="clear" w:color="auto" w:fill="auto"/>
            <w:noWrap/>
            <w:vAlign w:val="bottom"/>
            <w:hideMark/>
          </w:tcPr>
          <w:p w14:paraId="00D27DAC" w14:textId="136973F6" w:rsidR="00306EC6" w:rsidRPr="00337135" w:rsidRDefault="00306EC6" w:rsidP="00306EC6">
            <w:pPr>
              <w:jc w:val="center"/>
              <w:rPr>
                <w:rFonts w:eastAsia="Times New Roman" w:cs="Times New Roman"/>
                <w:color w:val="000000"/>
                <w:sz w:val="20"/>
                <w:szCs w:val="20"/>
              </w:rPr>
            </w:pPr>
            <w:r>
              <w:rPr>
                <w:color w:val="000000"/>
                <w:sz w:val="20"/>
                <w:szCs w:val="20"/>
              </w:rPr>
              <w:t>(0.136)</w:t>
            </w:r>
          </w:p>
        </w:tc>
        <w:tc>
          <w:tcPr>
            <w:tcW w:w="1166" w:type="dxa"/>
            <w:tcBorders>
              <w:top w:val="nil"/>
              <w:left w:val="nil"/>
              <w:bottom w:val="nil"/>
              <w:right w:val="nil"/>
            </w:tcBorders>
            <w:shd w:val="clear" w:color="auto" w:fill="auto"/>
            <w:noWrap/>
            <w:vAlign w:val="bottom"/>
            <w:hideMark/>
          </w:tcPr>
          <w:p w14:paraId="262BE13D" w14:textId="3F20AA09" w:rsidR="00306EC6" w:rsidRPr="00337135" w:rsidRDefault="00306EC6" w:rsidP="00306EC6">
            <w:pPr>
              <w:jc w:val="center"/>
              <w:rPr>
                <w:rFonts w:eastAsia="Times New Roman" w:cs="Times New Roman"/>
                <w:color w:val="000000"/>
                <w:sz w:val="20"/>
                <w:szCs w:val="20"/>
              </w:rPr>
            </w:pPr>
            <w:r>
              <w:rPr>
                <w:color w:val="000000"/>
                <w:sz w:val="20"/>
                <w:szCs w:val="20"/>
              </w:rPr>
              <w:t>(0.135)</w:t>
            </w:r>
          </w:p>
        </w:tc>
        <w:tc>
          <w:tcPr>
            <w:tcW w:w="1166" w:type="dxa"/>
            <w:tcBorders>
              <w:top w:val="nil"/>
              <w:left w:val="nil"/>
              <w:bottom w:val="nil"/>
              <w:right w:val="nil"/>
            </w:tcBorders>
            <w:shd w:val="clear" w:color="auto" w:fill="auto"/>
            <w:noWrap/>
            <w:vAlign w:val="bottom"/>
            <w:hideMark/>
          </w:tcPr>
          <w:p w14:paraId="7C6CAC03" w14:textId="0C01E6BB" w:rsidR="00306EC6" w:rsidRPr="00337135" w:rsidRDefault="00306EC6" w:rsidP="00306EC6">
            <w:pPr>
              <w:jc w:val="center"/>
              <w:rPr>
                <w:rFonts w:eastAsia="Times New Roman" w:cs="Times New Roman"/>
                <w:color w:val="000000"/>
                <w:sz w:val="20"/>
                <w:szCs w:val="20"/>
              </w:rPr>
            </w:pPr>
            <w:r>
              <w:rPr>
                <w:color w:val="000000"/>
                <w:sz w:val="20"/>
                <w:szCs w:val="20"/>
              </w:rPr>
              <w:t>(0.135)</w:t>
            </w:r>
          </w:p>
        </w:tc>
      </w:tr>
      <w:tr w:rsidR="00306EC6" w:rsidRPr="00337135" w14:paraId="3FD6452D" w14:textId="77777777" w:rsidTr="00306EC6">
        <w:trPr>
          <w:trHeight w:val="255"/>
        </w:trPr>
        <w:tc>
          <w:tcPr>
            <w:tcW w:w="2000" w:type="dxa"/>
            <w:tcBorders>
              <w:top w:val="nil"/>
              <w:left w:val="nil"/>
              <w:bottom w:val="nil"/>
              <w:right w:val="nil"/>
            </w:tcBorders>
            <w:shd w:val="clear" w:color="auto" w:fill="auto"/>
            <w:noWrap/>
            <w:vAlign w:val="bottom"/>
            <w:hideMark/>
          </w:tcPr>
          <w:p w14:paraId="2CF8E1EE" w14:textId="736CD005" w:rsidR="00306EC6" w:rsidRPr="00337135" w:rsidRDefault="00306EC6" w:rsidP="00306EC6">
            <w:pPr>
              <w:rPr>
                <w:rFonts w:eastAsia="Times New Roman" w:cs="Times New Roman"/>
                <w:color w:val="000000"/>
                <w:sz w:val="20"/>
                <w:szCs w:val="20"/>
              </w:rPr>
            </w:pPr>
            <w:r>
              <w:rPr>
                <w:color w:val="000000"/>
                <w:sz w:val="20"/>
                <w:szCs w:val="20"/>
              </w:rPr>
              <w:t>Gr 3 AY</w:t>
            </w:r>
          </w:p>
        </w:tc>
        <w:tc>
          <w:tcPr>
            <w:tcW w:w="1166" w:type="dxa"/>
            <w:tcBorders>
              <w:top w:val="nil"/>
              <w:left w:val="nil"/>
              <w:bottom w:val="nil"/>
              <w:right w:val="nil"/>
            </w:tcBorders>
            <w:shd w:val="clear" w:color="auto" w:fill="auto"/>
            <w:noWrap/>
            <w:vAlign w:val="bottom"/>
            <w:hideMark/>
          </w:tcPr>
          <w:p w14:paraId="63002846" w14:textId="1DB9F684" w:rsidR="00306EC6" w:rsidRPr="00337135" w:rsidRDefault="00306EC6" w:rsidP="00306EC6">
            <w:pPr>
              <w:jc w:val="center"/>
              <w:rPr>
                <w:rFonts w:eastAsia="Times New Roman" w:cs="Times New Roman"/>
                <w:color w:val="000000"/>
                <w:sz w:val="20"/>
                <w:szCs w:val="20"/>
              </w:rPr>
            </w:pPr>
            <w:r>
              <w:rPr>
                <w:color w:val="000000"/>
                <w:sz w:val="20"/>
                <w:szCs w:val="20"/>
              </w:rPr>
              <w:t>1.494***</w:t>
            </w:r>
          </w:p>
        </w:tc>
        <w:tc>
          <w:tcPr>
            <w:tcW w:w="1166" w:type="dxa"/>
            <w:tcBorders>
              <w:top w:val="nil"/>
              <w:left w:val="nil"/>
              <w:bottom w:val="nil"/>
              <w:right w:val="nil"/>
            </w:tcBorders>
            <w:shd w:val="clear" w:color="auto" w:fill="auto"/>
            <w:noWrap/>
            <w:vAlign w:val="bottom"/>
            <w:hideMark/>
          </w:tcPr>
          <w:p w14:paraId="1815E3D8" w14:textId="77165CBD" w:rsidR="00306EC6" w:rsidRPr="00337135" w:rsidRDefault="00306EC6" w:rsidP="00306EC6">
            <w:pPr>
              <w:jc w:val="center"/>
              <w:rPr>
                <w:rFonts w:eastAsia="Times New Roman" w:cs="Times New Roman"/>
                <w:color w:val="000000"/>
                <w:sz w:val="20"/>
                <w:szCs w:val="20"/>
              </w:rPr>
            </w:pPr>
            <w:r>
              <w:rPr>
                <w:color w:val="000000"/>
                <w:sz w:val="20"/>
                <w:szCs w:val="20"/>
              </w:rPr>
              <w:t>1.490***</w:t>
            </w:r>
          </w:p>
        </w:tc>
        <w:tc>
          <w:tcPr>
            <w:tcW w:w="1166" w:type="dxa"/>
            <w:tcBorders>
              <w:top w:val="nil"/>
              <w:left w:val="nil"/>
              <w:bottom w:val="nil"/>
              <w:right w:val="nil"/>
            </w:tcBorders>
            <w:shd w:val="clear" w:color="auto" w:fill="auto"/>
            <w:noWrap/>
            <w:vAlign w:val="bottom"/>
            <w:hideMark/>
          </w:tcPr>
          <w:p w14:paraId="1AD283DA" w14:textId="3F0B4D3D" w:rsidR="00306EC6" w:rsidRPr="00337135" w:rsidRDefault="00306EC6" w:rsidP="00306EC6">
            <w:pPr>
              <w:jc w:val="center"/>
              <w:rPr>
                <w:rFonts w:eastAsia="Times New Roman" w:cs="Times New Roman"/>
                <w:color w:val="000000"/>
                <w:sz w:val="20"/>
                <w:szCs w:val="20"/>
              </w:rPr>
            </w:pPr>
            <w:r>
              <w:rPr>
                <w:color w:val="000000"/>
                <w:sz w:val="20"/>
                <w:szCs w:val="20"/>
              </w:rPr>
              <w:t>1.490***</w:t>
            </w:r>
          </w:p>
        </w:tc>
        <w:tc>
          <w:tcPr>
            <w:tcW w:w="1166" w:type="dxa"/>
            <w:tcBorders>
              <w:top w:val="nil"/>
              <w:left w:val="nil"/>
              <w:bottom w:val="nil"/>
              <w:right w:val="nil"/>
            </w:tcBorders>
            <w:shd w:val="clear" w:color="auto" w:fill="auto"/>
            <w:noWrap/>
            <w:vAlign w:val="bottom"/>
            <w:hideMark/>
          </w:tcPr>
          <w:p w14:paraId="19190662" w14:textId="7EA201C0" w:rsidR="00306EC6" w:rsidRPr="00337135" w:rsidRDefault="00306EC6" w:rsidP="00306EC6">
            <w:pPr>
              <w:jc w:val="center"/>
              <w:rPr>
                <w:rFonts w:eastAsia="Times New Roman" w:cs="Times New Roman"/>
                <w:color w:val="000000"/>
                <w:sz w:val="20"/>
                <w:szCs w:val="20"/>
              </w:rPr>
            </w:pPr>
            <w:r>
              <w:rPr>
                <w:color w:val="000000"/>
                <w:sz w:val="20"/>
                <w:szCs w:val="20"/>
              </w:rPr>
              <w:t>1.164***</w:t>
            </w:r>
          </w:p>
        </w:tc>
        <w:tc>
          <w:tcPr>
            <w:tcW w:w="1166" w:type="dxa"/>
            <w:tcBorders>
              <w:top w:val="nil"/>
              <w:left w:val="nil"/>
              <w:bottom w:val="nil"/>
              <w:right w:val="nil"/>
            </w:tcBorders>
            <w:shd w:val="clear" w:color="auto" w:fill="auto"/>
            <w:noWrap/>
            <w:vAlign w:val="bottom"/>
            <w:hideMark/>
          </w:tcPr>
          <w:p w14:paraId="70169C50" w14:textId="70A8FDB2" w:rsidR="00306EC6" w:rsidRPr="00337135" w:rsidRDefault="00306EC6" w:rsidP="00306EC6">
            <w:pPr>
              <w:jc w:val="center"/>
              <w:rPr>
                <w:rFonts w:eastAsia="Times New Roman" w:cs="Times New Roman"/>
                <w:color w:val="000000"/>
                <w:sz w:val="20"/>
                <w:szCs w:val="20"/>
              </w:rPr>
            </w:pPr>
            <w:r>
              <w:rPr>
                <w:color w:val="000000"/>
                <w:sz w:val="20"/>
                <w:szCs w:val="20"/>
              </w:rPr>
              <w:t>1.161***</w:t>
            </w:r>
          </w:p>
        </w:tc>
        <w:tc>
          <w:tcPr>
            <w:tcW w:w="1166" w:type="dxa"/>
            <w:tcBorders>
              <w:top w:val="nil"/>
              <w:left w:val="nil"/>
              <w:bottom w:val="nil"/>
              <w:right w:val="nil"/>
            </w:tcBorders>
            <w:shd w:val="clear" w:color="auto" w:fill="auto"/>
            <w:noWrap/>
            <w:vAlign w:val="bottom"/>
            <w:hideMark/>
          </w:tcPr>
          <w:p w14:paraId="2E77AA8A" w14:textId="565ADA2F" w:rsidR="00306EC6" w:rsidRPr="00337135" w:rsidRDefault="00306EC6" w:rsidP="00306EC6">
            <w:pPr>
              <w:jc w:val="center"/>
              <w:rPr>
                <w:rFonts w:eastAsia="Times New Roman" w:cs="Times New Roman"/>
                <w:color w:val="000000"/>
                <w:sz w:val="20"/>
                <w:szCs w:val="20"/>
              </w:rPr>
            </w:pPr>
            <w:r>
              <w:rPr>
                <w:color w:val="000000"/>
                <w:sz w:val="20"/>
                <w:szCs w:val="20"/>
              </w:rPr>
              <w:t>1.161***</w:t>
            </w:r>
          </w:p>
        </w:tc>
      </w:tr>
      <w:tr w:rsidR="00306EC6" w:rsidRPr="00337135" w14:paraId="2990EEF6" w14:textId="77777777" w:rsidTr="00306EC6">
        <w:trPr>
          <w:trHeight w:val="255"/>
        </w:trPr>
        <w:tc>
          <w:tcPr>
            <w:tcW w:w="2000" w:type="dxa"/>
            <w:tcBorders>
              <w:top w:val="nil"/>
              <w:left w:val="nil"/>
              <w:bottom w:val="nil"/>
              <w:right w:val="nil"/>
            </w:tcBorders>
            <w:shd w:val="clear" w:color="auto" w:fill="auto"/>
            <w:noWrap/>
            <w:vAlign w:val="bottom"/>
            <w:hideMark/>
          </w:tcPr>
          <w:p w14:paraId="1A28AF69"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25DDFD61" w14:textId="6F06D875" w:rsidR="00306EC6" w:rsidRPr="00337135" w:rsidRDefault="00306EC6" w:rsidP="00306EC6">
            <w:pPr>
              <w:jc w:val="center"/>
              <w:rPr>
                <w:rFonts w:eastAsia="Times New Roman" w:cs="Times New Roman"/>
                <w:color w:val="000000"/>
                <w:sz w:val="20"/>
                <w:szCs w:val="20"/>
              </w:rPr>
            </w:pPr>
            <w:r>
              <w:rPr>
                <w:color w:val="000000"/>
                <w:sz w:val="20"/>
                <w:szCs w:val="20"/>
              </w:rPr>
              <w:t>(0.041)</w:t>
            </w:r>
          </w:p>
        </w:tc>
        <w:tc>
          <w:tcPr>
            <w:tcW w:w="1166" w:type="dxa"/>
            <w:tcBorders>
              <w:top w:val="nil"/>
              <w:left w:val="nil"/>
              <w:bottom w:val="nil"/>
              <w:right w:val="nil"/>
            </w:tcBorders>
            <w:shd w:val="clear" w:color="auto" w:fill="auto"/>
            <w:noWrap/>
            <w:vAlign w:val="bottom"/>
            <w:hideMark/>
          </w:tcPr>
          <w:p w14:paraId="504E287C" w14:textId="5CDFCD2D" w:rsidR="00306EC6" w:rsidRPr="00337135" w:rsidRDefault="00306EC6" w:rsidP="00306EC6">
            <w:pPr>
              <w:jc w:val="center"/>
              <w:rPr>
                <w:rFonts w:eastAsia="Times New Roman" w:cs="Times New Roman"/>
                <w:color w:val="000000"/>
                <w:sz w:val="20"/>
                <w:szCs w:val="20"/>
              </w:rPr>
            </w:pPr>
            <w:r>
              <w:rPr>
                <w:color w:val="000000"/>
                <w:sz w:val="20"/>
                <w:szCs w:val="20"/>
              </w:rPr>
              <w:t>(0.042)</w:t>
            </w:r>
          </w:p>
        </w:tc>
        <w:tc>
          <w:tcPr>
            <w:tcW w:w="1166" w:type="dxa"/>
            <w:tcBorders>
              <w:top w:val="nil"/>
              <w:left w:val="nil"/>
              <w:bottom w:val="nil"/>
              <w:right w:val="nil"/>
            </w:tcBorders>
            <w:shd w:val="clear" w:color="auto" w:fill="auto"/>
            <w:noWrap/>
            <w:vAlign w:val="bottom"/>
            <w:hideMark/>
          </w:tcPr>
          <w:p w14:paraId="61740A5E" w14:textId="73BEE580" w:rsidR="00306EC6" w:rsidRPr="00337135" w:rsidRDefault="00306EC6" w:rsidP="00306EC6">
            <w:pPr>
              <w:jc w:val="center"/>
              <w:rPr>
                <w:rFonts w:eastAsia="Times New Roman" w:cs="Times New Roman"/>
                <w:color w:val="000000"/>
                <w:sz w:val="20"/>
                <w:szCs w:val="20"/>
              </w:rPr>
            </w:pPr>
            <w:r>
              <w:rPr>
                <w:color w:val="000000"/>
                <w:sz w:val="20"/>
                <w:szCs w:val="20"/>
              </w:rPr>
              <w:t>(0.042)</w:t>
            </w:r>
          </w:p>
        </w:tc>
        <w:tc>
          <w:tcPr>
            <w:tcW w:w="1166" w:type="dxa"/>
            <w:tcBorders>
              <w:top w:val="nil"/>
              <w:left w:val="nil"/>
              <w:bottom w:val="nil"/>
              <w:right w:val="nil"/>
            </w:tcBorders>
            <w:shd w:val="clear" w:color="auto" w:fill="auto"/>
            <w:noWrap/>
            <w:vAlign w:val="bottom"/>
            <w:hideMark/>
          </w:tcPr>
          <w:p w14:paraId="3BBE9283" w14:textId="68A7C23D" w:rsidR="00306EC6" w:rsidRPr="00337135" w:rsidRDefault="00306EC6" w:rsidP="00306EC6">
            <w:pPr>
              <w:jc w:val="center"/>
              <w:rPr>
                <w:rFonts w:eastAsia="Times New Roman" w:cs="Times New Roman"/>
                <w:color w:val="000000"/>
                <w:sz w:val="20"/>
                <w:szCs w:val="20"/>
              </w:rPr>
            </w:pPr>
            <w:r>
              <w:rPr>
                <w:color w:val="000000"/>
                <w:sz w:val="20"/>
                <w:szCs w:val="20"/>
              </w:rPr>
              <w:t>(0.042)</w:t>
            </w:r>
          </w:p>
        </w:tc>
        <w:tc>
          <w:tcPr>
            <w:tcW w:w="1166" w:type="dxa"/>
            <w:tcBorders>
              <w:top w:val="nil"/>
              <w:left w:val="nil"/>
              <w:bottom w:val="nil"/>
              <w:right w:val="nil"/>
            </w:tcBorders>
            <w:shd w:val="clear" w:color="auto" w:fill="auto"/>
            <w:noWrap/>
            <w:vAlign w:val="bottom"/>
            <w:hideMark/>
          </w:tcPr>
          <w:p w14:paraId="190787AE" w14:textId="7B58D687" w:rsidR="00306EC6" w:rsidRPr="00337135" w:rsidRDefault="00306EC6" w:rsidP="00306EC6">
            <w:pPr>
              <w:jc w:val="center"/>
              <w:rPr>
                <w:rFonts w:eastAsia="Times New Roman" w:cs="Times New Roman"/>
                <w:color w:val="000000"/>
                <w:sz w:val="20"/>
                <w:szCs w:val="20"/>
              </w:rPr>
            </w:pPr>
            <w:r>
              <w:rPr>
                <w:color w:val="000000"/>
                <w:sz w:val="20"/>
                <w:szCs w:val="20"/>
              </w:rPr>
              <w:t>(0.042)</w:t>
            </w:r>
          </w:p>
        </w:tc>
        <w:tc>
          <w:tcPr>
            <w:tcW w:w="1166" w:type="dxa"/>
            <w:tcBorders>
              <w:top w:val="nil"/>
              <w:left w:val="nil"/>
              <w:bottom w:val="nil"/>
              <w:right w:val="nil"/>
            </w:tcBorders>
            <w:shd w:val="clear" w:color="auto" w:fill="auto"/>
            <w:noWrap/>
            <w:vAlign w:val="bottom"/>
            <w:hideMark/>
          </w:tcPr>
          <w:p w14:paraId="50ECDAC1" w14:textId="7E2CF1AE" w:rsidR="00306EC6" w:rsidRPr="00337135" w:rsidRDefault="00306EC6" w:rsidP="00306EC6">
            <w:pPr>
              <w:jc w:val="center"/>
              <w:rPr>
                <w:rFonts w:eastAsia="Times New Roman" w:cs="Times New Roman"/>
                <w:color w:val="000000"/>
                <w:sz w:val="20"/>
                <w:szCs w:val="20"/>
              </w:rPr>
            </w:pPr>
            <w:r>
              <w:rPr>
                <w:color w:val="000000"/>
                <w:sz w:val="20"/>
                <w:szCs w:val="20"/>
              </w:rPr>
              <w:t>(0.042)</w:t>
            </w:r>
          </w:p>
        </w:tc>
      </w:tr>
      <w:tr w:rsidR="00306EC6" w:rsidRPr="00337135" w14:paraId="37B4DD24" w14:textId="77777777" w:rsidTr="00306EC6">
        <w:trPr>
          <w:trHeight w:val="255"/>
        </w:trPr>
        <w:tc>
          <w:tcPr>
            <w:tcW w:w="2000" w:type="dxa"/>
            <w:tcBorders>
              <w:top w:val="nil"/>
              <w:left w:val="nil"/>
              <w:bottom w:val="nil"/>
              <w:right w:val="nil"/>
            </w:tcBorders>
            <w:shd w:val="clear" w:color="auto" w:fill="auto"/>
            <w:noWrap/>
            <w:vAlign w:val="bottom"/>
            <w:hideMark/>
          </w:tcPr>
          <w:p w14:paraId="382C2CD5" w14:textId="54A7250C" w:rsidR="00306EC6" w:rsidRPr="00337135" w:rsidRDefault="00306EC6" w:rsidP="00306EC6">
            <w:pPr>
              <w:rPr>
                <w:rFonts w:eastAsia="Times New Roman" w:cs="Times New Roman"/>
                <w:b/>
                <w:bCs/>
                <w:color w:val="000000"/>
                <w:sz w:val="20"/>
                <w:szCs w:val="20"/>
              </w:rPr>
            </w:pPr>
            <w:r>
              <w:rPr>
                <w:b/>
                <w:bCs/>
                <w:color w:val="000000"/>
                <w:sz w:val="20"/>
                <w:szCs w:val="20"/>
              </w:rPr>
              <w:t>DL x Gr 3 AY</w:t>
            </w:r>
          </w:p>
        </w:tc>
        <w:tc>
          <w:tcPr>
            <w:tcW w:w="1166" w:type="dxa"/>
            <w:tcBorders>
              <w:top w:val="nil"/>
              <w:left w:val="nil"/>
              <w:bottom w:val="nil"/>
              <w:right w:val="nil"/>
            </w:tcBorders>
            <w:shd w:val="clear" w:color="auto" w:fill="auto"/>
            <w:noWrap/>
            <w:vAlign w:val="bottom"/>
            <w:hideMark/>
          </w:tcPr>
          <w:p w14:paraId="11C0BC93" w14:textId="1701D566" w:rsidR="00306EC6" w:rsidRPr="00337135" w:rsidRDefault="00306EC6" w:rsidP="00306EC6">
            <w:pPr>
              <w:jc w:val="center"/>
              <w:rPr>
                <w:rFonts w:eastAsia="Times New Roman" w:cs="Times New Roman"/>
                <w:b/>
                <w:bCs/>
                <w:color w:val="000000"/>
                <w:sz w:val="20"/>
                <w:szCs w:val="20"/>
              </w:rPr>
            </w:pPr>
            <w:r>
              <w:rPr>
                <w:b/>
                <w:bCs/>
                <w:color w:val="000000"/>
                <w:sz w:val="20"/>
                <w:szCs w:val="20"/>
              </w:rPr>
              <w:t>0.141***</w:t>
            </w:r>
          </w:p>
        </w:tc>
        <w:tc>
          <w:tcPr>
            <w:tcW w:w="1166" w:type="dxa"/>
            <w:tcBorders>
              <w:top w:val="nil"/>
              <w:left w:val="nil"/>
              <w:bottom w:val="nil"/>
              <w:right w:val="nil"/>
            </w:tcBorders>
            <w:shd w:val="clear" w:color="auto" w:fill="auto"/>
            <w:noWrap/>
            <w:vAlign w:val="bottom"/>
            <w:hideMark/>
          </w:tcPr>
          <w:p w14:paraId="2A0F1B09" w14:textId="70C6E330" w:rsidR="00306EC6" w:rsidRPr="00337135" w:rsidRDefault="00306EC6" w:rsidP="00306EC6">
            <w:pPr>
              <w:jc w:val="center"/>
              <w:rPr>
                <w:rFonts w:eastAsia="Times New Roman" w:cs="Times New Roman"/>
                <w:b/>
                <w:bCs/>
                <w:color w:val="000000"/>
                <w:sz w:val="20"/>
                <w:szCs w:val="20"/>
              </w:rPr>
            </w:pPr>
            <w:r>
              <w:rPr>
                <w:b/>
                <w:bCs/>
                <w:color w:val="000000"/>
                <w:sz w:val="20"/>
                <w:szCs w:val="20"/>
              </w:rPr>
              <w:t>0.144***</w:t>
            </w:r>
          </w:p>
        </w:tc>
        <w:tc>
          <w:tcPr>
            <w:tcW w:w="1166" w:type="dxa"/>
            <w:tcBorders>
              <w:top w:val="nil"/>
              <w:left w:val="nil"/>
              <w:bottom w:val="nil"/>
              <w:right w:val="nil"/>
            </w:tcBorders>
            <w:shd w:val="clear" w:color="auto" w:fill="auto"/>
            <w:noWrap/>
            <w:vAlign w:val="bottom"/>
            <w:hideMark/>
          </w:tcPr>
          <w:p w14:paraId="208CF4A0" w14:textId="2EE81441" w:rsidR="00306EC6" w:rsidRPr="00337135" w:rsidRDefault="00306EC6" w:rsidP="00306EC6">
            <w:pPr>
              <w:jc w:val="center"/>
              <w:rPr>
                <w:rFonts w:eastAsia="Times New Roman" w:cs="Times New Roman"/>
                <w:b/>
                <w:bCs/>
                <w:color w:val="000000"/>
                <w:sz w:val="20"/>
                <w:szCs w:val="20"/>
              </w:rPr>
            </w:pPr>
            <w:r>
              <w:rPr>
                <w:b/>
                <w:bCs/>
                <w:color w:val="000000"/>
                <w:sz w:val="20"/>
                <w:szCs w:val="20"/>
              </w:rPr>
              <w:t>0.144***</w:t>
            </w:r>
          </w:p>
        </w:tc>
        <w:tc>
          <w:tcPr>
            <w:tcW w:w="1166" w:type="dxa"/>
            <w:tcBorders>
              <w:top w:val="nil"/>
              <w:left w:val="nil"/>
              <w:bottom w:val="nil"/>
              <w:right w:val="nil"/>
            </w:tcBorders>
            <w:shd w:val="clear" w:color="auto" w:fill="auto"/>
            <w:noWrap/>
            <w:vAlign w:val="bottom"/>
            <w:hideMark/>
          </w:tcPr>
          <w:p w14:paraId="5A91551F" w14:textId="63FADFD6" w:rsidR="00306EC6" w:rsidRPr="00337135" w:rsidRDefault="00306EC6" w:rsidP="00306EC6">
            <w:pPr>
              <w:jc w:val="center"/>
              <w:rPr>
                <w:rFonts w:eastAsia="Times New Roman" w:cs="Times New Roman"/>
                <w:b/>
                <w:bCs/>
                <w:color w:val="000000"/>
                <w:sz w:val="20"/>
                <w:szCs w:val="20"/>
              </w:rPr>
            </w:pPr>
            <w:r>
              <w:rPr>
                <w:b/>
                <w:bCs/>
                <w:color w:val="000000"/>
                <w:sz w:val="20"/>
                <w:szCs w:val="20"/>
              </w:rPr>
              <w:t>0.049</w:t>
            </w:r>
          </w:p>
        </w:tc>
        <w:tc>
          <w:tcPr>
            <w:tcW w:w="1166" w:type="dxa"/>
            <w:tcBorders>
              <w:top w:val="nil"/>
              <w:left w:val="nil"/>
              <w:bottom w:val="nil"/>
              <w:right w:val="nil"/>
            </w:tcBorders>
            <w:shd w:val="clear" w:color="auto" w:fill="auto"/>
            <w:noWrap/>
            <w:vAlign w:val="bottom"/>
            <w:hideMark/>
          </w:tcPr>
          <w:p w14:paraId="147B6C8B" w14:textId="3FEC5988" w:rsidR="00306EC6" w:rsidRPr="00337135" w:rsidRDefault="00306EC6" w:rsidP="00306EC6">
            <w:pPr>
              <w:jc w:val="center"/>
              <w:rPr>
                <w:rFonts w:eastAsia="Times New Roman" w:cs="Times New Roman"/>
                <w:b/>
                <w:bCs/>
                <w:color w:val="000000"/>
                <w:sz w:val="20"/>
                <w:szCs w:val="20"/>
              </w:rPr>
            </w:pPr>
            <w:r>
              <w:rPr>
                <w:b/>
                <w:bCs/>
                <w:color w:val="000000"/>
                <w:sz w:val="20"/>
                <w:szCs w:val="20"/>
              </w:rPr>
              <w:t>0.053</w:t>
            </w:r>
          </w:p>
        </w:tc>
        <w:tc>
          <w:tcPr>
            <w:tcW w:w="1166" w:type="dxa"/>
            <w:tcBorders>
              <w:top w:val="nil"/>
              <w:left w:val="nil"/>
              <w:bottom w:val="nil"/>
              <w:right w:val="nil"/>
            </w:tcBorders>
            <w:shd w:val="clear" w:color="auto" w:fill="auto"/>
            <w:noWrap/>
            <w:vAlign w:val="bottom"/>
            <w:hideMark/>
          </w:tcPr>
          <w:p w14:paraId="5DFFC1A6" w14:textId="7771523E" w:rsidR="00306EC6" w:rsidRPr="00337135" w:rsidRDefault="00306EC6" w:rsidP="00306EC6">
            <w:pPr>
              <w:jc w:val="center"/>
              <w:rPr>
                <w:rFonts w:eastAsia="Times New Roman" w:cs="Times New Roman"/>
                <w:b/>
                <w:bCs/>
                <w:color w:val="000000"/>
                <w:sz w:val="20"/>
                <w:szCs w:val="20"/>
              </w:rPr>
            </w:pPr>
            <w:r>
              <w:rPr>
                <w:b/>
                <w:bCs/>
                <w:color w:val="000000"/>
                <w:sz w:val="20"/>
                <w:szCs w:val="20"/>
              </w:rPr>
              <w:t>0.053</w:t>
            </w:r>
          </w:p>
        </w:tc>
      </w:tr>
      <w:tr w:rsidR="00306EC6" w:rsidRPr="00337135" w14:paraId="7034FA63" w14:textId="77777777" w:rsidTr="00306EC6">
        <w:trPr>
          <w:trHeight w:val="255"/>
        </w:trPr>
        <w:tc>
          <w:tcPr>
            <w:tcW w:w="2000" w:type="dxa"/>
            <w:tcBorders>
              <w:top w:val="nil"/>
              <w:left w:val="nil"/>
              <w:bottom w:val="nil"/>
              <w:right w:val="nil"/>
            </w:tcBorders>
            <w:shd w:val="clear" w:color="auto" w:fill="auto"/>
            <w:noWrap/>
            <w:vAlign w:val="bottom"/>
            <w:hideMark/>
          </w:tcPr>
          <w:p w14:paraId="30946DC5"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4943E12D" w14:textId="5CC48327" w:rsidR="00306EC6" w:rsidRPr="00337135" w:rsidRDefault="00306EC6" w:rsidP="00306EC6">
            <w:pPr>
              <w:jc w:val="center"/>
              <w:rPr>
                <w:rFonts w:eastAsia="Times New Roman" w:cs="Times New Roman"/>
                <w:color w:val="000000"/>
                <w:sz w:val="20"/>
                <w:szCs w:val="20"/>
              </w:rPr>
            </w:pPr>
            <w:r>
              <w:rPr>
                <w:color w:val="000000"/>
                <w:sz w:val="20"/>
                <w:szCs w:val="20"/>
              </w:rPr>
              <w:t>(0.046)</w:t>
            </w:r>
          </w:p>
        </w:tc>
        <w:tc>
          <w:tcPr>
            <w:tcW w:w="1166" w:type="dxa"/>
            <w:tcBorders>
              <w:top w:val="nil"/>
              <w:left w:val="nil"/>
              <w:bottom w:val="nil"/>
              <w:right w:val="nil"/>
            </w:tcBorders>
            <w:shd w:val="clear" w:color="auto" w:fill="auto"/>
            <w:noWrap/>
            <w:vAlign w:val="bottom"/>
            <w:hideMark/>
          </w:tcPr>
          <w:p w14:paraId="4C22678B" w14:textId="5FFABB40" w:rsidR="00306EC6" w:rsidRPr="00337135" w:rsidRDefault="00306EC6" w:rsidP="00306EC6">
            <w:pPr>
              <w:jc w:val="center"/>
              <w:rPr>
                <w:rFonts w:eastAsia="Times New Roman" w:cs="Times New Roman"/>
                <w:color w:val="000000"/>
                <w:sz w:val="20"/>
                <w:szCs w:val="20"/>
              </w:rPr>
            </w:pPr>
            <w:r>
              <w:rPr>
                <w:color w:val="000000"/>
                <w:sz w:val="20"/>
                <w:szCs w:val="20"/>
              </w:rPr>
              <w:t>(0.046)</w:t>
            </w:r>
          </w:p>
        </w:tc>
        <w:tc>
          <w:tcPr>
            <w:tcW w:w="1166" w:type="dxa"/>
            <w:tcBorders>
              <w:top w:val="nil"/>
              <w:left w:val="nil"/>
              <w:bottom w:val="nil"/>
              <w:right w:val="nil"/>
            </w:tcBorders>
            <w:shd w:val="clear" w:color="auto" w:fill="auto"/>
            <w:noWrap/>
            <w:vAlign w:val="bottom"/>
            <w:hideMark/>
          </w:tcPr>
          <w:p w14:paraId="5EEB246C" w14:textId="4530D549" w:rsidR="00306EC6" w:rsidRPr="00337135" w:rsidRDefault="00306EC6" w:rsidP="00306EC6">
            <w:pPr>
              <w:jc w:val="center"/>
              <w:rPr>
                <w:rFonts w:eastAsia="Times New Roman" w:cs="Times New Roman"/>
                <w:color w:val="000000"/>
                <w:sz w:val="20"/>
                <w:szCs w:val="20"/>
              </w:rPr>
            </w:pPr>
            <w:r>
              <w:rPr>
                <w:color w:val="000000"/>
                <w:sz w:val="20"/>
                <w:szCs w:val="20"/>
              </w:rPr>
              <w:t>(0.046)</w:t>
            </w:r>
          </w:p>
        </w:tc>
        <w:tc>
          <w:tcPr>
            <w:tcW w:w="1166" w:type="dxa"/>
            <w:tcBorders>
              <w:top w:val="nil"/>
              <w:left w:val="nil"/>
              <w:bottom w:val="nil"/>
              <w:right w:val="nil"/>
            </w:tcBorders>
            <w:shd w:val="clear" w:color="auto" w:fill="auto"/>
            <w:noWrap/>
            <w:vAlign w:val="bottom"/>
            <w:hideMark/>
          </w:tcPr>
          <w:p w14:paraId="7DE136C5" w14:textId="44D7CB2A" w:rsidR="00306EC6" w:rsidRPr="00337135" w:rsidRDefault="00306EC6" w:rsidP="00306EC6">
            <w:pPr>
              <w:jc w:val="center"/>
              <w:rPr>
                <w:rFonts w:eastAsia="Times New Roman" w:cs="Times New Roman"/>
                <w:color w:val="000000"/>
                <w:sz w:val="20"/>
                <w:szCs w:val="20"/>
              </w:rPr>
            </w:pPr>
            <w:r>
              <w:rPr>
                <w:color w:val="000000"/>
                <w:sz w:val="20"/>
                <w:szCs w:val="20"/>
              </w:rPr>
              <w:t>(0.046)</w:t>
            </w:r>
          </w:p>
        </w:tc>
        <w:tc>
          <w:tcPr>
            <w:tcW w:w="1166" w:type="dxa"/>
            <w:tcBorders>
              <w:top w:val="nil"/>
              <w:left w:val="nil"/>
              <w:bottom w:val="nil"/>
              <w:right w:val="nil"/>
            </w:tcBorders>
            <w:shd w:val="clear" w:color="auto" w:fill="auto"/>
            <w:noWrap/>
            <w:vAlign w:val="bottom"/>
            <w:hideMark/>
          </w:tcPr>
          <w:p w14:paraId="43FF2737" w14:textId="1CCD5960" w:rsidR="00306EC6" w:rsidRPr="00337135" w:rsidRDefault="00306EC6" w:rsidP="00306EC6">
            <w:pPr>
              <w:jc w:val="center"/>
              <w:rPr>
                <w:rFonts w:eastAsia="Times New Roman" w:cs="Times New Roman"/>
                <w:color w:val="000000"/>
                <w:sz w:val="20"/>
                <w:szCs w:val="20"/>
              </w:rPr>
            </w:pPr>
            <w:r>
              <w:rPr>
                <w:color w:val="000000"/>
                <w:sz w:val="20"/>
                <w:szCs w:val="20"/>
              </w:rPr>
              <w:t>(0.046)</w:t>
            </w:r>
          </w:p>
        </w:tc>
        <w:tc>
          <w:tcPr>
            <w:tcW w:w="1166" w:type="dxa"/>
            <w:tcBorders>
              <w:top w:val="nil"/>
              <w:left w:val="nil"/>
              <w:bottom w:val="nil"/>
              <w:right w:val="nil"/>
            </w:tcBorders>
            <w:shd w:val="clear" w:color="auto" w:fill="auto"/>
            <w:noWrap/>
            <w:vAlign w:val="bottom"/>
            <w:hideMark/>
          </w:tcPr>
          <w:p w14:paraId="2E90485E" w14:textId="1B38C9EF" w:rsidR="00306EC6" w:rsidRPr="00337135" w:rsidRDefault="00306EC6" w:rsidP="00306EC6">
            <w:pPr>
              <w:jc w:val="center"/>
              <w:rPr>
                <w:rFonts w:eastAsia="Times New Roman" w:cs="Times New Roman"/>
                <w:color w:val="000000"/>
                <w:sz w:val="20"/>
                <w:szCs w:val="20"/>
              </w:rPr>
            </w:pPr>
            <w:r>
              <w:rPr>
                <w:color w:val="000000"/>
                <w:sz w:val="20"/>
                <w:szCs w:val="20"/>
              </w:rPr>
              <w:t>(0.046)</w:t>
            </w:r>
          </w:p>
        </w:tc>
      </w:tr>
      <w:tr w:rsidR="00306EC6" w:rsidRPr="00337135" w14:paraId="2CD1F8EC" w14:textId="77777777" w:rsidTr="00306EC6">
        <w:trPr>
          <w:trHeight w:val="255"/>
        </w:trPr>
        <w:tc>
          <w:tcPr>
            <w:tcW w:w="2000" w:type="dxa"/>
            <w:tcBorders>
              <w:top w:val="nil"/>
              <w:left w:val="nil"/>
              <w:bottom w:val="nil"/>
              <w:right w:val="nil"/>
            </w:tcBorders>
            <w:shd w:val="clear" w:color="auto" w:fill="auto"/>
            <w:noWrap/>
            <w:vAlign w:val="bottom"/>
            <w:hideMark/>
          </w:tcPr>
          <w:p w14:paraId="3B76A9AB" w14:textId="757B7BEA" w:rsidR="00306EC6" w:rsidRPr="00337135" w:rsidRDefault="00306EC6" w:rsidP="00306EC6">
            <w:pPr>
              <w:rPr>
                <w:rFonts w:eastAsia="Times New Roman" w:cs="Times New Roman"/>
                <w:color w:val="000000"/>
                <w:sz w:val="20"/>
                <w:szCs w:val="20"/>
              </w:rPr>
            </w:pPr>
            <w:r>
              <w:rPr>
                <w:color w:val="000000"/>
                <w:sz w:val="20"/>
                <w:szCs w:val="20"/>
              </w:rPr>
              <w:t>Gr 3 Summer</w:t>
            </w:r>
          </w:p>
        </w:tc>
        <w:tc>
          <w:tcPr>
            <w:tcW w:w="1166" w:type="dxa"/>
            <w:tcBorders>
              <w:top w:val="nil"/>
              <w:left w:val="nil"/>
              <w:bottom w:val="nil"/>
              <w:right w:val="nil"/>
            </w:tcBorders>
            <w:shd w:val="clear" w:color="auto" w:fill="auto"/>
            <w:noWrap/>
            <w:vAlign w:val="bottom"/>
            <w:hideMark/>
          </w:tcPr>
          <w:p w14:paraId="5257C8C8" w14:textId="47DCCB81" w:rsidR="00306EC6" w:rsidRPr="00337135" w:rsidRDefault="00306EC6" w:rsidP="00306EC6">
            <w:pPr>
              <w:jc w:val="center"/>
              <w:rPr>
                <w:rFonts w:eastAsia="Times New Roman" w:cs="Times New Roman"/>
                <w:color w:val="000000"/>
                <w:sz w:val="20"/>
                <w:szCs w:val="20"/>
              </w:rPr>
            </w:pPr>
            <w:r>
              <w:rPr>
                <w:color w:val="000000"/>
                <w:sz w:val="20"/>
                <w:szCs w:val="20"/>
              </w:rPr>
              <w:t>-0.950***</w:t>
            </w:r>
          </w:p>
        </w:tc>
        <w:tc>
          <w:tcPr>
            <w:tcW w:w="1166" w:type="dxa"/>
            <w:tcBorders>
              <w:top w:val="nil"/>
              <w:left w:val="nil"/>
              <w:bottom w:val="nil"/>
              <w:right w:val="nil"/>
            </w:tcBorders>
            <w:shd w:val="clear" w:color="auto" w:fill="auto"/>
            <w:noWrap/>
            <w:vAlign w:val="bottom"/>
            <w:hideMark/>
          </w:tcPr>
          <w:p w14:paraId="0CBE7B53" w14:textId="22F1E104" w:rsidR="00306EC6" w:rsidRPr="00337135" w:rsidRDefault="00306EC6" w:rsidP="00306EC6">
            <w:pPr>
              <w:jc w:val="center"/>
              <w:rPr>
                <w:rFonts w:eastAsia="Times New Roman" w:cs="Times New Roman"/>
                <w:color w:val="000000"/>
                <w:sz w:val="20"/>
                <w:szCs w:val="20"/>
              </w:rPr>
            </w:pPr>
            <w:r>
              <w:rPr>
                <w:color w:val="000000"/>
                <w:sz w:val="20"/>
                <w:szCs w:val="20"/>
              </w:rPr>
              <w:t>-0.939***</w:t>
            </w:r>
          </w:p>
        </w:tc>
        <w:tc>
          <w:tcPr>
            <w:tcW w:w="1166" w:type="dxa"/>
            <w:tcBorders>
              <w:top w:val="nil"/>
              <w:left w:val="nil"/>
              <w:bottom w:val="nil"/>
              <w:right w:val="nil"/>
            </w:tcBorders>
            <w:shd w:val="clear" w:color="auto" w:fill="auto"/>
            <w:noWrap/>
            <w:vAlign w:val="bottom"/>
            <w:hideMark/>
          </w:tcPr>
          <w:p w14:paraId="028DCA64" w14:textId="4F6146EF" w:rsidR="00306EC6" w:rsidRPr="00337135" w:rsidRDefault="00306EC6" w:rsidP="00306EC6">
            <w:pPr>
              <w:jc w:val="center"/>
              <w:rPr>
                <w:rFonts w:eastAsia="Times New Roman" w:cs="Times New Roman"/>
                <w:color w:val="000000"/>
                <w:sz w:val="20"/>
                <w:szCs w:val="20"/>
              </w:rPr>
            </w:pPr>
            <w:r>
              <w:rPr>
                <w:color w:val="000000"/>
                <w:sz w:val="20"/>
                <w:szCs w:val="20"/>
              </w:rPr>
              <w:t>-0.939***</w:t>
            </w:r>
          </w:p>
        </w:tc>
        <w:tc>
          <w:tcPr>
            <w:tcW w:w="1166" w:type="dxa"/>
            <w:tcBorders>
              <w:top w:val="nil"/>
              <w:left w:val="nil"/>
              <w:bottom w:val="nil"/>
              <w:right w:val="nil"/>
            </w:tcBorders>
            <w:shd w:val="clear" w:color="auto" w:fill="auto"/>
            <w:noWrap/>
            <w:vAlign w:val="bottom"/>
            <w:hideMark/>
          </w:tcPr>
          <w:p w14:paraId="149A0A64" w14:textId="16D8587F" w:rsidR="00306EC6" w:rsidRPr="00337135" w:rsidRDefault="00306EC6" w:rsidP="00306EC6">
            <w:pPr>
              <w:jc w:val="center"/>
              <w:rPr>
                <w:rFonts w:eastAsia="Times New Roman" w:cs="Times New Roman"/>
                <w:color w:val="000000"/>
                <w:sz w:val="20"/>
                <w:szCs w:val="20"/>
              </w:rPr>
            </w:pPr>
            <w:r>
              <w:rPr>
                <w:color w:val="000000"/>
                <w:sz w:val="20"/>
                <w:szCs w:val="20"/>
              </w:rPr>
              <w:t>-0.218*</w:t>
            </w:r>
          </w:p>
        </w:tc>
        <w:tc>
          <w:tcPr>
            <w:tcW w:w="1166" w:type="dxa"/>
            <w:tcBorders>
              <w:top w:val="nil"/>
              <w:left w:val="nil"/>
              <w:bottom w:val="nil"/>
              <w:right w:val="nil"/>
            </w:tcBorders>
            <w:shd w:val="clear" w:color="auto" w:fill="auto"/>
            <w:noWrap/>
            <w:vAlign w:val="bottom"/>
            <w:hideMark/>
          </w:tcPr>
          <w:p w14:paraId="748D4A4F" w14:textId="7E1F8A3C" w:rsidR="00306EC6" w:rsidRPr="00337135" w:rsidRDefault="00306EC6" w:rsidP="00306EC6">
            <w:pPr>
              <w:jc w:val="center"/>
              <w:rPr>
                <w:rFonts w:eastAsia="Times New Roman" w:cs="Times New Roman"/>
                <w:color w:val="000000"/>
                <w:sz w:val="20"/>
                <w:szCs w:val="20"/>
              </w:rPr>
            </w:pPr>
            <w:r>
              <w:rPr>
                <w:color w:val="000000"/>
                <w:sz w:val="20"/>
                <w:szCs w:val="20"/>
              </w:rPr>
              <w:t>-0.207*</w:t>
            </w:r>
          </w:p>
        </w:tc>
        <w:tc>
          <w:tcPr>
            <w:tcW w:w="1166" w:type="dxa"/>
            <w:tcBorders>
              <w:top w:val="nil"/>
              <w:left w:val="nil"/>
              <w:bottom w:val="nil"/>
              <w:right w:val="nil"/>
            </w:tcBorders>
            <w:shd w:val="clear" w:color="auto" w:fill="auto"/>
            <w:noWrap/>
            <w:vAlign w:val="bottom"/>
            <w:hideMark/>
          </w:tcPr>
          <w:p w14:paraId="6B68C171" w14:textId="7C496766" w:rsidR="00306EC6" w:rsidRPr="00337135" w:rsidRDefault="00306EC6" w:rsidP="00306EC6">
            <w:pPr>
              <w:jc w:val="center"/>
              <w:rPr>
                <w:rFonts w:eastAsia="Times New Roman" w:cs="Times New Roman"/>
                <w:color w:val="000000"/>
                <w:sz w:val="20"/>
                <w:szCs w:val="20"/>
              </w:rPr>
            </w:pPr>
            <w:r>
              <w:rPr>
                <w:color w:val="000000"/>
                <w:sz w:val="20"/>
                <w:szCs w:val="20"/>
              </w:rPr>
              <w:t>-0.207*</w:t>
            </w:r>
          </w:p>
        </w:tc>
      </w:tr>
      <w:tr w:rsidR="00306EC6" w:rsidRPr="00337135" w14:paraId="378471E4" w14:textId="77777777" w:rsidTr="00306EC6">
        <w:trPr>
          <w:trHeight w:val="255"/>
        </w:trPr>
        <w:tc>
          <w:tcPr>
            <w:tcW w:w="2000" w:type="dxa"/>
            <w:tcBorders>
              <w:top w:val="nil"/>
              <w:left w:val="nil"/>
              <w:bottom w:val="nil"/>
              <w:right w:val="nil"/>
            </w:tcBorders>
            <w:shd w:val="clear" w:color="auto" w:fill="auto"/>
            <w:noWrap/>
            <w:vAlign w:val="bottom"/>
            <w:hideMark/>
          </w:tcPr>
          <w:p w14:paraId="0E474CBB"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605750FD" w14:textId="447055DD" w:rsidR="00306EC6" w:rsidRPr="00337135" w:rsidRDefault="00306EC6" w:rsidP="00306EC6">
            <w:pPr>
              <w:jc w:val="center"/>
              <w:rPr>
                <w:rFonts w:eastAsia="Times New Roman" w:cs="Times New Roman"/>
                <w:color w:val="000000"/>
                <w:sz w:val="20"/>
                <w:szCs w:val="20"/>
              </w:rPr>
            </w:pPr>
            <w:r>
              <w:rPr>
                <w:color w:val="000000"/>
                <w:sz w:val="20"/>
                <w:szCs w:val="20"/>
              </w:rPr>
              <w:t>(0.129)</w:t>
            </w:r>
          </w:p>
        </w:tc>
        <w:tc>
          <w:tcPr>
            <w:tcW w:w="1166" w:type="dxa"/>
            <w:tcBorders>
              <w:top w:val="nil"/>
              <w:left w:val="nil"/>
              <w:bottom w:val="nil"/>
              <w:right w:val="nil"/>
            </w:tcBorders>
            <w:shd w:val="clear" w:color="auto" w:fill="auto"/>
            <w:noWrap/>
            <w:vAlign w:val="bottom"/>
            <w:hideMark/>
          </w:tcPr>
          <w:p w14:paraId="10CAD673" w14:textId="619728AB" w:rsidR="00306EC6" w:rsidRPr="00337135" w:rsidRDefault="00306EC6" w:rsidP="00306EC6">
            <w:pPr>
              <w:jc w:val="center"/>
              <w:rPr>
                <w:rFonts w:eastAsia="Times New Roman" w:cs="Times New Roman"/>
                <w:color w:val="000000"/>
                <w:sz w:val="20"/>
                <w:szCs w:val="20"/>
              </w:rPr>
            </w:pPr>
            <w:r>
              <w:rPr>
                <w:color w:val="000000"/>
                <w:sz w:val="20"/>
                <w:szCs w:val="20"/>
              </w:rPr>
              <w:t>(0.129)</w:t>
            </w:r>
          </w:p>
        </w:tc>
        <w:tc>
          <w:tcPr>
            <w:tcW w:w="1166" w:type="dxa"/>
            <w:tcBorders>
              <w:top w:val="nil"/>
              <w:left w:val="nil"/>
              <w:bottom w:val="nil"/>
              <w:right w:val="nil"/>
            </w:tcBorders>
            <w:shd w:val="clear" w:color="auto" w:fill="auto"/>
            <w:noWrap/>
            <w:vAlign w:val="bottom"/>
            <w:hideMark/>
          </w:tcPr>
          <w:p w14:paraId="5091B9C4" w14:textId="41A24626" w:rsidR="00306EC6" w:rsidRPr="00337135" w:rsidRDefault="00306EC6" w:rsidP="00306EC6">
            <w:pPr>
              <w:jc w:val="center"/>
              <w:rPr>
                <w:rFonts w:eastAsia="Times New Roman" w:cs="Times New Roman"/>
                <w:color w:val="000000"/>
                <w:sz w:val="20"/>
                <w:szCs w:val="20"/>
              </w:rPr>
            </w:pPr>
            <w:r>
              <w:rPr>
                <w:color w:val="000000"/>
                <w:sz w:val="20"/>
                <w:szCs w:val="20"/>
              </w:rPr>
              <w:t>(0.129)</w:t>
            </w:r>
          </w:p>
        </w:tc>
        <w:tc>
          <w:tcPr>
            <w:tcW w:w="1166" w:type="dxa"/>
            <w:tcBorders>
              <w:top w:val="nil"/>
              <w:left w:val="nil"/>
              <w:bottom w:val="nil"/>
              <w:right w:val="nil"/>
            </w:tcBorders>
            <w:shd w:val="clear" w:color="auto" w:fill="auto"/>
            <w:noWrap/>
            <w:vAlign w:val="bottom"/>
            <w:hideMark/>
          </w:tcPr>
          <w:p w14:paraId="019072B1" w14:textId="3ED220B0" w:rsidR="00306EC6" w:rsidRPr="00337135" w:rsidRDefault="00306EC6" w:rsidP="00306EC6">
            <w:pPr>
              <w:jc w:val="center"/>
              <w:rPr>
                <w:rFonts w:eastAsia="Times New Roman" w:cs="Times New Roman"/>
                <w:color w:val="000000"/>
                <w:sz w:val="20"/>
                <w:szCs w:val="20"/>
              </w:rPr>
            </w:pPr>
            <w:r>
              <w:rPr>
                <w:color w:val="000000"/>
                <w:sz w:val="20"/>
                <w:szCs w:val="20"/>
              </w:rPr>
              <w:t>(0.116)</w:t>
            </w:r>
          </w:p>
        </w:tc>
        <w:tc>
          <w:tcPr>
            <w:tcW w:w="1166" w:type="dxa"/>
            <w:tcBorders>
              <w:top w:val="nil"/>
              <w:left w:val="nil"/>
              <w:bottom w:val="nil"/>
              <w:right w:val="nil"/>
            </w:tcBorders>
            <w:shd w:val="clear" w:color="auto" w:fill="auto"/>
            <w:noWrap/>
            <w:vAlign w:val="bottom"/>
            <w:hideMark/>
          </w:tcPr>
          <w:p w14:paraId="1D8CA5A7" w14:textId="1D59518A" w:rsidR="00306EC6" w:rsidRPr="00337135" w:rsidRDefault="00306EC6" w:rsidP="00306EC6">
            <w:pPr>
              <w:jc w:val="center"/>
              <w:rPr>
                <w:rFonts w:eastAsia="Times New Roman" w:cs="Times New Roman"/>
                <w:color w:val="000000"/>
                <w:sz w:val="20"/>
                <w:szCs w:val="20"/>
              </w:rPr>
            </w:pPr>
            <w:r>
              <w:rPr>
                <w:color w:val="000000"/>
                <w:sz w:val="20"/>
                <w:szCs w:val="20"/>
              </w:rPr>
              <w:t>(0.116)</w:t>
            </w:r>
          </w:p>
        </w:tc>
        <w:tc>
          <w:tcPr>
            <w:tcW w:w="1166" w:type="dxa"/>
            <w:tcBorders>
              <w:top w:val="nil"/>
              <w:left w:val="nil"/>
              <w:bottom w:val="nil"/>
              <w:right w:val="nil"/>
            </w:tcBorders>
            <w:shd w:val="clear" w:color="auto" w:fill="auto"/>
            <w:noWrap/>
            <w:vAlign w:val="bottom"/>
            <w:hideMark/>
          </w:tcPr>
          <w:p w14:paraId="37BBB7BC" w14:textId="57E26DF6" w:rsidR="00306EC6" w:rsidRPr="00337135" w:rsidRDefault="00306EC6" w:rsidP="00306EC6">
            <w:pPr>
              <w:jc w:val="center"/>
              <w:rPr>
                <w:rFonts w:eastAsia="Times New Roman" w:cs="Times New Roman"/>
                <w:color w:val="000000"/>
                <w:sz w:val="20"/>
                <w:szCs w:val="20"/>
              </w:rPr>
            </w:pPr>
            <w:r>
              <w:rPr>
                <w:color w:val="000000"/>
                <w:sz w:val="20"/>
                <w:szCs w:val="20"/>
              </w:rPr>
              <w:t>(0.116)</w:t>
            </w:r>
          </w:p>
        </w:tc>
      </w:tr>
      <w:tr w:rsidR="00306EC6" w:rsidRPr="00337135" w14:paraId="531EE46D" w14:textId="77777777" w:rsidTr="00306EC6">
        <w:trPr>
          <w:trHeight w:val="255"/>
        </w:trPr>
        <w:tc>
          <w:tcPr>
            <w:tcW w:w="2000" w:type="dxa"/>
            <w:tcBorders>
              <w:top w:val="nil"/>
              <w:left w:val="nil"/>
              <w:bottom w:val="nil"/>
              <w:right w:val="nil"/>
            </w:tcBorders>
            <w:shd w:val="clear" w:color="auto" w:fill="auto"/>
            <w:noWrap/>
            <w:vAlign w:val="bottom"/>
            <w:hideMark/>
          </w:tcPr>
          <w:p w14:paraId="6F11F7AA" w14:textId="5BFC0E03" w:rsidR="00306EC6" w:rsidRPr="00337135" w:rsidRDefault="00306EC6" w:rsidP="00306EC6">
            <w:pPr>
              <w:rPr>
                <w:rFonts w:eastAsia="Times New Roman" w:cs="Times New Roman"/>
                <w:b/>
                <w:bCs/>
                <w:color w:val="000000"/>
                <w:sz w:val="20"/>
                <w:szCs w:val="20"/>
              </w:rPr>
            </w:pPr>
            <w:r>
              <w:rPr>
                <w:b/>
                <w:bCs/>
                <w:color w:val="000000"/>
                <w:sz w:val="20"/>
                <w:szCs w:val="20"/>
              </w:rPr>
              <w:t>DL x Gr 3 Summer</w:t>
            </w:r>
          </w:p>
        </w:tc>
        <w:tc>
          <w:tcPr>
            <w:tcW w:w="1166" w:type="dxa"/>
            <w:tcBorders>
              <w:top w:val="nil"/>
              <w:left w:val="nil"/>
              <w:bottom w:val="nil"/>
              <w:right w:val="nil"/>
            </w:tcBorders>
            <w:shd w:val="clear" w:color="auto" w:fill="auto"/>
            <w:noWrap/>
            <w:vAlign w:val="bottom"/>
            <w:hideMark/>
          </w:tcPr>
          <w:p w14:paraId="1F572BAC" w14:textId="29001C58" w:rsidR="00306EC6" w:rsidRPr="00337135" w:rsidRDefault="00306EC6" w:rsidP="00306EC6">
            <w:pPr>
              <w:jc w:val="center"/>
              <w:rPr>
                <w:rFonts w:eastAsia="Times New Roman" w:cs="Times New Roman"/>
                <w:b/>
                <w:bCs/>
                <w:color w:val="000000"/>
                <w:sz w:val="20"/>
                <w:szCs w:val="20"/>
              </w:rPr>
            </w:pPr>
            <w:r>
              <w:rPr>
                <w:b/>
                <w:bCs/>
                <w:color w:val="000000"/>
                <w:sz w:val="20"/>
                <w:szCs w:val="20"/>
              </w:rPr>
              <w:t>-0.507***</w:t>
            </w:r>
          </w:p>
        </w:tc>
        <w:tc>
          <w:tcPr>
            <w:tcW w:w="1166" w:type="dxa"/>
            <w:tcBorders>
              <w:top w:val="nil"/>
              <w:left w:val="nil"/>
              <w:bottom w:val="nil"/>
              <w:right w:val="nil"/>
            </w:tcBorders>
            <w:shd w:val="clear" w:color="auto" w:fill="auto"/>
            <w:noWrap/>
            <w:vAlign w:val="bottom"/>
            <w:hideMark/>
          </w:tcPr>
          <w:p w14:paraId="6E332326" w14:textId="75D3D041" w:rsidR="00306EC6" w:rsidRPr="00337135" w:rsidRDefault="00306EC6" w:rsidP="00306EC6">
            <w:pPr>
              <w:jc w:val="center"/>
              <w:rPr>
                <w:rFonts w:eastAsia="Times New Roman" w:cs="Times New Roman"/>
                <w:b/>
                <w:bCs/>
                <w:color w:val="000000"/>
                <w:sz w:val="20"/>
                <w:szCs w:val="20"/>
              </w:rPr>
            </w:pPr>
            <w:r>
              <w:rPr>
                <w:b/>
                <w:bCs/>
                <w:color w:val="000000"/>
                <w:sz w:val="20"/>
                <w:szCs w:val="20"/>
              </w:rPr>
              <w:t>-0.517***</w:t>
            </w:r>
          </w:p>
        </w:tc>
        <w:tc>
          <w:tcPr>
            <w:tcW w:w="1166" w:type="dxa"/>
            <w:tcBorders>
              <w:top w:val="nil"/>
              <w:left w:val="nil"/>
              <w:bottom w:val="nil"/>
              <w:right w:val="nil"/>
            </w:tcBorders>
            <w:shd w:val="clear" w:color="auto" w:fill="auto"/>
            <w:noWrap/>
            <w:vAlign w:val="bottom"/>
            <w:hideMark/>
          </w:tcPr>
          <w:p w14:paraId="3AD85574" w14:textId="6558684F" w:rsidR="00306EC6" w:rsidRPr="00337135" w:rsidRDefault="00306EC6" w:rsidP="00306EC6">
            <w:pPr>
              <w:jc w:val="center"/>
              <w:rPr>
                <w:rFonts w:eastAsia="Times New Roman" w:cs="Times New Roman"/>
                <w:b/>
                <w:bCs/>
                <w:color w:val="000000"/>
                <w:sz w:val="20"/>
                <w:szCs w:val="20"/>
              </w:rPr>
            </w:pPr>
            <w:r>
              <w:rPr>
                <w:b/>
                <w:bCs/>
                <w:color w:val="000000"/>
                <w:sz w:val="20"/>
                <w:szCs w:val="20"/>
              </w:rPr>
              <w:t>-0.517***</w:t>
            </w:r>
          </w:p>
        </w:tc>
        <w:tc>
          <w:tcPr>
            <w:tcW w:w="1166" w:type="dxa"/>
            <w:tcBorders>
              <w:top w:val="nil"/>
              <w:left w:val="nil"/>
              <w:bottom w:val="nil"/>
              <w:right w:val="nil"/>
            </w:tcBorders>
            <w:shd w:val="clear" w:color="auto" w:fill="auto"/>
            <w:noWrap/>
            <w:vAlign w:val="bottom"/>
            <w:hideMark/>
          </w:tcPr>
          <w:p w14:paraId="1853054E" w14:textId="113C4054" w:rsidR="00306EC6" w:rsidRPr="00337135" w:rsidRDefault="00306EC6" w:rsidP="00306EC6">
            <w:pPr>
              <w:jc w:val="center"/>
              <w:rPr>
                <w:rFonts w:eastAsia="Times New Roman" w:cs="Times New Roman"/>
                <w:b/>
                <w:bCs/>
                <w:color w:val="000000"/>
                <w:sz w:val="20"/>
                <w:szCs w:val="20"/>
              </w:rPr>
            </w:pPr>
            <w:r>
              <w:rPr>
                <w:b/>
                <w:bCs/>
                <w:color w:val="000000"/>
                <w:sz w:val="20"/>
                <w:szCs w:val="20"/>
              </w:rPr>
              <w:t>0.119</w:t>
            </w:r>
          </w:p>
        </w:tc>
        <w:tc>
          <w:tcPr>
            <w:tcW w:w="1166" w:type="dxa"/>
            <w:tcBorders>
              <w:top w:val="nil"/>
              <w:left w:val="nil"/>
              <w:bottom w:val="nil"/>
              <w:right w:val="nil"/>
            </w:tcBorders>
            <w:shd w:val="clear" w:color="auto" w:fill="auto"/>
            <w:noWrap/>
            <w:vAlign w:val="bottom"/>
            <w:hideMark/>
          </w:tcPr>
          <w:p w14:paraId="43FF43B9" w14:textId="7739CD47" w:rsidR="00306EC6" w:rsidRPr="00337135" w:rsidRDefault="00306EC6" w:rsidP="00306EC6">
            <w:pPr>
              <w:jc w:val="center"/>
              <w:rPr>
                <w:rFonts w:eastAsia="Times New Roman" w:cs="Times New Roman"/>
                <w:b/>
                <w:bCs/>
                <w:color w:val="000000"/>
                <w:sz w:val="20"/>
                <w:szCs w:val="20"/>
              </w:rPr>
            </w:pPr>
            <w:r>
              <w:rPr>
                <w:b/>
                <w:bCs/>
                <w:color w:val="000000"/>
                <w:sz w:val="20"/>
                <w:szCs w:val="20"/>
              </w:rPr>
              <w:t>0.105</w:t>
            </w:r>
          </w:p>
        </w:tc>
        <w:tc>
          <w:tcPr>
            <w:tcW w:w="1166" w:type="dxa"/>
            <w:tcBorders>
              <w:top w:val="nil"/>
              <w:left w:val="nil"/>
              <w:bottom w:val="nil"/>
              <w:right w:val="nil"/>
            </w:tcBorders>
            <w:shd w:val="clear" w:color="auto" w:fill="auto"/>
            <w:noWrap/>
            <w:vAlign w:val="bottom"/>
            <w:hideMark/>
          </w:tcPr>
          <w:p w14:paraId="32D5E780" w14:textId="322903A0" w:rsidR="00306EC6" w:rsidRPr="00337135" w:rsidRDefault="00306EC6" w:rsidP="00306EC6">
            <w:pPr>
              <w:jc w:val="center"/>
              <w:rPr>
                <w:rFonts w:eastAsia="Times New Roman" w:cs="Times New Roman"/>
                <w:b/>
                <w:bCs/>
                <w:color w:val="000000"/>
                <w:sz w:val="20"/>
                <w:szCs w:val="20"/>
              </w:rPr>
            </w:pPr>
            <w:r>
              <w:rPr>
                <w:b/>
                <w:bCs/>
                <w:color w:val="000000"/>
                <w:sz w:val="20"/>
                <w:szCs w:val="20"/>
              </w:rPr>
              <w:t>0.105</w:t>
            </w:r>
          </w:p>
        </w:tc>
      </w:tr>
      <w:tr w:rsidR="00306EC6" w:rsidRPr="00337135" w14:paraId="0A7C6BE5" w14:textId="77777777" w:rsidTr="00306EC6">
        <w:trPr>
          <w:trHeight w:val="255"/>
        </w:trPr>
        <w:tc>
          <w:tcPr>
            <w:tcW w:w="2000" w:type="dxa"/>
            <w:tcBorders>
              <w:top w:val="nil"/>
              <w:left w:val="nil"/>
              <w:bottom w:val="nil"/>
              <w:right w:val="nil"/>
            </w:tcBorders>
            <w:shd w:val="clear" w:color="auto" w:fill="auto"/>
            <w:noWrap/>
            <w:vAlign w:val="bottom"/>
            <w:hideMark/>
          </w:tcPr>
          <w:p w14:paraId="632E1C03"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7AF586F0" w14:textId="56124E9B" w:rsidR="00306EC6" w:rsidRPr="00337135" w:rsidRDefault="00306EC6" w:rsidP="00306EC6">
            <w:pPr>
              <w:jc w:val="center"/>
              <w:rPr>
                <w:rFonts w:eastAsia="Times New Roman" w:cs="Times New Roman"/>
                <w:color w:val="000000"/>
                <w:sz w:val="20"/>
                <w:szCs w:val="20"/>
              </w:rPr>
            </w:pPr>
            <w:r>
              <w:rPr>
                <w:color w:val="000000"/>
                <w:sz w:val="20"/>
                <w:szCs w:val="20"/>
              </w:rPr>
              <w:t>(0.144)</w:t>
            </w:r>
          </w:p>
        </w:tc>
        <w:tc>
          <w:tcPr>
            <w:tcW w:w="1166" w:type="dxa"/>
            <w:tcBorders>
              <w:top w:val="nil"/>
              <w:left w:val="nil"/>
              <w:bottom w:val="nil"/>
              <w:right w:val="nil"/>
            </w:tcBorders>
            <w:shd w:val="clear" w:color="auto" w:fill="auto"/>
            <w:noWrap/>
            <w:vAlign w:val="bottom"/>
            <w:hideMark/>
          </w:tcPr>
          <w:p w14:paraId="38469BF3" w14:textId="20091837" w:rsidR="00306EC6" w:rsidRPr="00337135" w:rsidRDefault="00306EC6" w:rsidP="00306EC6">
            <w:pPr>
              <w:jc w:val="center"/>
              <w:rPr>
                <w:rFonts w:eastAsia="Times New Roman" w:cs="Times New Roman"/>
                <w:color w:val="000000"/>
                <w:sz w:val="20"/>
                <w:szCs w:val="20"/>
              </w:rPr>
            </w:pPr>
            <w:r>
              <w:rPr>
                <w:color w:val="000000"/>
                <w:sz w:val="20"/>
                <w:szCs w:val="20"/>
              </w:rPr>
              <w:t>(0.145)</w:t>
            </w:r>
          </w:p>
        </w:tc>
        <w:tc>
          <w:tcPr>
            <w:tcW w:w="1166" w:type="dxa"/>
            <w:tcBorders>
              <w:top w:val="nil"/>
              <w:left w:val="nil"/>
              <w:bottom w:val="nil"/>
              <w:right w:val="nil"/>
            </w:tcBorders>
            <w:shd w:val="clear" w:color="auto" w:fill="auto"/>
            <w:noWrap/>
            <w:vAlign w:val="bottom"/>
            <w:hideMark/>
          </w:tcPr>
          <w:p w14:paraId="07D98F60" w14:textId="559AA54F" w:rsidR="00306EC6" w:rsidRPr="00337135" w:rsidRDefault="00306EC6" w:rsidP="00306EC6">
            <w:pPr>
              <w:jc w:val="center"/>
              <w:rPr>
                <w:rFonts w:eastAsia="Times New Roman" w:cs="Times New Roman"/>
                <w:color w:val="000000"/>
                <w:sz w:val="20"/>
                <w:szCs w:val="20"/>
              </w:rPr>
            </w:pPr>
            <w:r>
              <w:rPr>
                <w:color w:val="000000"/>
                <w:sz w:val="20"/>
                <w:szCs w:val="20"/>
              </w:rPr>
              <w:t>(0.145)</w:t>
            </w:r>
          </w:p>
        </w:tc>
        <w:tc>
          <w:tcPr>
            <w:tcW w:w="1166" w:type="dxa"/>
            <w:tcBorders>
              <w:top w:val="nil"/>
              <w:left w:val="nil"/>
              <w:bottom w:val="nil"/>
              <w:right w:val="nil"/>
            </w:tcBorders>
            <w:shd w:val="clear" w:color="auto" w:fill="auto"/>
            <w:noWrap/>
            <w:vAlign w:val="bottom"/>
            <w:hideMark/>
          </w:tcPr>
          <w:p w14:paraId="405DFE09" w14:textId="1D5B9B71" w:rsidR="00306EC6" w:rsidRPr="00337135" w:rsidRDefault="00306EC6" w:rsidP="00306EC6">
            <w:pPr>
              <w:jc w:val="center"/>
              <w:rPr>
                <w:rFonts w:eastAsia="Times New Roman" w:cs="Times New Roman"/>
                <w:color w:val="000000"/>
                <w:sz w:val="20"/>
                <w:szCs w:val="20"/>
              </w:rPr>
            </w:pPr>
            <w:r>
              <w:rPr>
                <w:color w:val="000000"/>
                <w:sz w:val="20"/>
                <w:szCs w:val="20"/>
              </w:rPr>
              <w:t>(0.136)</w:t>
            </w:r>
          </w:p>
        </w:tc>
        <w:tc>
          <w:tcPr>
            <w:tcW w:w="1166" w:type="dxa"/>
            <w:tcBorders>
              <w:top w:val="nil"/>
              <w:left w:val="nil"/>
              <w:bottom w:val="nil"/>
              <w:right w:val="nil"/>
            </w:tcBorders>
            <w:shd w:val="clear" w:color="auto" w:fill="auto"/>
            <w:noWrap/>
            <w:vAlign w:val="bottom"/>
            <w:hideMark/>
          </w:tcPr>
          <w:p w14:paraId="70E786E5" w14:textId="2FDF079C" w:rsidR="00306EC6" w:rsidRPr="00337135" w:rsidRDefault="00306EC6" w:rsidP="00306EC6">
            <w:pPr>
              <w:jc w:val="center"/>
              <w:rPr>
                <w:rFonts w:eastAsia="Times New Roman" w:cs="Times New Roman"/>
                <w:color w:val="000000"/>
                <w:sz w:val="20"/>
                <w:szCs w:val="20"/>
              </w:rPr>
            </w:pPr>
            <w:r>
              <w:rPr>
                <w:color w:val="000000"/>
                <w:sz w:val="20"/>
                <w:szCs w:val="20"/>
              </w:rPr>
              <w:t>(0.136)</w:t>
            </w:r>
          </w:p>
        </w:tc>
        <w:tc>
          <w:tcPr>
            <w:tcW w:w="1166" w:type="dxa"/>
            <w:tcBorders>
              <w:top w:val="nil"/>
              <w:left w:val="nil"/>
              <w:bottom w:val="nil"/>
              <w:right w:val="nil"/>
            </w:tcBorders>
            <w:shd w:val="clear" w:color="auto" w:fill="auto"/>
            <w:noWrap/>
            <w:vAlign w:val="bottom"/>
            <w:hideMark/>
          </w:tcPr>
          <w:p w14:paraId="7D2EE10B" w14:textId="4EE247A0" w:rsidR="00306EC6" w:rsidRPr="00337135" w:rsidRDefault="00306EC6" w:rsidP="00306EC6">
            <w:pPr>
              <w:jc w:val="center"/>
              <w:rPr>
                <w:rFonts w:eastAsia="Times New Roman" w:cs="Times New Roman"/>
                <w:color w:val="000000"/>
                <w:sz w:val="20"/>
                <w:szCs w:val="20"/>
              </w:rPr>
            </w:pPr>
            <w:r>
              <w:rPr>
                <w:color w:val="000000"/>
                <w:sz w:val="20"/>
                <w:szCs w:val="20"/>
              </w:rPr>
              <w:t>(0.136)</w:t>
            </w:r>
          </w:p>
        </w:tc>
      </w:tr>
      <w:tr w:rsidR="00306EC6" w:rsidRPr="00337135" w14:paraId="78DAFD0B" w14:textId="77777777" w:rsidTr="00306EC6">
        <w:trPr>
          <w:trHeight w:val="255"/>
        </w:trPr>
        <w:tc>
          <w:tcPr>
            <w:tcW w:w="2000" w:type="dxa"/>
            <w:tcBorders>
              <w:top w:val="nil"/>
              <w:left w:val="nil"/>
              <w:bottom w:val="nil"/>
              <w:right w:val="nil"/>
            </w:tcBorders>
            <w:shd w:val="clear" w:color="auto" w:fill="auto"/>
            <w:noWrap/>
            <w:vAlign w:val="bottom"/>
            <w:hideMark/>
          </w:tcPr>
          <w:p w14:paraId="6243DE45" w14:textId="64B749E3" w:rsidR="00306EC6" w:rsidRPr="00337135" w:rsidRDefault="00306EC6" w:rsidP="00306EC6">
            <w:pPr>
              <w:rPr>
                <w:rFonts w:eastAsia="Times New Roman" w:cs="Times New Roman"/>
                <w:color w:val="000000"/>
                <w:sz w:val="20"/>
                <w:szCs w:val="20"/>
              </w:rPr>
            </w:pPr>
            <w:r>
              <w:rPr>
                <w:color w:val="000000"/>
                <w:sz w:val="20"/>
                <w:szCs w:val="20"/>
              </w:rPr>
              <w:t>Gr 4 AY</w:t>
            </w:r>
          </w:p>
        </w:tc>
        <w:tc>
          <w:tcPr>
            <w:tcW w:w="1166" w:type="dxa"/>
            <w:tcBorders>
              <w:top w:val="nil"/>
              <w:left w:val="nil"/>
              <w:bottom w:val="nil"/>
              <w:right w:val="nil"/>
            </w:tcBorders>
            <w:shd w:val="clear" w:color="auto" w:fill="auto"/>
            <w:noWrap/>
            <w:vAlign w:val="bottom"/>
            <w:hideMark/>
          </w:tcPr>
          <w:p w14:paraId="60B2F21A" w14:textId="4BFD37B7" w:rsidR="00306EC6" w:rsidRPr="00337135" w:rsidRDefault="00306EC6" w:rsidP="00306EC6">
            <w:pPr>
              <w:jc w:val="center"/>
              <w:rPr>
                <w:rFonts w:eastAsia="Times New Roman" w:cs="Times New Roman"/>
                <w:color w:val="000000"/>
                <w:sz w:val="20"/>
                <w:szCs w:val="20"/>
              </w:rPr>
            </w:pPr>
            <w:r>
              <w:rPr>
                <w:color w:val="000000"/>
                <w:sz w:val="20"/>
                <w:szCs w:val="20"/>
              </w:rPr>
              <w:t>1.056***</w:t>
            </w:r>
          </w:p>
        </w:tc>
        <w:tc>
          <w:tcPr>
            <w:tcW w:w="1166" w:type="dxa"/>
            <w:tcBorders>
              <w:top w:val="nil"/>
              <w:left w:val="nil"/>
              <w:bottom w:val="nil"/>
              <w:right w:val="nil"/>
            </w:tcBorders>
            <w:shd w:val="clear" w:color="auto" w:fill="auto"/>
            <w:noWrap/>
            <w:vAlign w:val="bottom"/>
            <w:hideMark/>
          </w:tcPr>
          <w:p w14:paraId="4BFEC502" w14:textId="170B3E27" w:rsidR="00306EC6" w:rsidRPr="00337135" w:rsidRDefault="00306EC6" w:rsidP="00306EC6">
            <w:pPr>
              <w:jc w:val="center"/>
              <w:rPr>
                <w:rFonts w:eastAsia="Times New Roman" w:cs="Times New Roman"/>
                <w:color w:val="000000"/>
                <w:sz w:val="20"/>
                <w:szCs w:val="20"/>
              </w:rPr>
            </w:pPr>
            <w:r>
              <w:rPr>
                <w:color w:val="000000"/>
                <w:sz w:val="20"/>
                <w:szCs w:val="20"/>
              </w:rPr>
              <w:t>1.056***</w:t>
            </w:r>
          </w:p>
        </w:tc>
        <w:tc>
          <w:tcPr>
            <w:tcW w:w="1166" w:type="dxa"/>
            <w:tcBorders>
              <w:top w:val="nil"/>
              <w:left w:val="nil"/>
              <w:bottom w:val="nil"/>
              <w:right w:val="nil"/>
            </w:tcBorders>
            <w:shd w:val="clear" w:color="auto" w:fill="auto"/>
            <w:noWrap/>
            <w:vAlign w:val="bottom"/>
            <w:hideMark/>
          </w:tcPr>
          <w:p w14:paraId="07D8B758" w14:textId="5C39C947" w:rsidR="00306EC6" w:rsidRPr="00337135" w:rsidRDefault="00306EC6" w:rsidP="00306EC6">
            <w:pPr>
              <w:jc w:val="center"/>
              <w:rPr>
                <w:rFonts w:eastAsia="Times New Roman" w:cs="Times New Roman"/>
                <w:color w:val="000000"/>
                <w:sz w:val="20"/>
                <w:szCs w:val="20"/>
              </w:rPr>
            </w:pPr>
            <w:r>
              <w:rPr>
                <w:color w:val="000000"/>
                <w:sz w:val="20"/>
                <w:szCs w:val="20"/>
              </w:rPr>
              <w:t>1.056***</w:t>
            </w:r>
          </w:p>
        </w:tc>
        <w:tc>
          <w:tcPr>
            <w:tcW w:w="1166" w:type="dxa"/>
            <w:tcBorders>
              <w:top w:val="nil"/>
              <w:left w:val="nil"/>
              <w:bottom w:val="nil"/>
              <w:right w:val="nil"/>
            </w:tcBorders>
            <w:shd w:val="clear" w:color="auto" w:fill="auto"/>
            <w:noWrap/>
            <w:vAlign w:val="bottom"/>
            <w:hideMark/>
          </w:tcPr>
          <w:p w14:paraId="1FFE67BD" w14:textId="7CDC2608" w:rsidR="00306EC6" w:rsidRPr="00337135" w:rsidRDefault="00306EC6" w:rsidP="00306EC6">
            <w:pPr>
              <w:jc w:val="center"/>
              <w:rPr>
                <w:rFonts w:eastAsia="Times New Roman" w:cs="Times New Roman"/>
                <w:color w:val="000000"/>
                <w:sz w:val="20"/>
                <w:szCs w:val="20"/>
              </w:rPr>
            </w:pPr>
            <w:r>
              <w:rPr>
                <w:color w:val="000000"/>
                <w:sz w:val="20"/>
                <w:szCs w:val="20"/>
              </w:rPr>
              <w:t>0.918***</w:t>
            </w:r>
          </w:p>
        </w:tc>
        <w:tc>
          <w:tcPr>
            <w:tcW w:w="1166" w:type="dxa"/>
            <w:tcBorders>
              <w:top w:val="nil"/>
              <w:left w:val="nil"/>
              <w:bottom w:val="nil"/>
              <w:right w:val="nil"/>
            </w:tcBorders>
            <w:shd w:val="clear" w:color="auto" w:fill="auto"/>
            <w:noWrap/>
            <w:vAlign w:val="bottom"/>
            <w:hideMark/>
          </w:tcPr>
          <w:p w14:paraId="7DDE7D0C" w14:textId="75E71E96" w:rsidR="00306EC6" w:rsidRPr="00337135" w:rsidRDefault="00306EC6" w:rsidP="00306EC6">
            <w:pPr>
              <w:jc w:val="center"/>
              <w:rPr>
                <w:rFonts w:eastAsia="Times New Roman" w:cs="Times New Roman"/>
                <w:color w:val="000000"/>
                <w:sz w:val="20"/>
                <w:szCs w:val="20"/>
              </w:rPr>
            </w:pPr>
            <w:r>
              <w:rPr>
                <w:color w:val="000000"/>
                <w:sz w:val="20"/>
                <w:szCs w:val="20"/>
              </w:rPr>
              <w:t>0.918***</w:t>
            </w:r>
          </w:p>
        </w:tc>
        <w:tc>
          <w:tcPr>
            <w:tcW w:w="1166" w:type="dxa"/>
            <w:tcBorders>
              <w:top w:val="nil"/>
              <w:left w:val="nil"/>
              <w:bottom w:val="nil"/>
              <w:right w:val="nil"/>
            </w:tcBorders>
            <w:shd w:val="clear" w:color="auto" w:fill="auto"/>
            <w:noWrap/>
            <w:vAlign w:val="bottom"/>
            <w:hideMark/>
          </w:tcPr>
          <w:p w14:paraId="5B7028D3" w14:textId="521F2EB0" w:rsidR="00306EC6" w:rsidRPr="00337135" w:rsidRDefault="00306EC6" w:rsidP="00306EC6">
            <w:pPr>
              <w:jc w:val="center"/>
              <w:rPr>
                <w:rFonts w:eastAsia="Times New Roman" w:cs="Times New Roman"/>
                <w:color w:val="000000"/>
                <w:sz w:val="20"/>
                <w:szCs w:val="20"/>
              </w:rPr>
            </w:pPr>
            <w:r>
              <w:rPr>
                <w:color w:val="000000"/>
                <w:sz w:val="20"/>
                <w:szCs w:val="20"/>
              </w:rPr>
              <w:t>0.919***</w:t>
            </w:r>
          </w:p>
        </w:tc>
      </w:tr>
      <w:tr w:rsidR="00306EC6" w:rsidRPr="00337135" w14:paraId="10FFC424" w14:textId="77777777" w:rsidTr="00306EC6">
        <w:trPr>
          <w:trHeight w:val="255"/>
        </w:trPr>
        <w:tc>
          <w:tcPr>
            <w:tcW w:w="2000" w:type="dxa"/>
            <w:tcBorders>
              <w:top w:val="nil"/>
              <w:left w:val="nil"/>
              <w:bottom w:val="nil"/>
              <w:right w:val="nil"/>
            </w:tcBorders>
            <w:shd w:val="clear" w:color="auto" w:fill="auto"/>
            <w:noWrap/>
            <w:vAlign w:val="bottom"/>
            <w:hideMark/>
          </w:tcPr>
          <w:p w14:paraId="042A7966"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6C7FEED5" w14:textId="1C43179D" w:rsidR="00306EC6" w:rsidRPr="00337135" w:rsidRDefault="00306EC6" w:rsidP="00306EC6">
            <w:pPr>
              <w:jc w:val="center"/>
              <w:rPr>
                <w:rFonts w:eastAsia="Times New Roman" w:cs="Times New Roman"/>
                <w:color w:val="000000"/>
                <w:sz w:val="20"/>
                <w:szCs w:val="20"/>
              </w:rPr>
            </w:pPr>
            <w:r>
              <w:rPr>
                <w:color w:val="000000"/>
                <w:sz w:val="20"/>
                <w:szCs w:val="20"/>
              </w:rPr>
              <w:t>(0.050)</w:t>
            </w:r>
          </w:p>
        </w:tc>
        <w:tc>
          <w:tcPr>
            <w:tcW w:w="1166" w:type="dxa"/>
            <w:tcBorders>
              <w:top w:val="nil"/>
              <w:left w:val="nil"/>
              <w:bottom w:val="nil"/>
              <w:right w:val="nil"/>
            </w:tcBorders>
            <w:shd w:val="clear" w:color="auto" w:fill="auto"/>
            <w:noWrap/>
            <w:vAlign w:val="bottom"/>
            <w:hideMark/>
          </w:tcPr>
          <w:p w14:paraId="02FA44BD" w14:textId="3C92D179" w:rsidR="00306EC6" w:rsidRPr="00337135" w:rsidRDefault="00306EC6" w:rsidP="00306EC6">
            <w:pPr>
              <w:jc w:val="center"/>
              <w:rPr>
                <w:rFonts w:eastAsia="Times New Roman" w:cs="Times New Roman"/>
                <w:color w:val="000000"/>
                <w:sz w:val="20"/>
                <w:szCs w:val="20"/>
              </w:rPr>
            </w:pPr>
            <w:r>
              <w:rPr>
                <w:color w:val="000000"/>
                <w:sz w:val="20"/>
                <w:szCs w:val="20"/>
              </w:rPr>
              <w:t>(0.050)</w:t>
            </w:r>
          </w:p>
        </w:tc>
        <w:tc>
          <w:tcPr>
            <w:tcW w:w="1166" w:type="dxa"/>
            <w:tcBorders>
              <w:top w:val="nil"/>
              <w:left w:val="nil"/>
              <w:bottom w:val="nil"/>
              <w:right w:val="nil"/>
            </w:tcBorders>
            <w:shd w:val="clear" w:color="auto" w:fill="auto"/>
            <w:noWrap/>
            <w:vAlign w:val="bottom"/>
            <w:hideMark/>
          </w:tcPr>
          <w:p w14:paraId="562BB4BD" w14:textId="71C8C5B3" w:rsidR="00306EC6" w:rsidRPr="00337135" w:rsidRDefault="00306EC6" w:rsidP="00306EC6">
            <w:pPr>
              <w:jc w:val="center"/>
              <w:rPr>
                <w:rFonts w:eastAsia="Times New Roman" w:cs="Times New Roman"/>
                <w:color w:val="000000"/>
                <w:sz w:val="20"/>
                <w:szCs w:val="20"/>
              </w:rPr>
            </w:pPr>
            <w:r>
              <w:rPr>
                <w:color w:val="000000"/>
                <w:sz w:val="20"/>
                <w:szCs w:val="20"/>
              </w:rPr>
              <w:t>(0.050)</w:t>
            </w:r>
          </w:p>
        </w:tc>
        <w:tc>
          <w:tcPr>
            <w:tcW w:w="1166" w:type="dxa"/>
            <w:tcBorders>
              <w:top w:val="nil"/>
              <w:left w:val="nil"/>
              <w:bottom w:val="nil"/>
              <w:right w:val="nil"/>
            </w:tcBorders>
            <w:shd w:val="clear" w:color="auto" w:fill="auto"/>
            <w:noWrap/>
            <w:vAlign w:val="bottom"/>
            <w:hideMark/>
          </w:tcPr>
          <w:p w14:paraId="65C1ABB3" w14:textId="6C99E11D" w:rsidR="00306EC6" w:rsidRPr="00337135" w:rsidRDefault="00306EC6" w:rsidP="00306EC6">
            <w:pPr>
              <w:jc w:val="center"/>
              <w:rPr>
                <w:rFonts w:eastAsia="Times New Roman" w:cs="Times New Roman"/>
                <w:color w:val="000000"/>
                <w:sz w:val="20"/>
                <w:szCs w:val="20"/>
              </w:rPr>
            </w:pPr>
            <w:r>
              <w:rPr>
                <w:color w:val="000000"/>
                <w:sz w:val="20"/>
                <w:szCs w:val="20"/>
              </w:rPr>
              <w:t>(0.040)</w:t>
            </w:r>
          </w:p>
        </w:tc>
        <w:tc>
          <w:tcPr>
            <w:tcW w:w="1166" w:type="dxa"/>
            <w:tcBorders>
              <w:top w:val="nil"/>
              <w:left w:val="nil"/>
              <w:bottom w:val="nil"/>
              <w:right w:val="nil"/>
            </w:tcBorders>
            <w:shd w:val="clear" w:color="auto" w:fill="auto"/>
            <w:noWrap/>
            <w:vAlign w:val="bottom"/>
            <w:hideMark/>
          </w:tcPr>
          <w:p w14:paraId="51E4D83B" w14:textId="3E89929E" w:rsidR="00306EC6" w:rsidRPr="00337135" w:rsidRDefault="00306EC6" w:rsidP="00306EC6">
            <w:pPr>
              <w:jc w:val="center"/>
              <w:rPr>
                <w:rFonts w:eastAsia="Times New Roman" w:cs="Times New Roman"/>
                <w:color w:val="000000"/>
                <w:sz w:val="20"/>
                <w:szCs w:val="20"/>
              </w:rPr>
            </w:pPr>
            <w:r>
              <w:rPr>
                <w:color w:val="000000"/>
                <w:sz w:val="20"/>
                <w:szCs w:val="20"/>
              </w:rPr>
              <w:t>(0.040)</w:t>
            </w:r>
          </w:p>
        </w:tc>
        <w:tc>
          <w:tcPr>
            <w:tcW w:w="1166" w:type="dxa"/>
            <w:tcBorders>
              <w:top w:val="nil"/>
              <w:left w:val="nil"/>
              <w:bottom w:val="nil"/>
              <w:right w:val="nil"/>
            </w:tcBorders>
            <w:shd w:val="clear" w:color="auto" w:fill="auto"/>
            <w:noWrap/>
            <w:vAlign w:val="bottom"/>
            <w:hideMark/>
          </w:tcPr>
          <w:p w14:paraId="53481FFB" w14:textId="7B49CD4E" w:rsidR="00306EC6" w:rsidRPr="00337135" w:rsidRDefault="00306EC6" w:rsidP="00306EC6">
            <w:pPr>
              <w:jc w:val="center"/>
              <w:rPr>
                <w:rFonts w:eastAsia="Times New Roman" w:cs="Times New Roman"/>
                <w:color w:val="000000"/>
                <w:sz w:val="20"/>
                <w:szCs w:val="20"/>
              </w:rPr>
            </w:pPr>
            <w:r>
              <w:rPr>
                <w:color w:val="000000"/>
                <w:sz w:val="20"/>
                <w:szCs w:val="20"/>
              </w:rPr>
              <w:t>(0.040)</w:t>
            </w:r>
          </w:p>
        </w:tc>
      </w:tr>
      <w:tr w:rsidR="00306EC6" w:rsidRPr="00337135" w14:paraId="22E700FB" w14:textId="77777777" w:rsidTr="00306EC6">
        <w:trPr>
          <w:trHeight w:val="255"/>
        </w:trPr>
        <w:tc>
          <w:tcPr>
            <w:tcW w:w="2000" w:type="dxa"/>
            <w:tcBorders>
              <w:top w:val="nil"/>
              <w:left w:val="nil"/>
              <w:bottom w:val="nil"/>
              <w:right w:val="nil"/>
            </w:tcBorders>
            <w:shd w:val="clear" w:color="auto" w:fill="auto"/>
            <w:noWrap/>
            <w:vAlign w:val="bottom"/>
            <w:hideMark/>
          </w:tcPr>
          <w:p w14:paraId="3F145865" w14:textId="57BB595E" w:rsidR="00306EC6" w:rsidRPr="00337135" w:rsidRDefault="00306EC6" w:rsidP="00306EC6">
            <w:pPr>
              <w:rPr>
                <w:rFonts w:eastAsia="Times New Roman" w:cs="Times New Roman"/>
                <w:b/>
                <w:bCs/>
                <w:color w:val="000000"/>
                <w:sz w:val="20"/>
                <w:szCs w:val="20"/>
              </w:rPr>
            </w:pPr>
            <w:r>
              <w:rPr>
                <w:b/>
                <w:bCs/>
                <w:color w:val="000000"/>
                <w:sz w:val="20"/>
                <w:szCs w:val="20"/>
              </w:rPr>
              <w:t>DL x Gr 4 AY</w:t>
            </w:r>
          </w:p>
        </w:tc>
        <w:tc>
          <w:tcPr>
            <w:tcW w:w="1166" w:type="dxa"/>
            <w:tcBorders>
              <w:top w:val="nil"/>
              <w:left w:val="nil"/>
              <w:bottom w:val="nil"/>
              <w:right w:val="nil"/>
            </w:tcBorders>
            <w:shd w:val="clear" w:color="auto" w:fill="auto"/>
            <w:noWrap/>
            <w:vAlign w:val="bottom"/>
            <w:hideMark/>
          </w:tcPr>
          <w:p w14:paraId="0A8FE0D4" w14:textId="0DA80B0F" w:rsidR="00306EC6" w:rsidRPr="00337135" w:rsidRDefault="00306EC6" w:rsidP="00306EC6">
            <w:pPr>
              <w:jc w:val="center"/>
              <w:rPr>
                <w:rFonts w:eastAsia="Times New Roman" w:cs="Times New Roman"/>
                <w:b/>
                <w:bCs/>
                <w:color w:val="000000"/>
                <w:sz w:val="20"/>
                <w:szCs w:val="20"/>
              </w:rPr>
            </w:pPr>
            <w:r>
              <w:rPr>
                <w:b/>
                <w:bCs/>
                <w:color w:val="000000"/>
                <w:sz w:val="20"/>
                <w:szCs w:val="20"/>
              </w:rPr>
              <w:t>0.345***</w:t>
            </w:r>
          </w:p>
        </w:tc>
        <w:tc>
          <w:tcPr>
            <w:tcW w:w="1166" w:type="dxa"/>
            <w:tcBorders>
              <w:top w:val="nil"/>
              <w:left w:val="nil"/>
              <w:bottom w:val="nil"/>
              <w:right w:val="nil"/>
            </w:tcBorders>
            <w:shd w:val="clear" w:color="auto" w:fill="auto"/>
            <w:noWrap/>
            <w:vAlign w:val="bottom"/>
            <w:hideMark/>
          </w:tcPr>
          <w:p w14:paraId="4CB0D917" w14:textId="26EA33A4" w:rsidR="00306EC6" w:rsidRPr="00337135" w:rsidRDefault="00306EC6" w:rsidP="00306EC6">
            <w:pPr>
              <w:jc w:val="center"/>
              <w:rPr>
                <w:rFonts w:eastAsia="Times New Roman" w:cs="Times New Roman"/>
                <w:b/>
                <w:bCs/>
                <w:color w:val="000000"/>
                <w:sz w:val="20"/>
                <w:szCs w:val="20"/>
              </w:rPr>
            </w:pPr>
            <w:r>
              <w:rPr>
                <w:b/>
                <w:bCs/>
                <w:color w:val="000000"/>
                <w:sz w:val="20"/>
                <w:szCs w:val="20"/>
              </w:rPr>
              <w:t>0.345***</w:t>
            </w:r>
          </w:p>
        </w:tc>
        <w:tc>
          <w:tcPr>
            <w:tcW w:w="1166" w:type="dxa"/>
            <w:tcBorders>
              <w:top w:val="nil"/>
              <w:left w:val="nil"/>
              <w:bottom w:val="nil"/>
              <w:right w:val="nil"/>
            </w:tcBorders>
            <w:shd w:val="clear" w:color="auto" w:fill="auto"/>
            <w:noWrap/>
            <w:vAlign w:val="bottom"/>
            <w:hideMark/>
          </w:tcPr>
          <w:p w14:paraId="37852A69" w14:textId="0516DBF6" w:rsidR="00306EC6" w:rsidRPr="00337135" w:rsidRDefault="00306EC6" w:rsidP="00306EC6">
            <w:pPr>
              <w:jc w:val="center"/>
              <w:rPr>
                <w:rFonts w:eastAsia="Times New Roman" w:cs="Times New Roman"/>
                <w:b/>
                <w:bCs/>
                <w:color w:val="000000"/>
                <w:sz w:val="20"/>
                <w:szCs w:val="20"/>
              </w:rPr>
            </w:pPr>
            <w:r>
              <w:rPr>
                <w:b/>
                <w:bCs/>
                <w:color w:val="000000"/>
                <w:sz w:val="20"/>
                <w:szCs w:val="20"/>
              </w:rPr>
              <w:t>0.344***</w:t>
            </w:r>
          </w:p>
        </w:tc>
        <w:tc>
          <w:tcPr>
            <w:tcW w:w="1166" w:type="dxa"/>
            <w:tcBorders>
              <w:top w:val="nil"/>
              <w:left w:val="nil"/>
              <w:bottom w:val="nil"/>
              <w:right w:val="nil"/>
            </w:tcBorders>
            <w:shd w:val="clear" w:color="auto" w:fill="auto"/>
            <w:noWrap/>
            <w:vAlign w:val="bottom"/>
            <w:hideMark/>
          </w:tcPr>
          <w:p w14:paraId="0AB8DCEF" w14:textId="1935A0E6" w:rsidR="00306EC6" w:rsidRPr="00337135" w:rsidRDefault="00306EC6" w:rsidP="00306EC6">
            <w:pPr>
              <w:jc w:val="center"/>
              <w:rPr>
                <w:rFonts w:eastAsia="Times New Roman" w:cs="Times New Roman"/>
                <w:b/>
                <w:bCs/>
                <w:color w:val="000000"/>
                <w:sz w:val="20"/>
                <w:szCs w:val="20"/>
              </w:rPr>
            </w:pPr>
            <w:r>
              <w:rPr>
                <w:b/>
                <w:bCs/>
                <w:color w:val="000000"/>
                <w:sz w:val="20"/>
                <w:szCs w:val="20"/>
              </w:rPr>
              <w:t>0.022</w:t>
            </w:r>
          </w:p>
        </w:tc>
        <w:tc>
          <w:tcPr>
            <w:tcW w:w="1166" w:type="dxa"/>
            <w:tcBorders>
              <w:top w:val="nil"/>
              <w:left w:val="nil"/>
              <w:bottom w:val="nil"/>
              <w:right w:val="nil"/>
            </w:tcBorders>
            <w:shd w:val="clear" w:color="auto" w:fill="auto"/>
            <w:noWrap/>
            <w:vAlign w:val="bottom"/>
            <w:hideMark/>
          </w:tcPr>
          <w:p w14:paraId="710067AE" w14:textId="3F4B9261" w:rsidR="00306EC6" w:rsidRPr="00337135" w:rsidRDefault="00306EC6" w:rsidP="00306EC6">
            <w:pPr>
              <w:jc w:val="center"/>
              <w:rPr>
                <w:rFonts w:eastAsia="Times New Roman" w:cs="Times New Roman"/>
                <w:b/>
                <w:bCs/>
                <w:color w:val="000000"/>
                <w:sz w:val="20"/>
                <w:szCs w:val="20"/>
              </w:rPr>
            </w:pPr>
            <w:r>
              <w:rPr>
                <w:b/>
                <w:bCs/>
                <w:color w:val="000000"/>
                <w:sz w:val="20"/>
                <w:szCs w:val="20"/>
              </w:rPr>
              <w:t>0.021</w:t>
            </w:r>
          </w:p>
        </w:tc>
        <w:tc>
          <w:tcPr>
            <w:tcW w:w="1166" w:type="dxa"/>
            <w:tcBorders>
              <w:top w:val="nil"/>
              <w:left w:val="nil"/>
              <w:bottom w:val="nil"/>
              <w:right w:val="nil"/>
            </w:tcBorders>
            <w:shd w:val="clear" w:color="auto" w:fill="auto"/>
            <w:noWrap/>
            <w:vAlign w:val="bottom"/>
            <w:hideMark/>
          </w:tcPr>
          <w:p w14:paraId="37967A85" w14:textId="6E1C9DB9" w:rsidR="00306EC6" w:rsidRPr="00337135" w:rsidRDefault="00306EC6" w:rsidP="00306EC6">
            <w:pPr>
              <w:jc w:val="center"/>
              <w:rPr>
                <w:rFonts w:eastAsia="Times New Roman" w:cs="Times New Roman"/>
                <w:b/>
                <w:bCs/>
                <w:color w:val="000000"/>
                <w:sz w:val="20"/>
                <w:szCs w:val="20"/>
              </w:rPr>
            </w:pPr>
            <w:r>
              <w:rPr>
                <w:b/>
                <w:bCs/>
                <w:color w:val="000000"/>
                <w:sz w:val="20"/>
                <w:szCs w:val="20"/>
              </w:rPr>
              <w:t>0.021</w:t>
            </w:r>
          </w:p>
        </w:tc>
      </w:tr>
      <w:tr w:rsidR="00306EC6" w:rsidRPr="00337135" w14:paraId="572627B9" w14:textId="77777777" w:rsidTr="00306EC6">
        <w:trPr>
          <w:trHeight w:val="255"/>
        </w:trPr>
        <w:tc>
          <w:tcPr>
            <w:tcW w:w="2000" w:type="dxa"/>
            <w:tcBorders>
              <w:top w:val="nil"/>
              <w:left w:val="nil"/>
              <w:bottom w:val="nil"/>
              <w:right w:val="nil"/>
            </w:tcBorders>
            <w:shd w:val="clear" w:color="auto" w:fill="auto"/>
            <w:noWrap/>
            <w:vAlign w:val="bottom"/>
            <w:hideMark/>
          </w:tcPr>
          <w:p w14:paraId="131D6DA9"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6B04A304" w14:textId="386E0DF8" w:rsidR="00306EC6" w:rsidRPr="00337135" w:rsidRDefault="00306EC6" w:rsidP="00306EC6">
            <w:pPr>
              <w:jc w:val="center"/>
              <w:rPr>
                <w:rFonts w:eastAsia="Times New Roman" w:cs="Times New Roman"/>
                <w:color w:val="000000"/>
                <w:sz w:val="20"/>
                <w:szCs w:val="20"/>
              </w:rPr>
            </w:pPr>
            <w:r>
              <w:rPr>
                <w:color w:val="000000"/>
                <w:sz w:val="20"/>
                <w:szCs w:val="20"/>
              </w:rPr>
              <w:t>(0.048)</w:t>
            </w:r>
          </w:p>
        </w:tc>
        <w:tc>
          <w:tcPr>
            <w:tcW w:w="1166" w:type="dxa"/>
            <w:tcBorders>
              <w:top w:val="nil"/>
              <w:left w:val="nil"/>
              <w:bottom w:val="nil"/>
              <w:right w:val="nil"/>
            </w:tcBorders>
            <w:shd w:val="clear" w:color="auto" w:fill="auto"/>
            <w:noWrap/>
            <w:vAlign w:val="bottom"/>
            <w:hideMark/>
          </w:tcPr>
          <w:p w14:paraId="2BEEBA41" w14:textId="27F4A3D6" w:rsidR="00306EC6" w:rsidRPr="00337135" w:rsidRDefault="00306EC6" w:rsidP="00306EC6">
            <w:pPr>
              <w:jc w:val="center"/>
              <w:rPr>
                <w:rFonts w:eastAsia="Times New Roman" w:cs="Times New Roman"/>
                <w:color w:val="000000"/>
                <w:sz w:val="20"/>
                <w:szCs w:val="20"/>
              </w:rPr>
            </w:pPr>
            <w:r>
              <w:rPr>
                <w:color w:val="000000"/>
                <w:sz w:val="20"/>
                <w:szCs w:val="20"/>
              </w:rPr>
              <w:t>(0.048)</w:t>
            </w:r>
          </w:p>
        </w:tc>
        <w:tc>
          <w:tcPr>
            <w:tcW w:w="1166" w:type="dxa"/>
            <w:tcBorders>
              <w:top w:val="nil"/>
              <w:left w:val="nil"/>
              <w:bottom w:val="nil"/>
              <w:right w:val="nil"/>
            </w:tcBorders>
            <w:shd w:val="clear" w:color="auto" w:fill="auto"/>
            <w:noWrap/>
            <w:vAlign w:val="bottom"/>
            <w:hideMark/>
          </w:tcPr>
          <w:p w14:paraId="006C1560" w14:textId="3C1DD2AF" w:rsidR="00306EC6" w:rsidRPr="00337135" w:rsidRDefault="00306EC6" w:rsidP="00306EC6">
            <w:pPr>
              <w:jc w:val="center"/>
              <w:rPr>
                <w:rFonts w:eastAsia="Times New Roman" w:cs="Times New Roman"/>
                <w:color w:val="000000"/>
                <w:sz w:val="20"/>
                <w:szCs w:val="20"/>
              </w:rPr>
            </w:pPr>
            <w:r>
              <w:rPr>
                <w:color w:val="000000"/>
                <w:sz w:val="20"/>
                <w:szCs w:val="20"/>
              </w:rPr>
              <w:t>(0.048)</w:t>
            </w:r>
          </w:p>
        </w:tc>
        <w:tc>
          <w:tcPr>
            <w:tcW w:w="1166" w:type="dxa"/>
            <w:tcBorders>
              <w:top w:val="nil"/>
              <w:left w:val="nil"/>
              <w:bottom w:val="nil"/>
              <w:right w:val="nil"/>
            </w:tcBorders>
            <w:shd w:val="clear" w:color="auto" w:fill="auto"/>
            <w:noWrap/>
            <w:vAlign w:val="bottom"/>
            <w:hideMark/>
          </w:tcPr>
          <w:p w14:paraId="4D7CBB79" w14:textId="28B192E8" w:rsidR="00306EC6" w:rsidRPr="00337135" w:rsidRDefault="00306EC6" w:rsidP="00306EC6">
            <w:pPr>
              <w:jc w:val="center"/>
              <w:rPr>
                <w:rFonts w:eastAsia="Times New Roman" w:cs="Times New Roman"/>
                <w:color w:val="000000"/>
                <w:sz w:val="20"/>
                <w:szCs w:val="20"/>
              </w:rPr>
            </w:pPr>
            <w:r>
              <w:rPr>
                <w:color w:val="000000"/>
                <w:sz w:val="20"/>
                <w:szCs w:val="20"/>
              </w:rPr>
              <w:t>(0.051)</w:t>
            </w:r>
          </w:p>
        </w:tc>
        <w:tc>
          <w:tcPr>
            <w:tcW w:w="1166" w:type="dxa"/>
            <w:tcBorders>
              <w:top w:val="nil"/>
              <w:left w:val="nil"/>
              <w:bottom w:val="nil"/>
              <w:right w:val="nil"/>
            </w:tcBorders>
            <w:shd w:val="clear" w:color="auto" w:fill="auto"/>
            <w:noWrap/>
            <w:vAlign w:val="bottom"/>
            <w:hideMark/>
          </w:tcPr>
          <w:p w14:paraId="4530E241" w14:textId="073B3C9C" w:rsidR="00306EC6" w:rsidRPr="00337135" w:rsidRDefault="00306EC6" w:rsidP="00306EC6">
            <w:pPr>
              <w:jc w:val="center"/>
              <w:rPr>
                <w:rFonts w:eastAsia="Times New Roman" w:cs="Times New Roman"/>
                <w:color w:val="000000"/>
                <w:sz w:val="20"/>
                <w:szCs w:val="20"/>
              </w:rPr>
            </w:pPr>
            <w:r>
              <w:rPr>
                <w:color w:val="000000"/>
                <w:sz w:val="20"/>
                <w:szCs w:val="20"/>
              </w:rPr>
              <w:t>(0.051)</w:t>
            </w:r>
          </w:p>
        </w:tc>
        <w:tc>
          <w:tcPr>
            <w:tcW w:w="1166" w:type="dxa"/>
            <w:tcBorders>
              <w:top w:val="nil"/>
              <w:left w:val="nil"/>
              <w:bottom w:val="nil"/>
              <w:right w:val="nil"/>
            </w:tcBorders>
            <w:shd w:val="clear" w:color="auto" w:fill="auto"/>
            <w:noWrap/>
            <w:vAlign w:val="bottom"/>
            <w:hideMark/>
          </w:tcPr>
          <w:p w14:paraId="7F64BFFC" w14:textId="7F445FDA" w:rsidR="00306EC6" w:rsidRPr="00337135" w:rsidRDefault="00306EC6" w:rsidP="00306EC6">
            <w:pPr>
              <w:jc w:val="center"/>
              <w:rPr>
                <w:rFonts w:eastAsia="Times New Roman" w:cs="Times New Roman"/>
                <w:color w:val="000000"/>
                <w:sz w:val="20"/>
                <w:szCs w:val="20"/>
              </w:rPr>
            </w:pPr>
            <w:r>
              <w:rPr>
                <w:color w:val="000000"/>
                <w:sz w:val="20"/>
                <w:szCs w:val="20"/>
              </w:rPr>
              <w:t>(0.051)</w:t>
            </w:r>
          </w:p>
        </w:tc>
      </w:tr>
      <w:tr w:rsidR="00306EC6" w:rsidRPr="00337135" w14:paraId="7A97F4C3" w14:textId="77777777" w:rsidTr="00306EC6">
        <w:trPr>
          <w:trHeight w:val="255"/>
        </w:trPr>
        <w:tc>
          <w:tcPr>
            <w:tcW w:w="2000" w:type="dxa"/>
            <w:tcBorders>
              <w:top w:val="nil"/>
              <w:left w:val="nil"/>
              <w:bottom w:val="nil"/>
              <w:right w:val="nil"/>
            </w:tcBorders>
            <w:shd w:val="clear" w:color="auto" w:fill="auto"/>
            <w:noWrap/>
            <w:vAlign w:val="bottom"/>
            <w:hideMark/>
          </w:tcPr>
          <w:p w14:paraId="6DCEC3BD" w14:textId="09CA1219" w:rsidR="00306EC6" w:rsidRPr="00337135" w:rsidRDefault="00306EC6" w:rsidP="00306EC6">
            <w:pPr>
              <w:rPr>
                <w:rFonts w:eastAsia="Times New Roman" w:cs="Times New Roman"/>
                <w:color w:val="000000"/>
                <w:sz w:val="20"/>
                <w:szCs w:val="20"/>
              </w:rPr>
            </w:pPr>
            <w:r>
              <w:rPr>
                <w:color w:val="000000"/>
                <w:sz w:val="20"/>
                <w:szCs w:val="20"/>
              </w:rPr>
              <w:t>Gr 4 Summer</w:t>
            </w:r>
          </w:p>
        </w:tc>
        <w:tc>
          <w:tcPr>
            <w:tcW w:w="1166" w:type="dxa"/>
            <w:tcBorders>
              <w:top w:val="nil"/>
              <w:left w:val="nil"/>
              <w:bottom w:val="nil"/>
              <w:right w:val="nil"/>
            </w:tcBorders>
            <w:shd w:val="clear" w:color="auto" w:fill="auto"/>
            <w:noWrap/>
            <w:vAlign w:val="bottom"/>
            <w:hideMark/>
          </w:tcPr>
          <w:p w14:paraId="30381A34" w14:textId="2F63FB54" w:rsidR="00306EC6" w:rsidRPr="00337135" w:rsidRDefault="00306EC6" w:rsidP="00306EC6">
            <w:pPr>
              <w:jc w:val="center"/>
              <w:rPr>
                <w:rFonts w:eastAsia="Times New Roman" w:cs="Times New Roman"/>
                <w:color w:val="000000"/>
                <w:sz w:val="20"/>
                <w:szCs w:val="20"/>
              </w:rPr>
            </w:pPr>
            <w:r>
              <w:rPr>
                <w:color w:val="000000"/>
                <w:sz w:val="20"/>
                <w:szCs w:val="20"/>
              </w:rPr>
              <w:t>-0.751***</w:t>
            </w:r>
          </w:p>
        </w:tc>
        <w:tc>
          <w:tcPr>
            <w:tcW w:w="1166" w:type="dxa"/>
            <w:tcBorders>
              <w:top w:val="nil"/>
              <w:left w:val="nil"/>
              <w:bottom w:val="nil"/>
              <w:right w:val="nil"/>
            </w:tcBorders>
            <w:shd w:val="clear" w:color="auto" w:fill="auto"/>
            <w:noWrap/>
            <w:vAlign w:val="bottom"/>
            <w:hideMark/>
          </w:tcPr>
          <w:p w14:paraId="73521022" w14:textId="01A25BF2" w:rsidR="00306EC6" w:rsidRPr="00337135" w:rsidRDefault="00306EC6" w:rsidP="00306EC6">
            <w:pPr>
              <w:jc w:val="center"/>
              <w:rPr>
                <w:rFonts w:eastAsia="Times New Roman" w:cs="Times New Roman"/>
                <w:color w:val="000000"/>
                <w:sz w:val="20"/>
                <w:szCs w:val="20"/>
              </w:rPr>
            </w:pPr>
            <w:r>
              <w:rPr>
                <w:color w:val="000000"/>
                <w:sz w:val="20"/>
                <w:szCs w:val="20"/>
              </w:rPr>
              <w:t>-0.748***</w:t>
            </w:r>
          </w:p>
        </w:tc>
        <w:tc>
          <w:tcPr>
            <w:tcW w:w="1166" w:type="dxa"/>
            <w:tcBorders>
              <w:top w:val="nil"/>
              <w:left w:val="nil"/>
              <w:bottom w:val="nil"/>
              <w:right w:val="nil"/>
            </w:tcBorders>
            <w:shd w:val="clear" w:color="auto" w:fill="auto"/>
            <w:noWrap/>
            <w:vAlign w:val="bottom"/>
            <w:hideMark/>
          </w:tcPr>
          <w:p w14:paraId="2E41E0FD" w14:textId="4B99B79B" w:rsidR="00306EC6" w:rsidRPr="00337135" w:rsidRDefault="00306EC6" w:rsidP="00306EC6">
            <w:pPr>
              <w:jc w:val="center"/>
              <w:rPr>
                <w:rFonts w:eastAsia="Times New Roman" w:cs="Times New Roman"/>
                <w:color w:val="000000"/>
                <w:sz w:val="20"/>
                <w:szCs w:val="20"/>
              </w:rPr>
            </w:pPr>
            <w:r>
              <w:rPr>
                <w:color w:val="000000"/>
                <w:sz w:val="20"/>
                <w:szCs w:val="20"/>
              </w:rPr>
              <w:t>-0.749***</w:t>
            </w:r>
          </w:p>
        </w:tc>
        <w:tc>
          <w:tcPr>
            <w:tcW w:w="1166" w:type="dxa"/>
            <w:tcBorders>
              <w:top w:val="nil"/>
              <w:left w:val="nil"/>
              <w:bottom w:val="nil"/>
              <w:right w:val="nil"/>
            </w:tcBorders>
            <w:shd w:val="clear" w:color="auto" w:fill="auto"/>
            <w:noWrap/>
            <w:vAlign w:val="bottom"/>
            <w:hideMark/>
          </w:tcPr>
          <w:p w14:paraId="30610E79" w14:textId="30D7EEA9" w:rsidR="00306EC6" w:rsidRPr="00337135" w:rsidRDefault="00306EC6" w:rsidP="00306EC6">
            <w:pPr>
              <w:jc w:val="center"/>
              <w:rPr>
                <w:rFonts w:eastAsia="Times New Roman" w:cs="Times New Roman"/>
                <w:color w:val="000000"/>
                <w:sz w:val="20"/>
                <w:szCs w:val="20"/>
              </w:rPr>
            </w:pPr>
            <w:r>
              <w:rPr>
                <w:color w:val="000000"/>
                <w:sz w:val="20"/>
                <w:szCs w:val="20"/>
              </w:rPr>
              <w:t>-0.257**</w:t>
            </w:r>
          </w:p>
        </w:tc>
        <w:tc>
          <w:tcPr>
            <w:tcW w:w="1166" w:type="dxa"/>
            <w:tcBorders>
              <w:top w:val="nil"/>
              <w:left w:val="nil"/>
              <w:bottom w:val="nil"/>
              <w:right w:val="nil"/>
            </w:tcBorders>
            <w:shd w:val="clear" w:color="auto" w:fill="auto"/>
            <w:noWrap/>
            <w:vAlign w:val="bottom"/>
            <w:hideMark/>
          </w:tcPr>
          <w:p w14:paraId="1674F327" w14:textId="7952216C" w:rsidR="00306EC6" w:rsidRPr="00337135" w:rsidRDefault="00306EC6" w:rsidP="00306EC6">
            <w:pPr>
              <w:jc w:val="center"/>
              <w:rPr>
                <w:rFonts w:eastAsia="Times New Roman" w:cs="Times New Roman"/>
                <w:color w:val="000000"/>
                <w:sz w:val="20"/>
                <w:szCs w:val="20"/>
              </w:rPr>
            </w:pPr>
            <w:r>
              <w:rPr>
                <w:color w:val="000000"/>
                <w:sz w:val="20"/>
                <w:szCs w:val="20"/>
              </w:rPr>
              <w:t>-0.254**</w:t>
            </w:r>
          </w:p>
        </w:tc>
        <w:tc>
          <w:tcPr>
            <w:tcW w:w="1166" w:type="dxa"/>
            <w:tcBorders>
              <w:top w:val="nil"/>
              <w:left w:val="nil"/>
              <w:bottom w:val="nil"/>
              <w:right w:val="nil"/>
            </w:tcBorders>
            <w:shd w:val="clear" w:color="auto" w:fill="auto"/>
            <w:noWrap/>
            <w:vAlign w:val="bottom"/>
            <w:hideMark/>
          </w:tcPr>
          <w:p w14:paraId="1FA0E5AE" w14:textId="4B6283AE" w:rsidR="00306EC6" w:rsidRPr="00337135" w:rsidRDefault="00306EC6" w:rsidP="00306EC6">
            <w:pPr>
              <w:jc w:val="center"/>
              <w:rPr>
                <w:rFonts w:eastAsia="Times New Roman" w:cs="Times New Roman"/>
                <w:color w:val="000000"/>
                <w:sz w:val="20"/>
                <w:szCs w:val="20"/>
              </w:rPr>
            </w:pPr>
            <w:r>
              <w:rPr>
                <w:color w:val="000000"/>
                <w:sz w:val="20"/>
                <w:szCs w:val="20"/>
              </w:rPr>
              <w:t>-0.254**</w:t>
            </w:r>
          </w:p>
        </w:tc>
      </w:tr>
      <w:tr w:rsidR="00306EC6" w:rsidRPr="00337135" w14:paraId="71BAA805" w14:textId="77777777" w:rsidTr="00306EC6">
        <w:trPr>
          <w:trHeight w:val="255"/>
        </w:trPr>
        <w:tc>
          <w:tcPr>
            <w:tcW w:w="2000" w:type="dxa"/>
            <w:tcBorders>
              <w:top w:val="nil"/>
              <w:left w:val="nil"/>
              <w:bottom w:val="nil"/>
              <w:right w:val="nil"/>
            </w:tcBorders>
            <w:shd w:val="clear" w:color="auto" w:fill="auto"/>
            <w:noWrap/>
            <w:vAlign w:val="bottom"/>
            <w:hideMark/>
          </w:tcPr>
          <w:p w14:paraId="3295D1A7"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898D467" w14:textId="67BE54E7" w:rsidR="00306EC6" w:rsidRPr="00337135" w:rsidRDefault="00306EC6" w:rsidP="00306EC6">
            <w:pPr>
              <w:jc w:val="center"/>
              <w:rPr>
                <w:rFonts w:eastAsia="Times New Roman" w:cs="Times New Roman"/>
                <w:color w:val="000000"/>
                <w:sz w:val="20"/>
                <w:szCs w:val="20"/>
              </w:rPr>
            </w:pPr>
            <w:r>
              <w:rPr>
                <w:color w:val="000000"/>
                <w:sz w:val="20"/>
                <w:szCs w:val="20"/>
              </w:rPr>
              <w:t>(0.094)</w:t>
            </w:r>
          </w:p>
        </w:tc>
        <w:tc>
          <w:tcPr>
            <w:tcW w:w="1166" w:type="dxa"/>
            <w:tcBorders>
              <w:top w:val="nil"/>
              <w:left w:val="nil"/>
              <w:bottom w:val="nil"/>
              <w:right w:val="nil"/>
            </w:tcBorders>
            <w:shd w:val="clear" w:color="auto" w:fill="auto"/>
            <w:noWrap/>
            <w:vAlign w:val="bottom"/>
            <w:hideMark/>
          </w:tcPr>
          <w:p w14:paraId="5A193A00" w14:textId="2C076D55" w:rsidR="00306EC6" w:rsidRPr="00337135" w:rsidRDefault="00306EC6" w:rsidP="00306EC6">
            <w:pPr>
              <w:jc w:val="center"/>
              <w:rPr>
                <w:rFonts w:eastAsia="Times New Roman" w:cs="Times New Roman"/>
                <w:color w:val="000000"/>
                <w:sz w:val="20"/>
                <w:szCs w:val="20"/>
              </w:rPr>
            </w:pPr>
            <w:r>
              <w:rPr>
                <w:color w:val="000000"/>
                <w:sz w:val="20"/>
                <w:szCs w:val="20"/>
              </w:rPr>
              <w:t>(0.094)</w:t>
            </w:r>
          </w:p>
        </w:tc>
        <w:tc>
          <w:tcPr>
            <w:tcW w:w="1166" w:type="dxa"/>
            <w:tcBorders>
              <w:top w:val="nil"/>
              <w:left w:val="nil"/>
              <w:bottom w:val="nil"/>
              <w:right w:val="nil"/>
            </w:tcBorders>
            <w:shd w:val="clear" w:color="auto" w:fill="auto"/>
            <w:noWrap/>
            <w:vAlign w:val="bottom"/>
            <w:hideMark/>
          </w:tcPr>
          <w:p w14:paraId="14D2EFE3" w14:textId="1B28CF84" w:rsidR="00306EC6" w:rsidRPr="00337135" w:rsidRDefault="00306EC6" w:rsidP="00306EC6">
            <w:pPr>
              <w:jc w:val="center"/>
              <w:rPr>
                <w:rFonts w:eastAsia="Times New Roman" w:cs="Times New Roman"/>
                <w:color w:val="000000"/>
                <w:sz w:val="20"/>
                <w:szCs w:val="20"/>
              </w:rPr>
            </w:pPr>
            <w:r>
              <w:rPr>
                <w:color w:val="000000"/>
                <w:sz w:val="20"/>
                <w:szCs w:val="20"/>
              </w:rPr>
              <w:t>(0.094)</w:t>
            </w:r>
          </w:p>
        </w:tc>
        <w:tc>
          <w:tcPr>
            <w:tcW w:w="1166" w:type="dxa"/>
            <w:tcBorders>
              <w:top w:val="nil"/>
              <w:left w:val="nil"/>
              <w:bottom w:val="nil"/>
              <w:right w:val="nil"/>
            </w:tcBorders>
            <w:shd w:val="clear" w:color="auto" w:fill="auto"/>
            <w:noWrap/>
            <w:vAlign w:val="bottom"/>
            <w:hideMark/>
          </w:tcPr>
          <w:p w14:paraId="7B49A1CA" w14:textId="2FEC4266" w:rsidR="00306EC6" w:rsidRPr="00337135" w:rsidRDefault="00306EC6" w:rsidP="00306EC6">
            <w:pPr>
              <w:jc w:val="center"/>
              <w:rPr>
                <w:rFonts w:eastAsia="Times New Roman" w:cs="Times New Roman"/>
                <w:color w:val="000000"/>
                <w:sz w:val="20"/>
                <w:szCs w:val="20"/>
              </w:rPr>
            </w:pPr>
            <w:r>
              <w:rPr>
                <w:color w:val="000000"/>
                <w:sz w:val="20"/>
                <w:szCs w:val="20"/>
              </w:rPr>
              <w:t>(0.120)</w:t>
            </w:r>
          </w:p>
        </w:tc>
        <w:tc>
          <w:tcPr>
            <w:tcW w:w="1166" w:type="dxa"/>
            <w:tcBorders>
              <w:top w:val="nil"/>
              <w:left w:val="nil"/>
              <w:bottom w:val="nil"/>
              <w:right w:val="nil"/>
            </w:tcBorders>
            <w:shd w:val="clear" w:color="auto" w:fill="auto"/>
            <w:noWrap/>
            <w:vAlign w:val="bottom"/>
            <w:hideMark/>
          </w:tcPr>
          <w:p w14:paraId="52D0C9C7" w14:textId="691E17DB" w:rsidR="00306EC6" w:rsidRPr="00337135" w:rsidRDefault="00306EC6" w:rsidP="00306EC6">
            <w:pPr>
              <w:jc w:val="center"/>
              <w:rPr>
                <w:rFonts w:eastAsia="Times New Roman" w:cs="Times New Roman"/>
                <w:color w:val="000000"/>
                <w:sz w:val="20"/>
                <w:szCs w:val="20"/>
              </w:rPr>
            </w:pPr>
            <w:r>
              <w:rPr>
                <w:color w:val="000000"/>
                <w:sz w:val="20"/>
                <w:szCs w:val="20"/>
              </w:rPr>
              <w:t>(0.120)</w:t>
            </w:r>
          </w:p>
        </w:tc>
        <w:tc>
          <w:tcPr>
            <w:tcW w:w="1166" w:type="dxa"/>
            <w:tcBorders>
              <w:top w:val="nil"/>
              <w:left w:val="nil"/>
              <w:bottom w:val="nil"/>
              <w:right w:val="nil"/>
            </w:tcBorders>
            <w:shd w:val="clear" w:color="auto" w:fill="auto"/>
            <w:noWrap/>
            <w:vAlign w:val="bottom"/>
            <w:hideMark/>
          </w:tcPr>
          <w:p w14:paraId="2ED9B9D3" w14:textId="30AC63CC" w:rsidR="00306EC6" w:rsidRPr="00337135" w:rsidRDefault="00306EC6" w:rsidP="00306EC6">
            <w:pPr>
              <w:jc w:val="center"/>
              <w:rPr>
                <w:rFonts w:eastAsia="Times New Roman" w:cs="Times New Roman"/>
                <w:color w:val="000000"/>
                <w:sz w:val="20"/>
                <w:szCs w:val="20"/>
              </w:rPr>
            </w:pPr>
            <w:r>
              <w:rPr>
                <w:color w:val="000000"/>
                <w:sz w:val="20"/>
                <w:szCs w:val="20"/>
              </w:rPr>
              <w:t>(0.120)</w:t>
            </w:r>
          </w:p>
        </w:tc>
      </w:tr>
      <w:tr w:rsidR="00306EC6" w:rsidRPr="00337135" w14:paraId="12396995" w14:textId="77777777" w:rsidTr="00306EC6">
        <w:trPr>
          <w:trHeight w:val="255"/>
        </w:trPr>
        <w:tc>
          <w:tcPr>
            <w:tcW w:w="2000" w:type="dxa"/>
            <w:tcBorders>
              <w:top w:val="nil"/>
              <w:left w:val="nil"/>
              <w:bottom w:val="nil"/>
              <w:right w:val="nil"/>
            </w:tcBorders>
            <w:shd w:val="clear" w:color="auto" w:fill="auto"/>
            <w:noWrap/>
            <w:vAlign w:val="bottom"/>
            <w:hideMark/>
          </w:tcPr>
          <w:p w14:paraId="20CCB5E3" w14:textId="43C007AB" w:rsidR="00306EC6" w:rsidRPr="00337135" w:rsidRDefault="00306EC6" w:rsidP="00306EC6">
            <w:pPr>
              <w:rPr>
                <w:rFonts w:eastAsia="Times New Roman" w:cs="Times New Roman"/>
                <w:b/>
                <w:bCs/>
                <w:color w:val="000000"/>
                <w:sz w:val="20"/>
                <w:szCs w:val="20"/>
              </w:rPr>
            </w:pPr>
            <w:r>
              <w:rPr>
                <w:b/>
                <w:bCs/>
                <w:color w:val="000000"/>
                <w:sz w:val="20"/>
                <w:szCs w:val="20"/>
              </w:rPr>
              <w:t>DL x Gr 4 Summer</w:t>
            </w:r>
          </w:p>
        </w:tc>
        <w:tc>
          <w:tcPr>
            <w:tcW w:w="1166" w:type="dxa"/>
            <w:tcBorders>
              <w:top w:val="nil"/>
              <w:left w:val="nil"/>
              <w:bottom w:val="nil"/>
              <w:right w:val="nil"/>
            </w:tcBorders>
            <w:shd w:val="clear" w:color="auto" w:fill="auto"/>
            <w:noWrap/>
            <w:vAlign w:val="bottom"/>
            <w:hideMark/>
          </w:tcPr>
          <w:p w14:paraId="686A98DC" w14:textId="5C601691" w:rsidR="00306EC6" w:rsidRPr="00337135" w:rsidRDefault="00306EC6" w:rsidP="00306EC6">
            <w:pPr>
              <w:jc w:val="center"/>
              <w:rPr>
                <w:rFonts w:eastAsia="Times New Roman" w:cs="Times New Roman"/>
                <w:b/>
                <w:bCs/>
                <w:color w:val="000000"/>
                <w:sz w:val="20"/>
                <w:szCs w:val="20"/>
              </w:rPr>
            </w:pPr>
            <w:r>
              <w:rPr>
                <w:b/>
                <w:bCs/>
                <w:color w:val="000000"/>
                <w:sz w:val="20"/>
                <w:szCs w:val="20"/>
              </w:rPr>
              <w:t>-0.692***</w:t>
            </w:r>
          </w:p>
        </w:tc>
        <w:tc>
          <w:tcPr>
            <w:tcW w:w="1166" w:type="dxa"/>
            <w:tcBorders>
              <w:top w:val="nil"/>
              <w:left w:val="nil"/>
              <w:bottom w:val="nil"/>
              <w:right w:val="nil"/>
            </w:tcBorders>
            <w:shd w:val="clear" w:color="auto" w:fill="auto"/>
            <w:noWrap/>
            <w:vAlign w:val="bottom"/>
            <w:hideMark/>
          </w:tcPr>
          <w:p w14:paraId="5C771021" w14:textId="7B8B35C9" w:rsidR="00306EC6" w:rsidRPr="00337135" w:rsidRDefault="00306EC6" w:rsidP="00306EC6">
            <w:pPr>
              <w:jc w:val="center"/>
              <w:rPr>
                <w:rFonts w:eastAsia="Times New Roman" w:cs="Times New Roman"/>
                <w:b/>
                <w:bCs/>
                <w:color w:val="000000"/>
                <w:sz w:val="20"/>
                <w:szCs w:val="20"/>
              </w:rPr>
            </w:pPr>
            <w:r>
              <w:rPr>
                <w:b/>
                <w:bCs/>
                <w:color w:val="000000"/>
                <w:sz w:val="20"/>
                <w:szCs w:val="20"/>
              </w:rPr>
              <w:t>-0.694***</w:t>
            </w:r>
          </w:p>
        </w:tc>
        <w:tc>
          <w:tcPr>
            <w:tcW w:w="1166" w:type="dxa"/>
            <w:tcBorders>
              <w:top w:val="nil"/>
              <w:left w:val="nil"/>
              <w:bottom w:val="nil"/>
              <w:right w:val="nil"/>
            </w:tcBorders>
            <w:shd w:val="clear" w:color="auto" w:fill="auto"/>
            <w:noWrap/>
            <w:vAlign w:val="bottom"/>
            <w:hideMark/>
          </w:tcPr>
          <w:p w14:paraId="5EB2A484" w14:textId="2EE19DD2" w:rsidR="00306EC6" w:rsidRPr="00337135" w:rsidRDefault="00306EC6" w:rsidP="00306EC6">
            <w:pPr>
              <w:jc w:val="center"/>
              <w:rPr>
                <w:rFonts w:eastAsia="Times New Roman" w:cs="Times New Roman"/>
                <w:b/>
                <w:bCs/>
                <w:color w:val="000000"/>
                <w:sz w:val="20"/>
                <w:szCs w:val="20"/>
              </w:rPr>
            </w:pPr>
            <w:r>
              <w:rPr>
                <w:b/>
                <w:bCs/>
                <w:color w:val="000000"/>
                <w:sz w:val="20"/>
                <w:szCs w:val="20"/>
              </w:rPr>
              <w:t>-0.694***</w:t>
            </w:r>
          </w:p>
        </w:tc>
        <w:tc>
          <w:tcPr>
            <w:tcW w:w="1166" w:type="dxa"/>
            <w:tcBorders>
              <w:top w:val="nil"/>
              <w:left w:val="nil"/>
              <w:bottom w:val="nil"/>
              <w:right w:val="nil"/>
            </w:tcBorders>
            <w:shd w:val="clear" w:color="auto" w:fill="auto"/>
            <w:noWrap/>
            <w:vAlign w:val="bottom"/>
            <w:hideMark/>
          </w:tcPr>
          <w:p w14:paraId="065E56B1" w14:textId="10BB3A4B" w:rsidR="00306EC6" w:rsidRPr="00337135" w:rsidRDefault="00306EC6" w:rsidP="00306EC6">
            <w:pPr>
              <w:jc w:val="center"/>
              <w:rPr>
                <w:rFonts w:eastAsia="Times New Roman" w:cs="Times New Roman"/>
                <w:b/>
                <w:bCs/>
                <w:color w:val="000000"/>
                <w:sz w:val="20"/>
                <w:szCs w:val="20"/>
              </w:rPr>
            </w:pPr>
            <w:r>
              <w:rPr>
                <w:b/>
                <w:bCs/>
                <w:color w:val="000000"/>
                <w:sz w:val="20"/>
                <w:szCs w:val="20"/>
              </w:rPr>
              <w:t>0.163</w:t>
            </w:r>
          </w:p>
        </w:tc>
        <w:tc>
          <w:tcPr>
            <w:tcW w:w="1166" w:type="dxa"/>
            <w:tcBorders>
              <w:top w:val="nil"/>
              <w:left w:val="nil"/>
              <w:bottom w:val="nil"/>
              <w:right w:val="nil"/>
            </w:tcBorders>
            <w:shd w:val="clear" w:color="auto" w:fill="auto"/>
            <w:noWrap/>
            <w:vAlign w:val="bottom"/>
            <w:hideMark/>
          </w:tcPr>
          <w:p w14:paraId="6C3065A4" w14:textId="252D4F49" w:rsidR="00306EC6" w:rsidRPr="00337135" w:rsidRDefault="00306EC6" w:rsidP="00306EC6">
            <w:pPr>
              <w:jc w:val="center"/>
              <w:rPr>
                <w:rFonts w:eastAsia="Times New Roman" w:cs="Times New Roman"/>
                <w:b/>
                <w:bCs/>
                <w:color w:val="000000"/>
                <w:sz w:val="20"/>
                <w:szCs w:val="20"/>
              </w:rPr>
            </w:pPr>
            <w:r>
              <w:rPr>
                <w:b/>
                <w:bCs/>
                <w:color w:val="000000"/>
                <w:sz w:val="20"/>
                <w:szCs w:val="20"/>
              </w:rPr>
              <w:t>0.158</w:t>
            </w:r>
          </w:p>
        </w:tc>
        <w:tc>
          <w:tcPr>
            <w:tcW w:w="1166" w:type="dxa"/>
            <w:tcBorders>
              <w:top w:val="nil"/>
              <w:left w:val="nil"/>
              <w:bottom w:val="nil"/>
              <w:right w:val="nil"/>
            </w:tcBorders>
            <w:shd w:val="clear" w:color="auto" w:fill="auto"/>
            <w:noWrap/>
            <w:vAlign w:val="bottom"/>
            <w:hideMark/>
          </w:tcPr>
          <w:p w14:paraId="17B83E44" w14:textId="0A2C02F3" w:rsidR="00306EC6" w:rsidRPr="00337135" w:rsidRDefault="00306EC6" w:rsidP="00306EC6">
            <w:pPr>
              <w:jc w:val="center"/>
              <w:rPr>
                <w:rFonts w:eastAsia="Times New Roman" w:cs="Times New Roman"/>
                <w:b/>
                <w:bCs/>
                <w:color w:val="000000"/>
                <w:sz w:val="20"/>
                <w:szCs w:val="20"/>
              </w:rPr>
            </w:pPr>
            <w:r>
              <w:rPr>
                <w:b/>
                <w:bCs/>
                <w:color w:val="000000"/>
                <w:sz w:val="20"/>
                <w:szCs w:val="20"/>
              </w:rPr>
              <w:t>0.158</w:t>
            </w:r>
          </w:p>
        </w:tc>
      </w:tr>
      <w:tr w:rsidR="00306EC6" w:rsidRPr="00337135" w14:paraId="0ED70CD8" w14:textId="77777777" w:rsidTr="00306EC6">
        <w:trPr>
          <w:trHeight w:val="255"/>
        </w:trPr>
        <w:tc>
          <w:tcPr>
            <w:tcW w:w="2000" w:type="dxa"/>
            <w:tcBorders>
              <w:top w:val="nil"/>
              <w:left w:val="nil"/>
              <w:bottom w:val="nil"/>
              <w:right w:val="nil"/>
            </w:tcBorders>
            <w:shd w:val="clear" w:color="auto" w:fill="auto"/>
            <w:noWrap/>
            <w:vAlign w:val="bottom"/>
            <w:hideMark/>
          </w:tcPr>
          <w:p w14:paraId="3F94396B"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346B91DE" w14:textId="3F764BDA" w:rsidR="00306EC6" w:rsidRPr="00337135" w:rsidRDefault="00306EC6" w:rsidP="00306EC6">
            <w:pPr>
              <w:jc w:val="center"/>
              <w:rPr>
                <w:rFonts w:eastAsia="Times New Roman" w:cs="Times New Roman"/>
                <w:color w:val="000000"/>
                <w:sz w:val="20"/>
                <w:szCs w:val="20"/>
              </w:rPr>
            </w:pPr>
            <w:r>
              <w:rPr>
                <w:color w:val="000000"/>
                <w:sz w:val="20"/>
                <w:szCs w:val="20"/>
              </w:rPr>
              <w:t>(0.127)</w:t>
            </w:r>
          </w:p>
        </w:tc>
        <w:tc>
          <w:tcPr>
            <w:tcW w:w="1166" w:type="dxa"/>
            <w:tcBorders>
              <w:top w:val="nil"/>
              <w:left w:val="nil"/>
              <w:bottom w:val="nil"/>
              <w:right w:val="nil"/>
            </w:tcBorders>
            <w:shd w:val="clear" w:color="auto" w:fill="auto"/>
            <w:noWrap/>
            <w:vAlign w:val="bottom"/>
            <w:hideMark/>
          </w:tcPr>
          <w:p w14:paraId="1DC7BCE1" w14:textId="5BFF8EA5" w:rsidR="00306EC6" w:rsidRPr="00337135" w:rsidRDefault="00306EC6" w:rsidP="00306EC6">
            <w:pPr>
              <w:jc w:val="center"/>
              <w:rPr>
                <w:rFonts w:eastAsia="Times New Roman" w:cs="Times New Roman"/>
                <w:color w:val="000000"/>
                <w:sz w:val="20"/>
                <w:szCs w:val="20"/>
              </w:rPr>
            </w:pPr>
            <w:r>
              <w:rPr>
                <w:color w:val="000000"/>
                <w:sz w:val="20"/>
                <w:szCs w:val="20"/>
              </w:rPr>
              <w:t>(0.127)</w:t>
            </w:r>
          </w:p>
        </w:tc>
        <w:tc>
          <w:tcPr>
            <w:tcW w:w="1166" w:type="dxa"/>
            <w:tcBorders>
              <w:top w:val="nil"/>
              <w:left w:val="nil"/>
              <w:bottom w:val="nil"/>
              <w:right w:val="nil"/>
            </w:tcBorders>
            <w:shd w:val="clear" w:color="auto" w:fill="auto"/>
            <w:noWrap/>
            <w:vAlign w:val="bottom"/>
            <w:hideMark/>
          </w:tcPr>
          <w:p w14:paraId="12A5C54E" w14:textId="67BA9153" w:rsidR="00306EC6" w:rsidRPr="00337135" w:rsidRDefault="00306EC6" w:rsidP="00306EC6">
            <w:pPr>
              <w:jc w:val="center"/>
              <w:rPr>
                <w:rFonts w:eastAsia="Times New Roman" w:cs="Times New Roman"/>
                <w:color w:val="000000"/>
                <w:sz w:val="20"/>
                <w:szCs w:val="20"/>
              </w:rPr>
            </w:pPr>
            <w:r>
              <w:rPr>
                <w:color w:val="000000"/>
                <w:sz w:val="20"/>
                <w:szCs w:val="20"/>
              </w:rPr>
              <w:t>(0.127)</w:t>
            </w:r>
          </w:p>
        </w:tc>
        <w:tc>
          <w:tcPr>
            <w:tcW w:w="1166" w:type="dxa"/>
            <w:tcBorders>
              <w:top w:val="nil"/>
              <w:left w:val="nil"/>
              <w:bottom w:val="nil"/>
              <w:right w:val="nil"/>
            </w:tcBorders>
            <w:shd w:val="clear" w:color="auto" w:fill="auto"/>
            <w:noWrap/>
            <w:vAlign w:val="bottom"/>
            <w:hideMark/>
          </w:tcPr>
          <w:p w14:paraId="7C8EF256" w14:textId="1228BB4B" w:rsidR="00306EC6" w:rsidRPr="00337135" w:rsidRDefault="00306EC6" w:rsidP="00306EC6">
            <w:pPr>
              <w:jc w:val="center"/>
              <w:rPr>
                <w:rFonts w:eastAsia="Times New Roman" w:cs="Times New Roman"/>
                <w:color w:val="000000"/>
                <w:sz w:val="20"/>
                <w:szCs w:val="20"/>
              </w:rPr>
            </w:pPr>
            <w:r>
              <w:rPr>
                <w:color w:val="000000"/>
                <w:sz w:val="20"/>
                <w:szCs w:val="20"/>
              </w:rPr>
              <w:t>(0.129)</w:t>
            </w:r>
          </w:p>
        </w:tc>
        <w:tc>
          <w:tcPr>
            <w:tcW w:w="1166" w:type="dxa"/>
            <w:tcBorders>
              <w:top w:val="nil"/>
              <w:left w:val="nil"/>
              <w:bottom w:val="nil"/>
              <w:right w:val="nil"/>
            </w:tcBorders>
            <w:shd w:val="clear" w:color="auto" w:fill="auto"/>
            <w:noWrap/>
            <w:vAlign w:val="bottom"/>
            <w:hideMark/>
          </w:tcPr>
          <w:p w14:paraId="12F3C581" w14:textId="5A3C859A" w:rsidR="00306EC6" w:rsidRPr="00337135" w:rsidRDefault="00306EC6" w:rsidP="00306EC6">
            <w:pPr>
              <w:jc w:val="center"/>
              <w:rPr>
                <w:rFonts w:eastAsia="Times New Roman" w:cs="Times New Roman"/>
                <w:color w:val="000000"/>
                <w:sz w:val="20"/>
                <w:szCs w:val="20"/>
              </w:rPr>
            </w:pPr>
            <w:r>
              <w:rPr>
                <w:color w:val="000000"/>
                <w:sz w:val="20"/>
                <w:szCs w:val="20"/>
              </w:rPr>
              <w:t>(0.129)</w:t>
            </w:r>
          </w:p>
        </w:tc>
        <w:tc>
          <w:tcPr>
            <w:tcW w:w="1166" w:type="dxa"/>
            <w:tcBorders>
              <w:top w:val="nil"/>
              <w:left w:val="nil"/>
              <w:bottom w:val="nil"/>
              <w:right w:val="nil"/>
            </w:tcBorders>
            <w:shd w:val="clear" w:color="auto" w:fill="auto"/>
            <w:noWrap/>
            <w:vAlign w:val="bottom"/>
            <w:hideMark/>
          </w:tcPr>
          <w:p w14:paraId="2CECADDF" w14:textId="0FC22F32" w:rsidR="00306EC6" w:rsidRPr="00337135" w:rsidRDefault="00306EC6" w:rsidP="00306EC6">
            <w:pPr>
              <w:jc w:val="center"/>
              <w:rPr>
                <w:rFonts w:eastAsia="Times New Roman" w:cs="Times New Roman"/>
                <w:color w:val="000000"/>
                <w:sz w:val="20"/>
                <w:szCs w:val="20"/>
              </w:rPr>
            </w:pPr>
            <w:r>
              <w:rPr>
                <w:color w:val="000000"/>
                <w:sz w:val="20"/>
                <w:szCs w:val="20"/>
              </w:rPr>
              <w:t>(0.129)</w:t>
            </w:r>
          </w:p>
        </w:tc>
      </w:tr>
      <w:tr w:rsidR="00306EC6" w:rsidRPr="00337135" w14:paraId="052DB488" w14:textId="77777777" w:rsidTr="00306EC6">
        <w:trPr>
          <w:trHeight w:val="255"/>
        </w:trPr>
        <w:tc>
          <w:tcPr>
            <w:tcW w:w="2000" w:type="dxa"/>
            <w:tcBorders>
              <w:top w:val="nil"/>
              <w:left w:val="nil"/>
              <w:bottom w:val="nil"/>
              <w:right w:val="nil"/>
            </w:tcBorders>
            <w:shd w:val="clear" w:color="auto" w:fill="auto"/>
            <w:noWrap/>
            <w:vAlign w:val="bottom"/>
            <w:hideMark/>
          </w:tcPr>
          <w:p w14:paraId="6B148339" w14:textId="3C86A949" w:rsidR="00306EC6" w:rsidRPr="00337135" w:rsidRDefault="00306EC6" w:rsidP="00306EC6">
            <w:pPr>
              <w:rPr>
                <w:rFonts w:eastAsia="Times New Roman" w:cs="Times New Roman"/>
                <w:color w:val="000000"/>
                <w:sz w:val="20"/>
                <w:szCs w:val="20"/>
              </w:rPr>
            </w:pPr>
            <w:r>
              <w:rPr>
                <w:color w:val="000000"/>
                <w:sz w:val="20"/>
                <w:szCs w:val="20"/>
              </w:rPr>
              <w:t>Gr 5 AY</w:t>
            </w:r>
          </w:p>
        </w:tc>
        <w:tc>
          <w:tcPr>
            <w:tcW w:w="1166" w:type="dxa"/>
            <w:tcBorders>
              <w:top w:val="nil"/>
              <w:left w:val="nil"/>
              <w:bottom w:val="nil"/>
              <w:right w:val="nil"/>
            </w:tcBorders>
            <w:shd w:val="clear" w:color="auto" w:fill="auto"/>
            <w:noWrap/>
            <w:vAlign w:val="bottom"/>
            <w:hideMark/>
          </w:tcPr>
          <w:p w14:paraId="0CFB09DC" w14:textId="0400D9AA" w:rsidR="00306EC6" w:rsidRPr="00337135" w:rsidRDefault="00306EC6" w:rsidP="00306EC6">
            <w:pPr>
              <w:jc w:val="center"/>
              <w:rPr>
                <w:rFonts w:eastAsia="Times New Roman" w:cs="Times New Roman"/>
                <w:color w:val="000000"/>
                <w:sz w:val="20"/>
                <w:szCs w:val="20"/>
              </w:rPr>
            </w:pPr>
            <w:r>
              <w:rPr>
                <w:color w:val="000000"/>
                <w:sz w:val="20"/>
                <w:szCs w:val="20"/>
              </w:rPr>
              <w:t>0.926***</w:t>
            </w:r>
          </w:p>
        </w:tc>
        <w:tc>
          <w:tcPr>
            <w:tcW w:w="1166" w:type="dxa"/>
            <w:tcBorders>
              <w:top w:val="nil"/>
              <w:left w:val="nil"/>
              <w:bottom w:val="nil"/>
              <w:right w:val="nil"/>
            </w:tcBorders>
            <w:shd w:val="clear" w:color="auto" w:fill="auto"/>
            <w:noWrap/>
            <w:vAlign w:val="bottom"/>
            <w:hideMark/>
          </w:tcPr>
          <w:p w14:paraId="15B602FC" w14:textId="4E98886F" w:rsidR="00306EC6" w:rsidRPr="00337135" w:rsidRDefault="00306EC6" w:rsidP="00306EC6">
            <w:pPr>
              <w:jc w:val="center"/>
              <w:rPr>
                <w:rFonts w:eastAsia="Times New Roman" w:cs="Times New Roman"/>
                <w:color w:val="000000"/>
                <w:sz w:val="20"/>
                <w:szCs w:val="20"/>
              </w:rPr>
            </w:pPr>
            <w:r>
              <w:rPr>
                <w:color w:val="000000"/>
                <w:sz w:val="20"/>
                <w:szCs w:val="20"/>
              </w:rPr>
              <w:t>0.925***</w:t>
            </w:r>
          </w:p>
        </w:tc>
        <w:tc>
          <w:tcPr>
            <w:tcW w:w="1166" w:type="dxa"/>
            <w:tcBorders>
              <w:top w:val="nil"/>
              <w:left w:val="nil"/>
              <w:bottom w:val="nil"/>
              <w:right w:val="nil"/>
            </w:tcBorders>
            <w:shd w:val="clear" w:color="auto" w:fill="auto"/>
            <w:noWrap/>
            <w:vAlign w:val="bottom"/>
            <w:hideMark/>
          </w:tcPr>
          <w:p w14:paraId="029D2AA8" w14:textId="2019A865" w:rsidR="00306EC6" w:rsidRPr="00337135" w:rsidRDefault="00306EC6" w:rsidP="00306EC6">
            <w:pPr>
              <w:jc w:val="center"/>
              <w:rPr>
                <w:rFonts w:eastAsia="Times New Roman" w:cs="Times New Roman"/>
                <w:color w:val="000000"/>
                <w:sz w:val="20"/>
                <w:szCs w:val="20"/>
              </w:rPr>
            </w:pPr>
            <w:r>
              <w:rPr>
                <w:color w:val="000000"/>
                <w:sz w:val="20"/>
                <w:szCs w:val="20"/>
              </w:rPr>
              <w:t>0.925***</w:t>
            </w:r>
          </w:p>
        </w:tc>
        <w:tc>
          <w:tcPr>
            <w:tcW w:w="1166" w:type="dxa"/>
            <w:tcBorders>
              <w:top w:val="nil"/>
              <w:left w:val="nil"/>
              <w:bottom w:val="nil"/>
              <w:right w:val="nil"/>
            </w:tcBorders>
            <w:shd w:val="clear" w:color="auto" w:fill="auto"/>
            <w:noWrap/>
            <w:vAlign w:val="bottom"/>
            <w:hideMark/>
          </w:tcPr>
          <w:p w14:paraId="627A2FD8" w14:textId="184B2DCE" w:rsidR="00306EC6" w:rsidRPr="00337135" w:rsidRDefault="00306EC6" w:rsidP="00306EC6">
            <w:pPr>
              <w:jc w:val="center"/>
              <w:rPr>
                <w:rFonts w:eastAsia="Times New Roman" w:cs="Times New Roman"/>
                <w:color w:val="000000"/>
                <w:sz w:val="20"/>
                <w:szCs w:val="20"/>
              </w:rPr>
            </w:pPr>
            <w:r>
              <w:rPr>
                <w:color w:val="000000"/>
                <w:sz w:val="20"/>
                <w:szCs w:val="20"/>
              </w:rPr>
              <w:t>0.686***</w:t>
            </w:r>
          </w:p>
        </w:tc>
        <w:tc>
          <w:tcPr>
            <w:tcW w:w="1166" w:type="dxa"/>
            <w:tcBorders>
              <w:top w:val="nil"/>
              <w:left w:val="nil"/>
              <w:bottom w:val="nil"/>
              <w:right w:val="nil"/>
            </w:tcBorders>
            <w:shd w:val="clear" w:color="auto" w:fill="auto"/>
            <w:noWrap/>
            <w:vAlign w:val="bottom"/>
            <w:hideMark/>
          </w:tcPr>
          <w:p w14:paraId="048A4FE2" w14:textId="1B2547B7" w:rsidR="00306EC6" w:rsidRPr="00337135" w:rsidRDefault="00306EC6" w:rsidP="00306EC6">
            <w:pPr>
              <w:jc w:val="center"/>
              <w:rPr>
                <w:rFonts w:eastAsia="Times New Roman" w:cs="Times New Roman"/>
                <w:color w:val="000000"/>
                <w:sz w:val="20"/>
                <w:szCs w:val="20"/>
              </w:rPr>
            </w:pPr>
            <w:r>
              <w:rPr>
                <w:color w:val="000000"/>
                <w:sz w:val="20"/>
                <w:szCs w:val="20"/>
              </w:rPr>
              <w:t>0.686***</w:t>
            </w:r>
          </w:p>
        </w:tc>
        <w:tc>
          <w:tcPr>
            <w:tcW w:w="1166" w:type="dxa"/>
            <w:tcBorders>
              <w:top w:val="nil"/>
              <w:left w:val="nil"/>
              <w:bottom w:val="nil"/>
              <w:right w:val="nil"/>
            </w:tcBorders>
            <w:shd w:val="clear" w:color="auto" w:fill="auto"/>
            <w:noWrap/>
            <w:vAlign w:val="bottom"/>
            <w:hideMark/>
          </w:tcPr>
          <w:p w14:paraId="4927567C" w14:textId="3E646FC7" w:rsidR="00306EC6" w:rsidRPr="00337135" w:rsidRDefault="00306EC6" w:rsidP="00306EC6">
            <w:pPr>
              <w:jc w:val="center"/>
              <w:rPr>
                <w:rFonts w:eastAsia="Times New Roman" w:cs="Times New Roman"/>
                <w:color w:val="000000"/>
                <w:sz w:val="20"/>
                <w:szCs w:val="20"/>
              </w:rPr>
            </w:pPr>
            <w:r>
              <w:rPr>
                <w:color w:val="000000"/>
                <w:sz w:val="20"/>
                <w:szCs w:val="20"/>
              </w:rPr>
              <w:t>0.686***</w:t>
            </w:r>
          </w:p>
        </w:tc>
      </w:tr>
      <w:tr w:rsidR="00306EC6" w:rsidRPr="00337135" w14:paraId="13D4454E" w14:textId="77777777" w:rsidTr="00306EC6">
        <w:trPr>
          <w:trHeight w:val="255"/>
        </w:trPr>
        <w:tc>
          <w:tcPr>
            <w:tcW w:w="2000" w:type="dxa"/>
            <w:tcBorders>
              <w:top w:val="nil"/>
              <w:left w:val="nil"/>
              <w:bottom w:val="nil"/>
              <w:right w:val="nil"/>
            </w:tcBorders>
            <w:shd w:val="clear" w:color="auto" w:fill="auto"/>
            <w:noWrap/>
            <w:vAlign w:val="bottom"/>
            <w:hideMark/>
          </w:tcPr>
          <w:p w14:paraId="457384F2"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7BC012F3" w14:textId="40DD72F2" w:rsidR="00306EC6" w:rsidRPr="00337135" w:rsidRDefault="00306EC6" w:rsidP="00306EC6">
            <w:pPr>
              <w:jc w:val="center"/>
              <w:rPr>
                <w:rFonts w:eastAsia="Times New Roman" w:cs="Times New Roman"/>
                <w:color w:val="000000"/>
                <w:sz w:val="20"/>
                <w:szCs w:val="20"/>
              </w:rPr>
            </w:pPr>
            <w:r>
              <w:rPr>
                <w:color w:val="000000"/>
                <w:sz w:val="20"/>
                <w:szCs w:val="20"/>
              </w:rPr>
              <w:t>(0.037)</w:t>
            </w:r>
          </w:p>
        </w:tc>
        <w:tc>
          <w:tcPr>
            <w:tcW w:w="1166" w:type="dxa"/>
            <w:tcBorders>
              <w:top w:val="nil"/>
              <w:left w:val="nil"/>
              <w:bottom w:val="nil"/>
              <w:right w:val="nil"/>
            </w:tcBorders>
            <w:shd w:val="clear" w:color="auto" w:fill="auto"/>
            <w:noWrap/>
            <w:vAlign w:val="bottom"/>
            <w:hideMark/>
          </w:tcPr>
          <w:p w14:paraId="12A3E8B8" w14:textId="41B92D5E" w:rsidR="00306EC6" w:rsidRPr="00337135" w:rsidRDefault="00306EC6" w:rsidP="00306EC6">
            <w:pPr>
              <w:jc w:val="center"/>
              <w:rPr>
                <w:rFonts w:eastAsia="Times New Roman" w:cs="Times New Roman"/>
                <w:color w:val="000000"/>
                <w:sz w:val="20"/>
                <w:szCs w:val="20"/>
              </w:rPr>
            </w:pPr>
            <w:r>
              <w:rPr>
                <w:color w:val="000000"/>
                <w:sz w:val="20"/>
                <w:szCs w:val="20"/>
              </w:rPr>
              <w:t>(0.037)</w:t>
            </w:r>
          </w:p>
        </w:tc>
        <w:tc>
          <w:tcPr>
            <w:tcW w:w="1166" w:type="dxa"/>
            <w:tcBorders>
              <w:top w:val="nil"/>
              <w:left w:val="nil"/>
              <w:bottom w:val="nil"/>
              <w:right w:val="nil"/>
            </w:tcBorders>
            <w:shd w:val="clear" w:color="auto" w:fill="auto"/>
            <w:noWrap/>
            <w:vAlign w:val="bottom"/>
            <w:hideMark/>
          </w:tcPr>
          <w:p w14:paraId="352398CF" w14:textId="584F155B" w:rsidR="00306EC6" w:rsidRPr="00337135" w:rsidRDefault="00306EC6" w:rsidP="00306EC6">
            <w:pPr>
              <w:jc w:val="center"/>
              <w:rPr>
                <w:rFonts w:eastAsia="Times New Roman" w:cs="Times New Roman"/>
                <w:color w:val="000000"/>
                <w:sz w:val="20"/>
                <w:szCs w:val="20"/>
              </w:rPr>
            </w:pPr>
            <w:r>
              <w:rPr>
                <w:color w:val="000000"/>
                <w:sz w:val="20"/>
                <w:szCs w:val="20"/>
              </w:rPr>
              <w:t>(0.037)</w:t>
            </w:r>
          </w:p>
        </w:tc>
        <w:tc>
          <w:tcPr>
            <w:tcW w:w="1166" w:type="dxa"/>
            <w:tcBorders>
              <w:top w:val="nil"/>
              <w:left w:val="nil"/>
              <w:bottom w:val="nil"/>
              <w:right w:val="nil"/>
            </w:tcBorders>
            <w:shd w:val="clear" w:color="auto" w:fill="auto"/>
            <w:noWrap/>
            <w:vAlign w:val="bottom"/>
            <w:hideMark/>
          </w:tcPr>
          <w:p w14:paraId="31AA1F5B" w14:textId="46CBC6D9" w:rsidR="00306EC6" w:rsidRPr="00337135" w:rsidRDefault="00306EC6" w:rsidP="00306EC6">
            <w:pPr>
              <w:jc w:val="center"/>
              <w:rPr>
                <w:rFonts w:eastAsia="Times New Roman" w:cs="Times New Roman"/>
                <w:color w:val="000000"/>
                <w:sz w:val="20"/>
                <w:szCs w:val="20"/>
              </w:rPr>
            </w:pPr>
            <w:r>
              <w:rPr>
                <w:color w:val="000000"/>
                <w:sz w:val="20"/>
                <w:szCs w:val="20"/>
              </w:rPr>
              <w:t>(0.043)</w:t>
            </w:r>
          </w:p>
        </w:tc>
        <w:tc>
          <w:tcPr>
            <w:tcW w:w="1166" w:type="dxa"/>
            <w:tcBorders>
              <w:top w:val="nil"/>
              <w:left w:val="nil"/>
              <w:bottom w:val="nil"/>
              <w:right w:val="nil"/>
            </w:tcBorders>
            <w:shd w:val="clear" w:color="auto" w:fill="auto"/>
            <w:noWrap/>
            <w:vAlign w:val="bottom"/>
            <w:hideMark/>
          </w:tcPr>
          <w:p w14:paraId="6681BDF3" w14:textId="751BD2AD" w:rsidR="00306EC6" w:rsidRPr="00337135" w:rsidRDefault="00306EC6" w:rsidP="00306EC6">
            <w:pPr>
              <w:jc w:val="center"/>
              <w:rPr>
                <w:rFonts w:eastAsia="Times New Roman" w:cs="Times New Roman"/>
                <w:color w:val="000000"/>
                <w:sz w:val="20"/>
                <w:szCs w:val="20"/>
              </w:rPr>
            </w:pPr>
            <w:r>
              <w:rPr>
                <w:color w:val="000000"/>
                <w:sz w:val="20"/>
                <w:szCs w:val="20"/>
              </w:rPr>
              <w:t>(0.044)</w:t>
            </w:r>
          </w:p>
        </w:tc>
        <w:tc>
          <w:tcPr>
            <w:tcW w:w="1166" w:type="dxa"/>
            <w:tcBorders>
              <w:top w:val="nil"/>
              <w:left w:val="nil"/>
              <w:bottom w:val="nil"/>
              <w:right w:val="nil"/>
            </w:tcBorders>
            <w:shd w:val="clear" w:color="auto" w:fill="auto"/>
            <w:noWrap/>
            <w:vAlign w:val="bottom"/>
            <w:hideMark/>
          </w:tcPr>
          <w:p w14:paraId="1A60EF97" w14:textId="66772B2E" w:rsidR="00306EC6" w:rsidRPr="00337135" w:rsidRDefault="00306EC6" w:rsidP="00306EC6">
            <w:pPr>
              <w:jc w:val="center"/>
              <w:rPr>
                <w:rFonts w:eastAsia="Times New Roman" w:cs="Times New Roman"/>
                <w:color w:val="000000"/>
                <w:sz w:val="20"/>
                <w:szCs w:val="20"/>
              </w:rPr>
            </w:pPr>
            <w:r>
              <w:rPr>
                <w:color w:val="000000"/>
                <w:sz w:val="20"/>
                <w:szCs w:val="20"/>
              </w:rPr>
              <w:t>(0.044)</w:t>
            </w:r>
          </w:p>
        </w:tc>
      </w:tr>
      <w:tr w:rsidR="00306EC6" w:rsidRPr="00337135" w14:paraId="705E27F5" w14:textId="77777777" w:rsidTr="00306EC6">
        <w:trPr>
          <w:trHeight w:val="255"/>
        </w:trPr>
        <w:tc>
          <w:tcPr>
            <w:tcW w:w="2000" w:type="dxa"/>
            <w:tcBorders>
              <w:top w:val="nil"/>
              <w:left w:val="nil"/>
              <w:bottom w:val="nil"/>
              <w:right w:val="nil"/>
            </w:tcBorders>
            <w:shd w:val="clear" w:color="auto" w:fill="auto"/>
            <w:noWrap/>
            <w:vAlign w:val="bottom"/>
            <w:hideMark/>
          </w:tcPr>
          <w:p w14:paraId="517385D2" w14:textId="6591FC35" w:rsidR="00306EC6" w:rsidRPr="00337135" w:rsidRDefault="00306EC6" w:rsidP="00306EC6">
            <w:pPr>
              <w:rPr>
                <w:rFonts w:eastAsia="Times New Roman" w:cs="Times New Roman"/>
                <w:b/>
                <w:bCs/>
                <w:color w:val="000000"/>
                <w:sz w:val="20"/>
                <w:szCs w:val="20"/>
              </w:rPr>
            </w:pPr>
            <w:r>
              <w:rPr>
                <w:b/>
                <w:bCs/>
                <w:color w:val="000000"/>
                <w:sz w:val="20"/>
                <w:szCs w:val="20"/>
              </w:rPr>
              <w:t>DL x Gr 5 AY</w:t>
            </w:r>
          </w:p>
        </w:tc>
        <w:tc>
          <w:tcPr>
            <w:tcW w:w="1166" w:type="dxa"/>
            <w:tcBorders>
              <w:top w:val="nil"/>
              <w:left w:val="nil"/>
              <w:bottom w:val="nil"/>
              <w:right w:val="nil"/>
            </w:tcBorders>
            <w:shd w:val="clear" w:color="auto" w:fill="auto"/>
            <w:noWrap/>
            <w:vAlign w:val="bottom"/>
            <w:hideMark/>
          </w:tcPr>
          <w:p w14:paraId="57E1A3E0" w14:textId="1644F909" w:rsidR="00306EC6" w:rsidRPr="00337135" w:rsidRDefault="00306EC6" w:rsidP="00306EC6">
            <w:pPr>
              <w:jc w:val="center"/>
              <w:rPr>
                <w:rFonts w:eastAsia="Times New Roman" w:cs="Times New Roman"/>
                <w:b/>
                <w:bCs/>
                <w:color w:val="000000"/>
                <w:sz w:val="20"/>
                <w:szCs w:val="20"/>
              </w:rPr>
            </w:pPr>
            <w:r>
              <w:rPr>
                <w:b/>
                <w:bCs/>
                <w:color w:val="000000"/>
                <w:sz w:val="20"/>
                <w:szCs w:val="20"/>
              </w:rPr>
              <w:t>0.247***</w:t>
            </w:r>
          </w:p>
        </w:tc>
        <w:tc>
          <w:tcPr>
            <w:tcW w:w="1166" w:type="dxa"/>
            <w:tcBorders>
              <w:top w:val="nil"/>
              <w:left w:val="nil"/>
              <w:bottom w:val="nil"/>
              <w:right w:val="nil"/>
            </w:tcBorders>
            <w:shd w:val="clear" w:color="auto" w:fill="auto"/>
            <w:noWrap/>
            <w:vAlign w:val="bottom"/>
            <w:hideMark/>
          </w:tcPr>
          <w:p w14:paraId="0658B95F" w14:textId="34DA249E" w:rsidR="00306EC6" w:rsidRPr="00337135" w:rsidRDefault="00306EC6" w:rsidP="00306EC6">
            <w:pPr>
              <w:jc w:val="center"/>
              <w:rPr>
                <w:rFonts w:eastAsia="Times New Roman" w:cs="Times New Roman"/>
                <w:b/>
                <w:bCs/>
                <w:color w:val="000000"/>
                <w:sz w:val="20"/>
                <w:szCs w:val="20"/>
              </w:rPr>
            </w:pPr>
            <w:r>
              <w:rPr>
                <w:b/>
                <w:bCs/>
                <w:color w:val="000000"/>
                <w:sz w:val="20"/>
                <w:szCs w:val="20"/>
              </w:rPr>
              <w:t>0.248***</w:t>
            </w:r>
          </w:p>
        </w:tc>
        <w:tc>
          <w:tcPr>
            <w:tcW w:w="1166" w:type="dxa"/>
            <w:tcBorders>
              <w:top w:val="nil"/>
              <w:left w:val="nil"/>
              <w:bottom w:val="nil"/>
              <w:right w:val="nil"/>
            </w:tcBorders>
            <w:shd w:val="clear" w:color="auto" w:fill="auto"/>
            <w:noWrap/>
            <w:vAlign w:val="bottom"/>
            <w:hideMark/>
          </w:tcPr>
          <w:p w14:paraId="14CC21B2" w14:textId="4C19BB01" w:rsidR="00306EC6" w:rsidRPr="00337135" w:rsidRDefault="00306EC6" w:rsidP="00306EC6">
            <w:pPr>
              <w:jc w:val="center"/>
              <w:rPr>
                <w:rFonts w:eastAsia="Times New Roman" w:cs="Times New Roman"/>
                <w:b/>
                <w:bCs/>
                <w:color w:val="000000"/>
                <w:sz w:val="20"/>
                <w:szCs w:val="20"/>
              </w:rPr>
            </w:pPr>
            <w:r>
              <w:rPr>
                <w:b/>
                <w:bCs/>
                <w:color w:val="000000"/>
                <w:sz w:val="20"/>
                <w:szCs w:val="20"/>
              </w:rPr>
              <w:t>0.248***</w:t>
            </w:r>
          </w:p>
        </w:tc>
        <w:tc>
          <w:tcPr>
            <w:tcW w:w="1166" w:type="dxa"/>
            <w:tcBorders>
              <w:top w:val="nil"/>
              <w:left w:val="nil"/>
              <w:bottom w:val="nil"/>
              <w:right w:val="nil"/>
            </w:tcBorders>
            <w:shd w:val="clear" w:color="auto" w:fill="auto"/>
            <w:noWrap/>
            <w:vAlign w:val="bottom"/>
            <w:hideMark/>
          </w:tcPr>
          <w:p w14:paraId="76355545" w14:textId="200DBB34" w:rsidR="00306EC6" w:rsidRPr="00337135" w:rsidRDefault="00306EC6" w:rsidP="00306EC6">
            <w:pPr>
              <w:jc w:val="center"/>
              <w:rPr>
                <w:rFonts w:eastAsia="Times New Roman" w:cs="Times New Roman"/>
                <w:b/>
                <w:bCs/>
                <w:color w:val="000000"/>
                <w:sz w:val="20"/>
                <w:szCs w:val="20"/>
              </w:rPr>
            </w:pPr>
            <w:r>
              <w:rPr>
                <w:b/>
                <w:bCs/>
                <w:color w:val="000000"/>
                <w:sz w:val="20"/>
                <w:szCs w:val="20"/>
              </w:rPr>
              <w:t>0.027</w:t>
            </w:r>
          </w:p>
        </w:tc>
        <w:tc>
          <w:tcPr>
            <w:tcW w:w="1166" w:type="dxa"/>
            <w:tcBorders>
              <w:top w:val="nil"/>
              <w:left w:val="nil"/>
              <w:bottom w:val="nil"/>
              <w:right w:val="nil"/>
            </w:tcBorders>
            <w:shd w:val="clear" w:color="auto" w:fill="auto"/>
            <w:noWrap/>
            <w:vAlign w:val="bottom"/>
            <w:hideMark/>
          </w:tcPr>
          <w:p w14:paraId="77152D53" w14:textId="52DD555E" w:rsidR="00306EC6" w:rsidRPr="00337135" w:rsidRDefault="00306EC6" w:rsidP="00306EC6">
            <w:pPr>
              <w:jc w:val="center"/>
              <w:rPr>
                <w:rFonts w:eastAsia="Times New Roman" w:cs="Times New Roman"/>
                <w:b/>
                <w:bCs/>
                <w:color w:val="000000"/>
                <w:sz w:val="20"/>
                <w:szCs w:val="20"/>
              </w:rPr>
            </w:pPr>
            <w:r>
              <w:rPr>
                <w:b/>
                <w:bCs/>
                <w:color w:val="000000"/>
                <w:sz w:val="20"/>
                <w:szCs w:val="20"/>
              </w:rPr>
              <w:t>0.028</w:t>
            </w:r>
          </w:p>
        </w:tc>
        <w:tc>
          <w:tcPr>
            <w:tcW w:w="1166" w:type="dxa"/>
            <w:tcBorders>
              <w:top w:val="nil"/>
              <w:left w:val="nil"/>
              <w:bottom w:val="nil"/>
              <w:right w:val="nil"/>
            </w:tcBorders>
            <w:shd w:val="clear" w:color="auto" w:fill="auto"/>
            <w:noWrap/>
            <w:vAlign w:val="bottom"/>
            <w:hideMark/>
          </w:tcPr>
          <w:p w14:paraId="0278D3B3" w14:textId="55631291" w:rsidR="00306EC6" w:rsidRPr="00337135" w:rsidRDefault="00306EC6" w:rsidP="00306EC6">
            <w:pPr>
              <w:jc w:val="center"/>
              <w:rPr>
                <w:rFonts w:eastAsia="Times New Roman" w:cs="Times New Roman"/>
                <w:b/>
                <w:bCs/>
                <w:color w:val="000000"/>
                <w:sz w:val="20"/>
                <w:szCs w:val="20"/>
              </w:rPr>
            </w:pPr>
            <w:r>
              <w:rPr>
                <w:b/>
                <w:bCs/>
                <w:color w:val="000000"/>
                <w:sz w:val="20"/>
                <w:szCs w:val="20"/>
              </w:rPr>
              <w:t>0.028</w:t>
            </w:r>
          </w:p>
        </w:tc>
      </w:tr>
      <w:tr w:rsidR="00306EC6" w:rsidRPr="00337135" w14:paraId="0A9FFD3D" w14:textId="77777777" w:rsidTr="00306EC6">
        <w:trPr>
          <w:trHeight w:val="255"/>
        </w:trPr>
        <w:tc>
          <w:tcPr>
            <w:tcW w:w="2000" w:type="dxa"/>
            <w:tcBorders>
              <w:top w:val="nil"/>
              <w:left w:val="nil"/>
              <w:bottom w:val="nil"/>
              <w:right w:val="nil"/>
            </w:tcBorders>
            <w:shd w:val="clear" w:color="auto" w:fill="auto"/>
            <w:noWrap/>
            <w:vAlign w:val="bottom"/>
            <w:hideMark/>
          </w:tcPr>
          <w:p w14:paraId="672FC91B"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2F42FF54" w14:textId="34850D98" w:rsidR="00306EC6" w:rsidRPr="00337135" w:rsidRDefault="00306EC6" w:rsidP="00306EC6">
            <w:pPr>
              <w:jc w:val="center"/>
              <w:rPr>
                <w:rFonts w:eastAsia="Times New Roman" w:cs="Times New Roman"/>
                <w:color w:val="000000"/>
                <w:sz w:val="20"/>
                <w:szCs w:val="20"/>
              </w:rPr>
            </w:pPr>
            <w:r>
              <w:rPr>
                <w:color w:val="000000"/>
                <w:sz w:val="20"/>
                <w:szCs w:val="20"/>
              </w:rPr>
              <w:t>(0.042)</w:t>
            </w:r>
          </w:p>
        </w:tc>
        <w:tc>
          <w:tcPr>
            <w:tcW w:w="1166" w:type="dxa"/>
            <w:tcBorders>
              <w:top w:val="nil"/>
              <w:left w:val="nil"/>
              <w:bottom w:val="nil"/>
              <w:right w:val="nil"/>
            </w:tcBorders>
            <w:shd w:val="clear" w:color="auto" w:fill="auto"/>
            <w:noWrap/>
            <w:vAlign w:val="bottom"/>
            <w:hideMark/>
          </w:tcPr>
          <w:p w14:paraId="384A1049" w14:textId="689B1E47" w:rsidR="00306EC6" w:rsidRPr="00337135" w:rsidRDefault="00306EC6" w:rsidP="00306EC6">
            <w:pPr>
              <w:jc w:val="center"/>
              <w:rPr>
                <w:rFonts w:eastAsia="Times New Roman" w:cs="Times New Roman"/>
                <w:color w:val="000000"/>
                <w:sz w:val="20"/>
                <w:szCs w:val="20"/>
              </w:rPr>
            </w:pPr>
            <w:r>
              <w:rPr>
                <w:color w:val="000000"/>
                <w:sz w:val="20"/>
                <w:szCs w:val="20"/>
              </w:rPr>
              <w:t>(0.042)</w:t>
            </w:r>
          </w:p>
        </w:tc>
        <w:tc>
          <w:tcPr>
            <w:tcW w:w="1166" w:type="dxa"/>
            <w:tcBorders>
              <w:top w:val="nil"/>
              <w:left w:val="nil"/>
              <w:bottom w:val="nil"/>
              <w:right w:val="nil"/>
            </w:tcBorders>
            <w:shd w:val="clear" w:color="auto" w:fill="auto"/>
            <w:noWrap/>
            <w:vAlign w:val="bottom"/>
            <w:hideMark/>
          </w:tcPr>
          <w:p w14:paraId="0C5F8109" w14:textId="7B50EB4F" w:rsidR="00306EC6" w:rsidRPr="00337135" w:rsidRDefault="00306EC6" w:rsidP="00306EC6">
            <w:pPr>
              <w:jc w:val="center"/>
              <w:rPr>
                <w:rFonts w:eastAsia="Times New Roman" w:cs="Times New Roman"/>
                <w:color w:val="000000"/>
                <w:sz w:val="20"/>
                <w:szCs w:val="20"/>
              </w:rPr>
            </w:pPr>
            <w:r>
              <w:rPr>
                <w:color w:val="000000"/>
                <w:sz w:val="20"/>
                <w:szCs w:val="20"/>
              </w:rPr>
              <w:t>(0.042)</w:t>
            </w:r>
          </w:p>
        </w:tc>
        <w:tc>
          <w:tcPr>
            <w:tcW w:w="1166" w:type="dxa"/>
            <w:tcBorders>
              <w:top w:val="nil"/>
              <w:left w:val="nil"/>
              <w:bottom w:val="nil"/>
              <w:right w:val="nil"/>
            </w:tcBorders>
            <w:shd w:val="clear" w:color="auto" w:fill="auto"/>
            <w:noWrap/>
            <w:vAlign w:val="bottom"/>
            <w:hideMark/>
          </w:tcPr>
          <w:p w14:paraId="46E5F8CE" w14:textId="077C769E" w:rsidR="00306EC6" w:rsidRPr="00337135" w:rsidRDefault="00306EC6" w:rsidP="00306EC6">
            <w:pPr>
              <w:jc w:val="center"/>
              <w:rPr>
                <w:rFonts w:eastAsia="Times New Roman" w:cs="Times New Roman"/>
                <w:color w:val="000000"/>
                <w:sz w:val="20"/>
                <w:szCs w:val="20"/>
              </w:rPr>
            </w:pPr>
            <w:r>
              <w:rPr>
                <w:color w:val="000000"/>
                <w:sz w:val="20"/>
                <w:szCs w:val="20"/>
              </w:rPr>
              <w:t>(0.050)</w:t>
            </w:r>
          </w:p>
        </w:tc>
        <w:tc>
          <w:tcPr>
            <w:tcW w:w="1166" w:type="dxa"/>
            <w:tcBorders>
              <w:top w:val="nil"/>
              <w:left w:val="nil"/>
              <w:bottom w:val="nil"/>
              <w:right w:val="nil"/>
            </w:tcBorders>
            <w:shd w:val="clear" w:color="auto" w:fill="auto"/>
            <w:noWrap/>
            <w:vAlign w:val="bottom"/>
            <w:hideMark/>
          </w:tcPr>
          <w:p w14:paraId="7F86DC0F" w14:textId="2C1FC1AD" w:rsidR="00306EC6" w:rsidRPr="00337135" w:rsidRDefault="00306EC6" w:rsidP="00306EC6">
            <w:pPr>
              <w:jc w:val="center"/>
              <w:rPr>
                <w:rFonts w:eastAsia="Times New Roman" w:cs="Times New Roman"/>
                <w:color w:val="000000"/>
                <w:sz w:val="20"/>
                <w:szCs w:val="20"/>
              </w:rPr>
            </w:pPr>
            <w:r>
              <w:rPr>
                <w:color w:val="000000"/>
                <w:sz w:val="20"/>
                <w:szCs w:val="20"/>
              </w:rPr>
              <w:t>(0.050)</w:t>
            </w:r>
          </w:p>
        </w:tc>
        <w:tc>
          <w:tcPr>
            <w:tcW w:w="1166" w:type="dxa"/>
            <w:tcBorders>
              <w:top w:val="nil"/>
              <w:left w:val="nil"/>
              <w:bottom w:val="nil"/>
              <w:right w:val="nil"/>
            </w:tcBorders>
            <w:shd w:val="clear" w:color="auto" w:fill="auto"/>
            <w:noWrap/>
            <w:vAlign w:val="bottom"/>
            <w:hideMark/>
          </w:tcPr>
          <w:p w14:paraId="73B53ADC" w14:textId="4E465188" w:rsidR="00306EC6" w:rsidRPr="00337135" w:rsidRDefault="00306EC6" w:rsidP="00306EC6">
            <w:pPr>
              <w:jc w:val="center"/>
              <w:rPr>
                <w:rFonts w:eastAsia="Times New Roman" w:cs="Times New Roman"/>
                <w:color w:val="000000"/>
                <w:sz w:val="20"/>
                <w:szCs w:val="20"/>
              </w:rPr>
            </w:pPr>
            <w:r>
              <w:rPr>
                <w:color w:val="000000"/>
                <w:sz w:val="20"/>
                <w:szCs w:val="20"/>
              </w:rPr>
              <w:t>(0.050)</w:t>
            </w:r>
          </w:p>
        </w:tc>
      </w:tr>
      <w:tr w:rsidR="00306EC6" w:rsidRPr="00337135" w14:paraId="7DA2419D" w14:textId="77777777" w:rsidTr="00306EC6">
        <w:trPr>
          <w:trHeight w:val="255"/>
        </w:trPr>
        <w:tc>
          <w:tcPr>
            <w:tcW w:w="2000" w:type="dxa"/>
            <w:tcBorders>
              <w:top w:val="nil"/>
              <w:left w:val="nil"/>
              <w:bottom w:val="nil"/>
              <w:right w:val="nil"/>
            </w:tcBorders>
            <w:shd w:val="clear" w:color="auto" w:fill="auto"/>
            <w:noWrap/>
            <w:vAlign w:val="bottom"/>
            <w:hideMark/>
          </w:tcPr>
          <w:p w14:paraId="36C2D59E" w14:textId="353A900C" w:rsidR="00306EC6" w:rsidRPr="00337135" w:rsidRDefault="00306EC6" w:rsidP="00306EC6">
            <w:pPr>
              <w:rPr>
                <w:rFonts w:eastAsia="Times New Roman" w:cs="Times New Roman"/>
                <w:color w:val="000000"/>
                <w:sz w:val="20"/>
                <w:szCs w:val="20"/>
              </w:rPr>
            </w:pPr>
            <w:r>
              <w:rPr>
                <w:color w:val="000000"/>
                <w:sz w:val="20"/>
                <w:szCs w:val="20"/>
              </w:rPr>
              <w:t>Gr 5 Summer</w:t>
            </w:r>
          </w:p>
        </w:tc>
        <w:tc>
          <w:tcPr>
            <w:tcW w:w="1166" w:type="dxa"/>
            <w:tcBorders>
              <w:top w:val="nil"/>
              <w:left w:val="nil"/>
              <w:bottom w:val="nil"/>
              <w:right w:val="nil"/>
            </w:tcBorders>
            <w:shd w:val="clear" w:color="auto" w:fill="auto"/>
            <w:noWrap/>
            <w:vAlign w:val="bottom"/>
            <w:hideMark/>
          </w:tcPr>
          <w:p w14:paraId="6B89DAAC" w14:textId="1327D645" w:rsidR="00306EC6" w:rsidRPr="00337135" w:rsidRDefault="00306EC6" w:rsidP="00306EC6">
            <w:pPr>
              <w:jc w:val="center"/>
              <w:rPr>
                <w:rFonts w:eastAsia="Times New Roman" w:cs="Times New Roman"/>
                <w:color w:val="000000"/>
                <w:sz w:val="20"/>
                <w:szCs w:val="20"/>
              </w:rPr>
            </w:pPr>
            <w:r>
              <w:rPr>
                <w:color w:val="000000"/>
                <w:sz w:val="20"/>
                <w:szCs w:val="20"/>
              </w:rPr>
              <w:t>-1.428***</w:t>
            </w:r>
          </w:p>
        </w:tc>
        <w:tc>
          <w:tcPr>
            <w:tcW w:w="1166" w:type="dxa"/>
            <w:tcBorders>
              <w:top w:val="nil"/>
              <w:left w:val="nil"/>
              <w:bottom w:val="nil"/>
              <w:right w:val="nil"/>
            </w:tcBorders>
            <w:shd w:val="clear" w:color="auto" w:fill="auto"/>
            <w:noWrap/>
            <w:vAlign w:val="bottom"/>
            <w:hideMark/>
          </w:tcPr>
          <w:p w14:paraId="2296F53E" w14:textId="7F51DF59" w:rsidR="00306EC6" w:rsidRPr="00337135" w:rsidRDefault="00306EC6" w:rsidP="00306EC6">
            <w:pPr>
              <w:jc w:val="center"/>
              <w:rPr>
                <w:rFonts w:eastAsia="Times New Roman" w:cs="Times New Roman"/>
                <w:color w:val="000000"/>
                <w:sz w:val="20"/>
                <w:szCs w:val="20"/>
              </w:rPr>
            </w:pPr>
            <w:r>
              <w:rPr>
                <w:color w:val="000000"/>
                <w:sz w:val="20"/>
                <w:szCs w:val="20"/>
              </w:rPr>
              <w:t>-1.428***</w:t>
            </w:r>
          </w:p>
        </w:tc>
        <w:tc>
          <w:tcPr>
            <w:tcW w:w="1166" w:type="dxa"/>
            <w:tcBorders>
              <w:top w:val="nil"/>
              <w:left w:val="nil"/>
              <w:bottom w:val="nil"/>
              <w:right w:val="nil"/>
            </w:tcBorders>
            <w:shd w:val="clear" w:color="auto" w:fill="auto"/>
            <w:noWrap/>
            <w:vAlign w:val="bottom"/>
            <w:hideMark/>
          </w:tcPr>
          <w:p w14:paraId="144B0FA3" w14:textId="26F727CB" w:rsidR="00306EC6" w:rsidRPr="00337135" w:rsidRDefault="00306EC6" w:rsidP="00306EC6">
            <w:pPr>
              <w:jc w:val="center"/>
              <w:rPr>
                <w:rFonts w:eastAsia="Times New Roman" w:cs="Times New Roman"/>
                <w:color w:val="000000"/>
                <w:sz w:val="20"/>
                <w:szCs w:val="20"/>
              </w:rPr>
            </w:pPr>
            <w:r>
              <w:rPr>
                <w:color w:val="000000"/>
                <w:sz w:val="20"/>
                <w:szCs w:val="20"/>
              </w:rPr>
              <w:t>-1.428***</w:t>
            </w:r>
          </w:p>
        </w:tc>
        <w:tc>
          <w:tcPr>
            <w:tcW w:w="1166" w:type="dxa"/>
            <w:tcBorders>
              <w:top w:val="nil"/>
              <w:left w:val="nil"/>
              <w:bottom w:val="nil"/>
              <w:right w:val="nil"/>
            </w:tcBorders>
            <w:shd w:val="clear" w:color="auto" w:fill="auto"/>
            <w:noWrap/>
            <w:vAlign w:val="bottom"/>
            <w:hideMark/>
          </w:tcPr>
          <w:p w14:paraId="1EA397F7" w14:textId="0C8DCEB8" w:rsidR="00306EC6" w:rsidRPr="00337135" w:rsidRDefault="00306EC6" w:rsidP="00306EC6">
            <w:pPr>
              <w:jc w:val="center"/>
              <w:rPr>
                <w:rFonts w:eastAsia="Times New Roman" w:cs="Times New Roman"/>
                <w:color w:val="000000"/>
                <w:sz w:val="20"/>
                <w:szCs w:val="20"/>
              </w:rPr>
            </w:pPr>
            <w:r>
              <w:rPr>
                <w:color w:val="000000"/>
                <w:sz w:val="20"/>
                <w:szCs w:val="20"/>
              </w:rPr>
              <w:t>0.108</w:t>
            </w:r>
          </w:p>
        </w:tc>
        <w:tc>
          <w:tcPr>
            <w:tcW w:w="1166" w:type="dxa"/>
            <w:tcBorders>
              <w:top w:val="nil"/>
              <w:left w:val="nil"/>
              <w:bottom w:val="nil"/>
              <w:right w:val="nil"/>
            </w:tcBorders>
            <w:shd w:val="clear" w:color="auto" w:fill="auto"/>
            <w:noWrap/>
            <w:vAlign w:val="bottom"/>
            <w:hideMark/>
          </w:tcPr>
          <w:p w14:paraId="0509979B" w14:textId="2F6EDFC7" w:rsidR="00306EC6" w:rsidRPr="00337135" w:rsidRDefault="00306EC6" w:rsidP="00306EC6">
            <w:pPr>
              <w:jc w:val="center"/>
              <w:rPr>
                <w:rFonts w:eastAsia="Times New Roman" w:cs="Times New Roman"/>
                <w:color w:val="000000"/>
                <w:sz w:val="20"/>
                <w:szCs w:val="20"/>
              </w:rPr>
            </w:pPr>
            <w:r>
              <w:rPr>
                <w:color w:val="000000"/>
                <w:sz w:val="20"/>
                <w:szCs w:val="20"/>
              </w:rPr>
              <w:t>0.105</w:t>
            </w:r>
          </w:p>
        </w:tc>
        <w:tc>
          <w:tcPr>
            <w:tcW w:w="1166" w:type="dxa"/>
            <w:tcBorders>
              <w:top w:val="nil"/>
              <w:left w:val="nil"/>
              <w:bottom w:val="nil"/>
              <w:right w:val="nil"/>
            </w:tcBorders>
            <w:shd w:val="clear" w:color="auto" w:fill="auto"/>
            <w:noWrap/>
            <w:vAlign w:val="bottom"/>
            <w:hideMark/>
          </w:tcPr>
          <w:p w14:paraId="5C09C39D" w14:textId="4418F315" w:rsidR="00306EC6" w:rsidRPr="00337135" w:rsidRDefault="00306EC6" w:rsidP="00306EC6">
            <w:pPr>
              <w:jc w:val="center"/>
              <w:rPr>
                <w:rFonts w:eastAsia="Times New Roman" w:cs="Times New Roman"/>
                <w:color w:val="000000"/>
                <w:sz w:val="20"/>
                <w:szCs w:val="20"/>
              </w:rPr>
            </w:pPr>
            <w:r>
              <w:rPr>
                <w:color w:val="000000"/>
                <w:sz w:val="20"/>
                <w:szCs w:val="20"/>
              </w:rPr>
              <w:t>0.105</w:t>
            </w:r>
          </w:p>
        </w:tc>
      </w:tr>
      <w:tr w:rsidR="00306EC6" w:rsidRPr="00337135" w14:paraId="3C4479E3" w14:textId="77777777" w:rsidTr="00306EC6">
        <w:trPr>
          <w:trHeight w:val="255"/>
        </w:trPr>
        <w:tc>
          <w:tcPr>
            <w:tcW w:w="2000" w:type="dxa"/>
            <w:tcBorders>
              <w:top w:val="nil"/>
              <w:left w:val="nil"/>
              <w:bottom w:val="nil"/>
              <w:right w:val="nil"/>
            </w:tcBorders>
            <w:shd w:val="clear" w:color="auto" w:fill="auto"/>
            <w:noWrap/>
            <w:vAlign w:val="bottom"/>
            <w:hideMark/>
          </w:tcPr>
          <w:p w14:paraId="54BC0D3C"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4D549189" w14:textId="7F254281" w:rsidR="00306EC6" w:rsidRPr="00337135" w:rsidRDefault="00306EC6" w:rsidP="00306EC6">
            <w:pPr>
              <w:jc w:val="center"/>
              <w:rPr>
                <w:rFonts w:eastAsia="Times New Roman" w:cs="Times New Roman"/>
                <w:color w:val="000000"/>
                <w:sz w:val="20"/>
                <w:szCs w:val="20"/>
              </w:rPr>
            </w:pPr>
            <w:r>
              <w:rPr>
                <w:color w:val="000000"/>
                <w:sz w:val="20"/>
                <w:szCs w:val="20"/>
              </w:rPr>
              <w:t>(0.114)</w:t>
            </w:r>
          </w:p>
        </w:tc>
        <w:tc>
          <w:tcPr>
            <w:tcW w:w="1166" w:type="dxa"/>
            <w:tcBorders>
              <w:top w:val="nil"/>
              <w:left w:val="nil"/>
              <w:bottom w:val="nil"/>
              <w:right w:val="nil"/>
            </w:tcBorders>
            <w:shd w:val="clear" w:color="auto" w:fill="auto"/>
            <w:noWrap/>
            <w:vAlign w:val="bottom"/>
            <w:hideMark/>
          </w:tcPr>
          <w:p w14:paraId="40600D56" w14:textId="566CD0AA" w:rsidR="00306EC6" w:rsidRPr="00337135" w:rsidRDefault="00306EC6" w:rsidP="00306EC6">
            <w:pPr>
              <w:jc w:val="center"/>
              <w:rPr>
                <w:rFonts w:eastAsia="Times New Roman" w:cs="Times New Roman"/>
                <w:color w:val="000000"/>
                <w:sz w:val="20"/>
                <w:szCs w:val="20"/>
              </w:rPr>
            </w:pPr>
            <w:r>
              <w:rPr>
                <w:color w:val="000000"/>
                <w:sz w:val="20"/>
                <w:szCs w:val="20"/>
              </w:rPr>
              <w:t>(0.114)</w:t>
            </w:r>
          </w:p>
        </w:tc>
        <w:tc>
          <w:tcPr>
            <w:tcW w:w="1166" w:type="dxa"/>
            <w:tcBorders>
              <w:top w:val="nil"/>
              <w:left w:val="nil"/>
              <w:bottom w:val="nil"/>
              <w:right w:val="nil"/>
            </w:tcBorders>
            <w:shd w:val="clear" w:color="auto" w:fill="auto"/>
            <w:noWrap/>
            <w:vAlign w:val="bottom"/>
            <w:hideMark/>
          </w:tcPr>
          <w:p w14:paraId="3FEC6A8B" w14:textId="091F193B" w:rsidR="00306EC6" w:rsidRPr="00337135" w:rsidRDefault="00306EC6" w:rsidP="00306EC6">
            <w:pPr>
              <w:jc w:val="center"/>
              <w:rPr>
                <w:rFonts w:eastAsia="Times New Roman" w:cs="Times New Roman"/>
                <w:color w:val="000000"/>
                <w:sz w:val="20"/>
                <w:szCs w:val="20"/>
              </w:rPr>
            </w:pPr>
            <w:r>
              <w:rPr>
                <w:color w:val="000000"/>
                <w:sz w:val="20"/>
                <w:szCs w:val="20"/>
              </w:rPr>
              <w:t>(0.114)</w:t>
            </w:r>
          </w:p>
        </w:tc>
        <w:tc>
          <w:tcPr>
            <w:tcW w:w="1166" w:type="dxa"/>
            <w:tcBorders>
              <w:top w:val="nil"/>
              <w:left w:val="nil"/>
              <w:bottom w:val="nil"/>
              <w:right w:val="nil"/>
            </w:tcBorders>
            <w:shd w:val="clear" w:color="auto" w:fill="auto"/>
            <w:noWrap/>
            <w:vAlign w:val="bottom"/>
            <w:hideMark/>
          </w:tcPr>
          <w:p w14:paraId="6BC02937" w14:textId="6D0200EC" w:rsidR="00306EC6" w:rsidRPr="00337135" w:rsidRDefault="00306EC6" w:rsidP="00306EC6">
            <w:pPr>
              <w:jc w:val="center"/>
              <w:rPr>
                <w:rFonts w:eastAsia="Times New Roman" w:cs="Times New Roman"/>
                <w:color w:val="000000"/>
                <w:sz w:val="20"/>
                <w:szCs w:val="20"/>
              </w:rPr>
            </w:pPr>
            <w:r>
              <w:rPr>
                <w:color w:val="000000"/>
                <w:sz w:val="20"/>
                <w:szCs w:val="20"/>
              </w:rPr>
              <w:t>(0.111)</w:t>
            </w:r>
          </w:p>
        </w:tc>
        <w:tc>
          <w:tcPr>
            <w:tcW w:w="1166" w:type="dxa"/>
            <w:tcBorders>
              <w:top w:val="nil"/>
              <w:left w:val="nil"/>
              <w:bottom w:val="nil"/>
              <w:right w:val="nil"/>
            </w:tcBorders>
            <w:shd w:val="clear" w:color="auto" w:fill="auto"/>
            <w:noWrap/>
            <w:vAlign w:val="bottom"/>
            <w:hideMark/>
          </w:tcPr>
          <w:p w14:paraId="45FA1133" w14:textId="38AA02CD" w:rsidR="00306EC6" w:rsidRPr="00337135" w:rsidRDefault="00306EC6" w:rsidP="00306EC6">
            <w:pPr>
              <w:jc w:val="center"/>
              <w:rPr>
                <w:rFonts w:eastAsia="Times New Roman" w:cs="Times New Roman"/>
                <w:color w:val="000000"/>
                <w:sz w:val="20"/>
                <w:szCs w:val="20"/>
              </w:rPr>
            </w:pPr>
            <w:r>
              <w:rPr>
                <w:color w:val="000000"/>
                <w:sz w:val="20"/>
                <w:szCs w:val="20"/>
              </w:rPr>
              <w:t>(0.112)</w:t>
            </w:r>
          </w:p>
        </w:tc>
        <w:tc>
          <w:tcPr>
            <w:tcW w:w="1166" w:type="dxa"/>
            <w:tcBorders>
              <w:top w:val="nil"/>
              <w:left w:val="nil"/>
              <w:bottom w:val="nil"/>
              <w:right w:val="nil"/>
            </w:tcBorders>
            <w:shd w:val="clear" w:color="auto" w:fill="auto"/>
            <w:noWrap/>
            <w:vAlign w:val="bottom"/>
            <w:hideMark/>
          </w:tcPr>
          <w:p w14:paraId="2572B2DC" w14:textId="70E79230" w:rsidR="00306EC6" w:rsidRPr="00337135" w:rsidRDefault="00306EC6" w:rsidP="00306EC6">
            <w:pPr>
              <w:jc w:val="center"/>
              <w:rPr>
                <w:rFonts w:eastAsia="Times New Roman" w:cs="Times New Roman"/>
                <w:color w:val="000000"/>
                <w:sz w:val="20"/>
                <w:szCs w:val="20"/>
              </w:rPr>
            </w:pPr>
            <w:r>
              <w:rPr>
                <w:color w:val="000000"/>
                <w:sz w:val="20"/>
                <w:szCs w:val="20"/>
              </w:rPr>
              <w:t>(0.112)</w:t>
            </w:r>
          </w:p>
        </w:tc>
      </w:tr>
      <w:tr w:rsidR="00306EC6" w:rsidRPr="00337135" w14:paraId="6041C81E" w14:textId="77777777" w:rsidTr="00306EC6">
        <w:trPr>
          <w:trHeight w:val="255"/>
        </w:trPr>
        <w:tc>
          <w:tcPr>
            <w:tcW w:w="2000" w:type="dxa"/>
            <w:tcBorders>
              <w:top w:val="nil"/>
              <w:left w:val="nil"/>
              <w:bottom w:val="nil"/>
              <w:right w:val="nil"/>
            </w:tcBorders>
            <w:shd w:val="clear" w:color="auto" w:fill="auto"/>
            <w:noWrap/>
            <w:vAlign w:val="bottom"/>
            <w:hideMark/>
          </w:tcPr>
          <w:p w14:paraId="2A04DCBF" w14:textId="7837F888" w:rsidR="00306EC6" w:rsidRPr="00337135" w:rsidRDefault="00306EC6" w:rsidP="00306EC6">
            <w:pPr>
              <w:rPr>
                <w:rFonts w:eastAsia="Times New Roman" w:cs="Times New Roman"/>
                <w:b/>
                <w:bCs/>
                <w:color w:val="000000"/>
                <w:sz w:val="20"/>
                <w:szCs w:val="20"/>
              </w:rPr>
            </w:pPr>
            <w:r>
              <w:rPr>
                <w:b/>
                <w:bCs/>
                <w:color w:val="000000"/>
                <w:sz w:val="20"/>
                <w:szCs w:val="20"/>
              </w:rPr>
              <w:t>DL x Gr 5 Summer</w:t>
            </w:r>
          </w:p>
        </w:tc>
        <w:tc>
          <w:tcPr>
            <w:tcW w:w="1166" w:type="dxa"/>
            <w:tcBorders>
              <w:top w:val="nil"/>
              <w:left w:val="nil"/>
              <w:bottom w:val="nil"/>
              <w:right w:val="nil"/>
            </w:tcBorders>
            <w:shd w:val="clear" w:color="auto" w:fill="auto"/>
            <w:noWrap/>
            <w:vAlign w:val="bottom"/>
            <w:hideMark/>
          </w:tcPr>
          <w:p w14:paraId="179558B7" w14:textId="2A2416DE" w:rsidR="00306EC6" w:rsidRPr="00337135" w:rsidRDefault="00306EC6" w:rsidP="00306EC6">
            <w:pPr>
              <w:jc w:val="center"/>
              <w:rPr>
                <w:rFonts w:eastAsia="Times New Roman" w:cs="Times New Roman"/>
                <w:b/>
                <w:bCs/>
                <w:color w:val="000000"/>
                <w:sz w:val="20"/>
                <w:szCs w:val="20"/>
              </w:rPr>
            </w:pPr>
            <w:r>
              <w:rPr>
                <w:b/>
                <w:bCs/>
                <w:color w:val="000000"/>
                <w:sz w:val="20"/>
                <w:szCs w:val="20"/>
              </w:rPr>
              <w:t>-0.616***</w:t>
            </w:r>
          </w:p>
        </w:tc>
        <w:tc>
          <w:tcPr>
            <w:tcW w:w="1166" w:type="dxa"/>
            <w:tcBorders>
              <w:top w:val="nil"/>
              <w:left w:val="nil"/>
              <w:bottom w:val="nil"/>
              <w:right w:val="nil"/>
            </w:tcBorders>
            <w:shd w:val="clear" w:color="auto" w:fill="auto"/>
            <w:noWrap/>
            <w:vAlign w:val="bottom"/>
            <w:hideMark/>
          </w:tcPr>
          <w:p w14:paraId="57792957" w14:textId="7491FF7D" w:rsidR="00306EC6" w:rsidRPr="00337135" w:rsidRDefault="00306EC6" w:rsidP="00306EC6">
            <w:pPr>
              <w:jc w:val="center"/>
              <w:rPr>
                <w:rFonts w:eastAsia="Times New Roman" w:cs="Times New Roman"/>
                <w:b/>
                <w:bCs/>
                <w:color w:val="000000"/>
                <w:sz w:val="20"/>
                <w:szCs w:val="20"/>
              </w:rPr>
            </w:pPr>
            <w:r>
              <w:rPr>
                <w:b/>
                <w:bCs/>
                <w:color w:val="000000"/>
                <w:sz w:val="20"/>
                <w:szCs w:val="20"/>
              </w:rPr>
              <w:t>-0.617***</w:t>
            </w:r>
          </w:p>
        </w:tc>
        <w:tc>
          <w:tcPr>
            <w:tcW w:w="1166" w:type="dxa"/>
            <w:tcBorders>
              <w:top w:val="nil"/>
              <w:left w:val="nil"/>
              <w:bottom w:val="nil"/>
              <w:right w:val="nil"/>
            </w:tcBorders>
            <w:shd w:val="clear" w:color="auto" w:fill="auto"/>
            <w:noWrap/>
            <w:vAlign w:val="bottom"/>
            <w:hideMark/>
          </w:tcPr>
          <w:p w14:paraId="5E33C5AC" w14:textId="3BB365D2" w:rsidR="00306EC6" w:rsidRPr="00337135" w:rsidRDefault="00306EC6" w:rsidP="00306EC6">
            <w:pPr>
              <w:jc w:val="center"/>
              <w:rPr>
                <w:rFonts w:eastAsia="Times New Roman" w:cs="Times New Roman"/>
                <w:b/>
                <w:bCs/>
                <w:color w:val="000000"/>
                <w:sz w:val="20"/>
                <w:szCs w:val="20"/>
              </w:rPr>
            </w:pPr>
            <w:r>
              <w:rPr>
                <w:b/>
                <w:bCs/>
                <w:color w:val="000000"/>
                <w:sz w:val="20"/>
                <w:szCs w:val="20"/>
              </w:rPr>
              <w:t>-0.617***</w:t>
            </w:r>
          </w:p>
        </w:tc>
        <w:tc>
          <w:tcPr>
            <w:tcW w:w="1166" w:type="dxa"/>
            <w:tcBorders>
              <w:top w:val="nil"/>
              <w:left w:val="nil"/>
              <w:bottom w:val="nil"/>
              <w:right w:val="nil"/>
            </w:tcBorders>
            <w:shd w:val="clear" w:color="auto" w:fill="auto"/>
            <w:noWrap/>
            <w:vAlign w:val="bottom"/>
            <w:hideMark/>
          </w:tcPr>
          <w:p w14:paraId="033333E0" w14:textId="3A2A8184" w:rsidR="00306EC6" w:rsidRPr="00337135" w:rsidRDefault="00306EC6" w:rsidP="00306EC6">
            <w:pPr>
              <w:jc w:val="center"/>
              <w:rPr>
                <w:rFonts w:eastAsia="Times New Roman" w:cs="Times New Roman"/>
                <w:b/>
                <w:bCs/>
                <w:color w:val="000000"/>
                <w:sz w:val="20"/>
                <w:szCs w:val="20"/>
              </w:rPr>
            </w:pPr>
            <w:r>
              <w:rPr>
                <w:b/>
                <w:bCs/>
                <w:color w:val="000000"/>
                <w:sz w:val="20"/>
                <w:szCs w:val="20"/>
              </w:rPr>
              <w:t>0.076</w:t>
            </w:r>
          </w:p>
        </w:tc>
        <w:tc>
          <w:tcPr>
            <w:tcW w:w="1166" w:type="dxa"/>
            <w:tcBorders>
              <w:top w:val="nil"/>
              <w:left w:val="nil"/>
              <w:bottom w:val="nil"/>
              <w:right w:val="nil"/>
            </w:tcBorders>
            <w:shd w:val="clear" w:color="auto" w:fill="auto"/>
            <w:noWrap/>
            <w:vAlign w:val="bottom"/>
            <w:hideMark/>
          </w:tcPr>
          <w:p w14:paraId="5E59CA6D" w14:textId="17B6585F" w:rsidR="00306EC6" w:rsidRPr="00337135" w:rsidRDefault="00306EC6" w:rsidP="00306EC6">
            <w:pPr>
              <w:jc w:val="center"/>
              <w:rPr>
                <w:rFonts w:eastAsia="Times New Roman" w:cs="Times New Roman"/>
                <w:b/>
                <w:bCs/>
                <w:color w:val="000000"/>
                <w:sz w:val="20"/>
                <w:szCs w:val="20"/>
              </w:rPr>
            </w:pPr>
            <w:r>
              <w:rPr>
                <w:b/>
                <w:bCs/>
                <w:color w:val="000000"/>
                <w:sz w:val="20"/>
                <w:szCs w:val="20"/>
              </w:rPr>
              <w:t>0.074</w:t>
            </w:r>
          </w:p>
        </w:tc>
        <w:tc>
          <w:tcPr>
            <w:tcW w:w="1166" w:type="dxa"/>
            <w:tcBorders>
              <w:top w:val="nil"/>
              <w:left w:val="nil"/>
              <w:bottom w:val="nil"/>
              <w:right w:val="nil"/>
            </w:tcBorders>
            <w:shd w:val="clear" w:color="auto" w:fill="auto"/>
            <w:noWrap/>
            <w:vAlign w:val="bottom"/>
            <w:hideMark/>
          </w:tcPr>
          <w:p w14:paraId="35B79E54" w14:textId="5AD78CB7" w:rsidR="00306EC6" w:rsidRPr="00337135" w:rsidRDefault="00306EC6" w:rsidP="00306EC6">
            <w:pPr>
              <w:jc w:val="center"/>
              <w:rPr>
                <w:rFonts w:eastAsia="Times New Roman" w:cs="Times New Roman"/>
                <w:b/>
                <w:bCs/>
                <w:color w:val="000000"/>
                <w:sz w:val="20"/>
                <w:szCs w:val="20"/>
              </w:rPr>
            </w:pPr>
            <w:r>
              <w:rPr>
                <w:b/>
                <w:bCs/>
                <w:color w:val="000000"/>
                <w:sz w:val="20"/>
                <w:szCs w:val="20"/>
              </w:rPr>
              <w:t>0.074</w:t>
            </w:r>
          </w:p>
        </w:tc>
      </w:tr>
      <w:tr w:rsidR="00306EC6" w:rsidRPr="00337135" w14:paraId="79FFCE10" w14:textId="77777777" w:rsidTr="00306EC6">
        <w:trPr>
          <w:trHeight w:val="255"/>
        </w:trPr>
        <w:tc>
          <w:tcPr>
            <w:tcW w:w="2000" w:type="dxa"/>
            <w:tcBorders>
              <w:top w:val="nil"/>
              <w:left w:val="nil"/>
              <w:bottom w:val="nil"/>
              <w:right w:val="nil"/>
            </w:tcBorders>
            <w:shd w:val="clear" w:color="auto" w:fill="auto"/>
            <w:noWrap/>
            <w:vAlign w:val="bottom"/>
            <w:hideMark/>
          </w:tcPr>
          <w:p w14:paraId="56A70B4D"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61697218" w14:textId="5F9D1418" w:rsidR="00306EC6" w:rsidRPr="00337135" w:rsidRDefault="00306EC6" w:rsidP="00306EC6">
            <w:pPr>
              <w:jc w:val="center"/>
              <w:rPr>
                <w:rFonts w:eastAsia="Times New Roman" w:cs="Times New Roman"/>
                <w:color w:val="000000"/>
                <w:sz w:val="20"/>
                <w:szCs w:val="20"/>
              </w:rPr>
            </w:pPr>
            <w:r>
              <w:rPr>
                <w:color w:val="000000"/>
                <w:sz w:val="20"/>
                <w:szCs w:val="20"/>
              </w:rPr>
              <w:t>(0.131)</w:t>
            </w:r>
          </w:p>
        </w:tc>
        <w:tc>
          <w:tcPr>
            <w:tcW w:w="1166" w:type="dxa"/>
            <w:tcBorders>
              <w:top w:val="nil"/>
              <w:left w:val="nil"/>
              <w:bottom w:val="nil"/>
              <w:right w:val="nil"/>
            </w:tcBorders>
            <w:shd w:val="clear" w:color="auto" w:fill="auto"/>
            <w:noWrap/>
            <w:vAlign w:val="bottom"/>
            <w:hideMark/>
          </w:tcPr>
          <w:p w14:paraId="254AFCDB" w14:textId="58B2CB84" w:rsidR="00306EC6" w:rsidRPr="00337135" w:rsidRDefault="00306EC6" w:rsidP="00306EC6">
            <w:pPr>
              <w:jc w:val="center"/>
              <w:rPr>
                <w:rFonts w:eastAsia="Times New Roman" w:cs="Times New Roman"/>
                <w:color w:val="000000"/>
                <w:sz w:val="20"/>
                <w:szCs w:val="20"/>
              </w:rPr>
            </w:pPr>
            <w:r>
              <w:rPr>
                <w:color w:val="000000"/>
                <w:sz w:val="20"/>
                <w:szCs w:val="20"/>
              </w:rPr>
              <w:t>(0.131)</w:t>
            </w:r>
          </w:p>
        </w:tc>
        <w:tc>
          <w:tcPr>
            <w:tcW w:w="1166" w:type="dxa"/>
            <w:tcBorders>
              <w:top w:val="nil"/>
              <w:left w:val="nil"/>
              <w:bottom w:val="nil"/>
              <w:right w:val="nil"/>
            </w:tcBorders>
            <w:shd w:val="clear" w:color="auto" w:fill="auto"/>
            <w:noWrap/>
            <w:vAlign w:val="bottom"/>
            <w:hideMark/>
          </w:tcPr>
          <w:p w14:paraId="48D313E2" w14:textId="66E160C7" w:rsidR="00306EC6" w:rsidRPr="00337135" w:rsidRDefault="00306EC6" w:rsidP="00306EC6">
            <w:pPr>
              <w:jc w:val="center"/>
              <w:rPr>
                <w:rFonts w:eastAsia="Times New Roman" w:cs="Times New Roman"/>
                <w:color w:val="000000"/>
                <w:sz w:val="20"/>
                <w:szCs w:val="20"/>
              </w:rPr>
            </w:pPr>
            <w:r>
              <w:rPr>
                <w:color w:val="000000"/>
                <w:sz w:val="20"/>
                <w:szCs w:val="20"/>
              </w:rPr>
              <w:t>(0.131)</w:t>
            </w:r>
          </w:p>
        </w:tc>
        <w:tc>
          <w:tcPr>
            <w:tcW w:w="1166" w:type="dxa"/>
            <w:tcBorders>
              <w:top w:val="nil"/>
              <w:left w:val="nil"/>
              <w:bottom w:val="nil"/>
              <w:right w:val="nil"/>
            </w:tcBorders>
            <w:shd w:val="clear" w:color="auto" w:fill="auto"/>
            <w:noWrap/>
            <w:vAlign w:val="bottom"/>
            <w:hideMark/>
          </w:tcPr>
          <w:p w14:paraId="64AE9306" w14:textId="1E6C924C" w:rsidR="00306EC6" w:rsidRPr="00337135" w:rsidRDefault="00306EC6" w:rsidP="00306EC6">
            <w:pPr>
              <w:jc w:val="center"/>
              <w:rPr>
                <w:rFonts w:eastAsia="Times New Roman" w:cs="Times New Roman"/>
                <w:color w:val="000000"/>
                <w:sz w:val="20"/>
                <w:szCs w:val="20"/>
              </w:rPr>
            </w:pPr>
            <w:r>
              <w:rPr>
                <w:color w:val="000000"/>
                <w:sz w:val="20"/>
                <w:szCs w:val="20"/>
              </w:rPr>
              <w:t>(0.124)</w:t>
            </w:r>
          </w:p>
        </w:tc>
        <w:tc>
          <w:tcPr>
            <w:tcW w:w="1166" w:type="dxa"/>
            <w:tcBorders>
              <w:top w:val="nil"/>
              <w:left w:val="nil"/>
              <w:bottom w:val="nil"/>
              <w:right w:val="nil"/>
            </w:tcBorders>
            <w:shd w:val="clear" w:color="auto" w:fill="auto"/>
            <w:noWrap/>
            <w:vAlign w:val="bottom"/>
            <w:hideMark/>
          </w:tcPr>
          <w:p w14:paraId="184B49CA" w14:textId="7F65991C" w:rsidR="00306EC6" w:rsidRPr="00337135" w:rsidRDefault="00306EC6" w:rsidP="00306EC6">
            <w:pPr>
              <w:jc w:val="center"/>
              <w:rPr>
                <w:rFonts w:eastAsia="Times New Roman" w:cs="Times New Roman"/>
                <w:color w:val="000000"/>
                <w:sz w:val="20"/>
                <w:szCs w:val="20"/>
              </w:rPr>
            </w:pPr>
            <w:r>
              <w:rPr>
                <w:color w:val="000000"/>
                <w:sz w:val="20"/>
                <w:szCs w:val="20"/>
              </w:rPr>
              <w:t>(0.125)</w:t>
            </w:r>
          </w:p>
        </w:tc>
        <w:tc>
          <w:tcPr>
            <w:tcW w:w="1166" w:type="dxa"/>
            <w:tcBorders>
              <w:top w:val="nil"/>
              <w:left w:val="nil"/>
              <w:bottom w:val="nil"/>
              <w:right w:val="nil"/>
            </w:tcBorders>
            <w:shd w:val="clear" w:color="auto" w:fill="auto"/>
            <w:noWrap/>
            <w:vAlign w:val="bottom"/>
            <w:hideMark/>
          </w:tcPr>
          <w:p w14:paraId="1B5A807C" w14:textId="2BC5D38A" w:rsidR="00306EC6" w:rsidRPr="00337135" w:rsidRDefault="00306EC6" w:rsidP="00306EC6">
            <w:pPr>
              <w:jc w:val="center"/>
              <w:rPr>
                <w:rFonts w:eastAsia="Times New Roman" w:cs="Times New Roman"/>
                <w:color w:val="000000"/>
                <w:sz w:val="20"/>
                <w:szCs w:val="20"/>
              </w:rPr>
            </w:pPr>
            <w:r>
              <w:rPr>
                <w:color w:val="000000"/>
                <w:sz w:val="20"/>
                <w:szCs w:val="20"/>
              </w:rPr>
              <w:t>(0.125)</w:t>
            </w:r>
          </w:p>
        </w:tc>
      </w:tr>
      <w:tr w:rsidR="00306EC6" w:rsidRPr="00337135" w14:paraId="74895DE2" w14:textId="77777777" w:rsidTr="00306EC6">
        <w:trPr>
          <w:trHeight w:val="255"/>
        </w:trPr>
        <w:tc>
          <w:tcPr>
            <w:tcW w:w="2000" w:type="dxa"/>
            <w:tcBorders>
              <w:top w:val="nil"/>
              <w:left w:val="nil"/>
              <w:bottom w:val="nil"/>
              <w:right w:val="nil"/>
            </w:tcBorders>
            <w:shd w:val="clear" w:color="auto" w:fill="auto"/>
            <w:noWrap/>
            <w:vAlign w:val="bottom"/>
            <w:hideMark/>
          </w:tcPr>
          <w:p w14:paraId="659144C8" w14:textId="46E02B03" w:rsidR="00306EC6" w:rsidRPr="00337135" w:rsidRDefault="00306EC6" w:rsidP="00306EC6">
            <w:pPr>
              <w:rPr>
                <w:rFonts w:eastAsia="Times New Roman" w:cs="Times New Roman"/>
                <w:color w:val="000000"/>
                <w:sz w:val="20"/>
                <w:szCs w:val="20"/>
              </w:rPr>
            </w:pPr>
            <w:r>
              <w:rPr>
                <w:color w:val="000000"/>
                <w:sz w:val="20"/>
                <w:szCs w:val="20"/>
              </w:rPr>
              <w:t>Gr 6 AY</w:t>
            </w:r>
          </w:p>
        </w:tc>
        <w:tc>
          <w:tcPr>
            <w:tcW w:w="1166" w:type="dxa"/>
            <w:tcBorders>
              <w:top w:val="nil"/>
              <w:left w:val="nil"/>
              <w:bottom w:val="nil"/>
              <w:right w:val="nil"/>
            </w:tcBorders>
            <w:shd w:val="clear" w:color="auto" w:fill="auto"/>
            <w:noWrap/>
            <w:vAlign w:val="bottom"/>
            <w:hideMark/>
          </w:tcPr>
          <w:p w14:paraId="110887FF" w14:textId="212AF0DD" w:rsidR="00306EC6" w:rsidRPr="00337135" w:rsidRDefault="00306EC6" w:rsidP="00306EC6">
            <w:pPr>
              <w:jc w:val="center"/>
              <w:rPr>
                <w:rFonts w:eastAsia="Times New Roman" w:cs="Times New Roman"/>
                <w:color w:val="000000"/>
                <w:sz w:val="20"/>
                <w:szCs w:val="20"/>
              </w:rPr>
            </w:pPr>
            <w:r>
              <w:rPr>
                <w:color w:val="000000"/>
                <w:sz w:val="20"/>
                <w:szCs w:val="20"/>
              </w:rPr>
              <w:t>0.847***</w:t>
            </w:r>
          </w:p>
        </w:tc>
        <w:tc>
          <w:tcPr>
            <w:tcW w:w="1166" w:type="dxa"/>
            <w:tcBorders>
              <w:top w:val="nil"/>
              <w:left w:val="nil"/>
              <w:bottom w:val="nil"/>
              <w:right w:val="nil"/>
            </w:tcBorders>
            <w:shd w:val="clear" w:color="auto" w:fill="auto"/>
            <w:noWrap/>
            <w:vAlign w:val="bottom"/>
            <w:hideMark/>
          </w:tcPr>
          <w:p w14:paraId="0F56053A" w14:textId="15EF2530" w:rsidR="00306EC6" w:rsidRPr="00337135" w:rsidRDefault="00306EC6" w:rsidP="00306EC6">
            <w:pPr>
              <w:jc w:val="center"/>
              <w:rPr>
                <w:rFonts w:eastAsia="Times New Roman" w:cs="Times New Roman"/>
                <w:color w:val="000000"/>
                <w:sz w:val="20"/>
                <w:szCs w:val="20"/>
              </w:rPr>
            </w:pPr>
            <w:r>
              <w:rPr>
                <w:color w:val="000000"/>
                <w:sz w:val="20"/>
                <w:szCs w:val="20"/>
              </w:rPr>
              <w:t>0.847***</w:t>
            </w:r>
          </w:p>
        </w:tc>
        <w:tc>
          <w:tcPr>
            <w:tcW w:w="1166" w:type="dxa"/>
            <w:tcBorders>
              <w:top w:val="nil"/>
              <w:left w:val="nil"/>
              <w:bottom w:val="nil"/>
              <w:right w:val="nil"/>
            </w:tcBorders>
            <w:shd w:val="clear" w:color="auto" w:fill="auto"/>
            <w:noWrap/>
            <w:vAlign w:val="bottom"/>
            <w:hideMark/>
          </w:tcPr>
          <w:p w14:paraId="72132F66" w14:textId="47A7400F" w:rsidR="00306EC6" w:rsidRPr="00337135" w:rsidRDefault="00306EC6" w:rsidP="00306EC6">
            <w:pPr>
              <w:jc w:val="center"/>
              <w:rPr>
                <w:rFonts w:eastAsia="Times New Roman" w:cs="Times New Roman"/>
                <w:color w:val="000000"/>
                <w:sz w:val="20"/>
                <w:szCs w:val="20"/>
              </w:rPr>
            </w:pPr>
            <w:r>
              <w:rPr>
                <w:color w:val="000000"/>
                <w:sz w:val="20"/>
                <w:szCs w:val="20"/>
              </w:rPr>
              <w:t>0.847***</w:t>
            </w:r>
          </w:p>
        </w:tc>
        <w:tc>
          <w:tcPr>
            <w:tcW w:w="1166" w:type="dxa"/>
            <w:tcBorders>
              <w:top w:val="nil"/>
              <w:left w:val="nil"/>
              <w:bottom w:val="nil"/>
              <w:right w:val="nil"/>
            </w:tcBorders>
            <w:shd w:val="clear" w:color="auto" w:fill="auto"/>
            <w:noWrap/>
            <w:vAlign w:val="bottom"/>
            <w:hideMark/>
          </w:tcPr>
          <w:p w14:paraId="650E5822" w14:textId="29BE7ED9" w:rsidR="00306EC6" w:rsidRPr="00337135" w:rsidRDefault="00306EC6" w:rsidP="00306EC6">
            <w:pPr>
              <w:jc w:val="center"/>
              <w:rPr>
                <w:rFonts w:eastAsia="Times New Roman" w:cs="Times New Roman"/>
                <w:color w:val="000000"/>
                <w:sz w:val="20"/>
                <w:szCs w:val="20"/>
              </w:rPr>
            </w:pPr>
            <w:r>
              <w:rPr>
                <w:color w:val="000000"/>
                <w:sz w:val="20"/>
                <w:szCs w:val="20"/>
              </w:rPr>
              <w:t>0.545***</w:t>
            </w:r>
          </w:p>
        </w:tc>
        <w:tc>
          <w:tcPr>
            <w:tcW w:w="1166" w:type="dxa"/>
            <w:tcBorders>
              <w:top w:val="nil"/>
              <w:left w:val="nil"/>
              <w:bottom w:val="nil"/>
              <w:right w:val="nil"/>
            </w:tcBorders>
            <w:shd w:val="clear" w:color="auto" w:fill="auto"/>
            <w:noWrap/>
            <w:vAlign w:val="bottom"/>
            <w:hideMark/>
          </w:tcPr>
          <w:p w14:paraId="725808C2" w14:textId="2288A805" w:rsidR="00306EC6" w:rsidRPr="00337135" w:rsidRDefault="00306EC6" w:rsidP="00306EC6">
            <w:pPr>
              <w:jc w:val="center"/>
              <w:rPr>
                <w:rFonts w:eastAsia="Times New Roman" w:cs="Times New Roman"/>
                <w:color w:val="000000"/>
                <w:sz w:val="20"/>
                <w:szCs w:val="20"/>
              </w:rPr>
            </w:pPr>
            <w:r>
              <w:rPr>
                <w:color w:val="000000"/>
                <w:sz w:val="20"/>
                <w:szCs w:val="20"/>
              </w:rPr>
              <w:t>0.547***</w:t>
            </w:r>
          </w:p>
        </w:tc>
        <w:tc>
          <w:tcPr>
            <w:tcW w:w="1166" w:type="dxa"/>
            <w:tcBorders>
              <w:top w:val="nil"/>
              <w:left w:val="nil"/>
              <w:bottom w:val="nil"/>
              <w:right w:val="nil"/>
            </w:tcBorders>
            <w:shd w:val="clear" w:color="auto" w:fill="auto"/>
            <w:noWrap/>
            <w:vAlign w:val="bottom"/>
            <w:hideMark/>
          </w:tcPr>
          <w:p w14:paraId="3654F6B5" w14:textId="4A8B5973" w:rsidR="00306EC6" w:rsidRPr="00337135" w:rsidRDefault="00306EC6" w:rsidP="00306EC6">
            <w:pPr>
              <w:jc w:val="center"/>
              <w:rPr>
                <w:rFonts w:eastAsia="Times New Roman" w:cs="Times New Roman"/>
                <w:color w:val="000000"/>
                <w:sz w:val="20"/>
                <w:szCs w:val="20"/>
              </w:rPr>
            </w:pPr>
            <w:r>
              <w:rPr>
                <w:color w:val="000000"/>
                <w:sz w:val="20"/>
                <w:szCs w:val="20"/>
              </w:rPr>
              <w:t>0.547***</w:t>
            </w:r>
          </w:p>
        </w:tc>
      </w:tr>
      <w:tr w:rsidR="00306EC6" w:rsidRPr="00337135" w14:paraId="6AD00258" w14:textId="77777777" w:rsidTr="00306EC6">
        <w:trPr>
          <w:trHeight w:val="255"/>
        </w:trPr>
        <w:tc>
          <w:tcPr>
            <w:tcW w:w="2000" w:type="dxa"/>
            <w:tcBorders>
              <w:top w:val="nil"/>
              <w:left w:val="nil"/>
              <w:bottom w:val="nil"/>
              <w:right w:val="nil"/>
            </w:tcBorders>
            <w:shd w:val="clear" w:color="auto" w:fill="auto"/>
            <w:noWrap/>
            <w:vAlign w:val="bottom"/>
            <w:hideMark/>
          </w:tcPr>
          <w:p w14:paraId="54E3A907"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CD84A2F" w14:textId="398D953F" w:rsidR="00306EC6" w:rsidRPr="00337135" w:rsidRDefault="00306EC6" w:rsidP="00306EC6">
            <w:pPr>
              <w:jc w:val="center"/>
              <w:rPr>
                <w:rFonts w:eastAsia="Times New Roman" w:cs="Times New Roman"/>
                <w:color w:val="000000"/>
                <w:sz w:val="20"/>
                <w:szCs w:val="20"/>
              </w:rPr>
            </w:pPr>
            <w:r>
              <w:rPr>
                <w:color w:val="000000"/>
                <w:sz w:val="20"/>
                <w:szCs w:val="20"/>
              </w:rPr>
              <w:t>(0.034)</w:t>
            </w:r>
          </w:p>
        </w:tc>
        <w:tc>
          <w:tcPr>
            <w:tcW w:w="1166" w:type="dxa"/>
            <w:tcBorders>
              <w:top w:val="nil"/>
              <w:left w:val="nil"/>
              <w:bottom w:val="nil"/>
              <w:right w:val="nil"/>
            </w:tcBorders>
            <w:shd w:val="clear" w:color="auto" w:fill="auto"/>
            <w:noWrap/>
            <w:vAlign w:val="bottom"/>
            <w:hideMark/>
          </w:tcPr>
          <w:p w14:paraId="50A2C258" w14:textId="21F2E10F" w:rsidR="00306EC6" w:rsidRPr="00337135" w:rsidRDefault="00306EC6" w:rsidP="00306EC6">
            <w:pPr>
              <w:jc w:val="center"/>
              <w:rPr>
                <w:rFonts w:eastAsia="Times New Roman" w:cs="Times New Roman"/>
                <w:color w:val="000000"/>
                <w:sz w:val="20"/>
                <w:szCs w:val="20"/>
              </w:rPr>
            </w:pPr>
            <w:r>
              <w:rPr>
                <w:color w:val="000000"/>
                <w:sz w:val="20"/>
                <w:szCs w:val="20"/>
              </w:rPr>
              <w:t>(0.034)</w:t>
            </w:r>
          </w:p>
        </w:tc>
        <w:tc>
          <w:tcPr>
            <w:tcW w:w="1166" w:type="dxa"/>
            <w:tcBorders>
              <w:top w:val="nil"/>
              <w:left w:val="nil"/>
              <w:bottom w:val="nil"/>
              <w:right w:val="nil"/>
            </w:tcBorders>
            <w:shd w:val="clear" w:color="auto" w:fill="auto"/>
            <w:noWrap/>
            <w:vAlign w:val="bottom"/>
            <w:hideMark/>
          </w:tcPr>
          <w:p w14:paraId="0F067892" w14:textId="7E14EBDF" w:rsidR="00306EC6" w:rsidRPr="00337135" w:rsidRDefault="00306EC6" w:rsidP="00306EC6">
            <w:pPr>
              <w:jc w:val="center"/>
              <w:rPr>
                <w:rFonts w:eastAsia="Times New Roman" w:cs="Times New Roman"/>
                <w:color w:val="000000"/>
                <w:sz w:val="20"/>
                <w:szCs w:val="20"/>
              </w:rPr>
            </w:pPr>
            <w:r>
              <w:rPr>
                <w:color w:val="000000"/>
                <w:sz w:val="20"/>
                <w:szCs w:val="20"/>
              </w:rPr>
              <w:t>(0.034)</w:t>
            </w:r>
          </w:p>
        </w:tc>
        <w:tc>
          <w:tcPr>
            <w:tcW w:w="1166" w:type="dxa"/>
            <w:tcBorders>
              <w:top w:val="nil"/>
              <w:left w:val="nil"/>
              <w:bottom w:val="nil"/>
              <w:right w:val="nil"/>
            </w:tcBorders>
            <w:shd w:val="clear" w:color="auto" w:fill="auto"/>
            <w:noWrap/>
            <w:vAlign w:val="bottom"/>
            <w:hideMark/>
          </w:tcPr>
          <w:p w14:paraId="064C4146" w14:textId="21470E2E" w:rsidR="00306EC6" w:rsidRPr="00337135" w:rsidRDefault="00306EC6" w:rsidP="00306EC6">
            <w:pPr>
              <w:jc w:val="center"/>
              <w:rPr>
                <w:rFonts w:eastAsia="Times New Roman" w:cs="Times New Roman"/>
                <w:color w:val="000000"/>
                <w:sz w:val="20"/>
                <w:szCs w:val="20"/>
              </w:rPr>
            </w:pPr>
            <w:r>
              <w:rPr>
                <w:color w:val="000000"/>
                <w:sz w:val="20"/>
                <w:szCs w:val="20"/>
              </w:rPr>
              <w:t>(0.039)</w:t>
            </w:r>
          </w:p>
        </w:tc>
        <w:tc>
          <w:tcPr>
            <w:tcW w:w="1166" w:type="dxa"/>
            <w:tcBorders>
              <w:top w:val="nil"/>
              <w:left w:val="nil"/>
              <w:bottom w:val="nil"/>
              <w:right w:val="nil"/>
            </w:tcBorders>
            <w:shd w:val="clear" w:color="auto" w:fill="auto"/>
            <w:noWrap/>
            <w:vAlign w:val="bottom"/>
            <w:hideMark/>
          </w:tcPr>
          <w:p w14:paraId="3670D1CD" w14:textId="667FA3F4" w:rsidR="00306EC6" w:rsidRPr="00337135" w:rsidRDefault="00306EC6" w:rsidP="00306EC6">
            <w:pPr>
              <w:jc w:val="center"/>
              <w:rPr>
                <w:rFonts w:eastAsia="Times New Roman" w:cs="Times New Roman"/>
                <w:color w:val="000000"/>
                <w:sz w:val="20"/>
                <w:szCs w:val="20"/>
              </w:rPr>
            </w:pPr>
            <w:r>
              <w:rPr>
                <w:color w:val="000000"/>
                <w:sz w:val="20"/>
                <w:szCs w:val="20"/>
              </w:rPr>
              <w:t>(0.039)</w:t>
            </w:r>
          </w:p>
        </w:tc>
        <w:tc>
          <w:tcPr>
            <w:tcW w:w="1166" w:type="dxa"/>
            <w:tcBorders>
              <w:top w:val="nil"/>
              <w:left w:val="nil"/>
              <w:bottom w:val="nil"/>
              <w:right w:val="nil"/>
            </w:tcBorders>
            <w:shd w:val="clear" w:color="auto" w:fill="auto"/>
            <w:noWrap/>
            <w:vAlign w:val="bottom"/>
            <w:hideMark/>
          </w:tcPr>
          <w:p w14:paraId="212D883B" w14:textId="292DE5E0" w:rsidR="00306EC6" w:rsidRPr="00337135" w:rsidRDefault="00306EC6" w:rsidP="00306EC6">
            <w:pPr>
              <w:jc w:val="center"/>
              <w:rPr>
                <w:rFonts w:eastAsia="Times New Roman" w:cs="Times New Roman"/>
                <w:color w:val="000000"/>
                <w:sz w:val="20"/>
                <w:szCs w:val="20"/>
              </w:rPr>
            </w:pPr>
            <w:r>
              <w:rPr>
                <w:color w:val="000000"/>
                <w:sz w:val="20"/>
                <w:szCs w:val="20"/>
              </w:rPr>
              <w:t>(0.039)</w:t>
            </w:r>
          </w:p>
        </w:tc>
      </w:tr>
      <w:tr w:rsidR="00306EC6" w:rsidRPr="00337135" w14:paraId="548BEB42" w14:textId="77777777" w:rsidTr="00306EC6">
        <w:trPr>
          <w:trHeight w:val="255"/>
        </w:trPr>
        <w:tc>
          <w:tcPr>
            <w:tcW w:w="2000" w:type="dxa"/>
            <w:tcBorders>
              <w:top w:val="nil"/>
              <w:left w:val="nil"/>
              <w:bottom w:val="nil"/>
              <w:right w:val="nil"/>
            </w:tcBorders>
            <w:shd w:val="clear" w:color="auto" w:fill="auto"/>
            <w:noWrap/>
            <w:vAlign w:val="bottom"/>
            <w:hideMark/>
          </w:tcPr>
          <w:p w14:paraId="48F6CBAD" w14:textId="7060E1FD" w:rsidR="00306EC6" w:rsidRPr="00337135" w:rsidRDefault="00306EC6" w:rsidP="00306EC6">
            <w:pPr>
              <w:rPr>
                <w:rFonts w:eastAsia="Times New Roman" w:cs="Times New Roman"/>
                <w:b/>
                <w:bCs/>
                <w:color w:val="000000"/>
                <w:sz w:val="20"/>
                <w:szCs w:val="20"/>
              </w:rPr>
            </w:pPr>
            <w:r>
              <w:rPr>
                <w:b/>
                <w:bCs/>
                <w:color w:val="000000"/>
                <w:sz w:val="20"/>
                <w:szCs w:val="20"/>
              </w:rPr>
              <w:t>DL x Gr 6 AY</w:t>
            </w:r>
          </w:p>
        </w:tc>
        <w:tc>
          <w:tcPr>
            <w:tcW w:w="1166" w:type="dxa"/>
            <w:tcBorders>
              <w:top w:val="nil"/>
              <w:left w:val="nil"/>
              <w:bottom w:val="nil"/>
              <w:right w:val="nil"/>
            </w:tcBorders>
            <w:shd w:val="clear" w:color="auto" w:fill="auto"/>
            <w:noWrap/>
            <w:vAlign w:val="bottom"/>
            <w:hideMark/>
          </w:tcPr>
          <w:p w14:paraId="3EF0804B" w14:textId="282CE6BE" w:rsidR="00306EC6" w:rsidRPr="00337135" w:rsidRDefault="00306EC6" w:rsidP="00306EC6">
            <w:pPr>
              <w:jc w:val="center"/>
              <w:rPr>
                <w:rFonts w:eastAsia="Times New Roman" w:cs="Times New Roman"/>
                <w:b/>
                <w:bCs/>
                <w:color w:val="000000"/>
                <w:sz w:val="20"/>
                <w:szCs w:val="20"/>
              </w:rPr>
            </w:pPr>
            <w:r>
              <w:rPr>
                <w:b/>
                <w:bCs/>
                <w:color w:val="000000"/>
                <w:sz w:val="20"/>
                <w:szCs w:val="20"/>
              </w:rPr>
              <w:t>0.069*</w:t>
            </w:r>
          </w:p>
        </w:tc>
        <w:tc>
          <w:tcPr>
            <w:tcW w:w="1166" w:type="dxa"/>
            <w:tcBorders>
              <w:top w:val="nil"/>
              <w:left w:val="nil"/>
              <w:bottom w:val="nil"/>
              <w:right w:val="nil"/>
            </w:tcBorders>
            <w:shd w:val="clear" w:color="auto" w:fill="auto"/>
            <w:noWrap/>
            <w:vAlign w:val="bottom"/>
            <w:hideMark/>
          </w:tcPr>
          <w:p w14:paraId="2B768BEC" w14:textId="616C2981" w:rsidR="00306EC6" w:rsidRPr="00337135" w:rsidRDefault="00306EC6" w:rsidP="00306EC6">
            <w:pPr>
              <w:jc w:val="center"/>
              <w:rPr>
                <w:rFonts w:eastAsia="Times New Roman" w:cs="Times New Roman"/>
                <w:b/>
                <w:bCs/>
                <w:color w:val="000000"/>
                <w:sz w:val="20"/>
                <w:szCs w:val="20"/>
              </w:rPr>
            </w:pPr>
            <w:r>
              <w:rPr>
                <w:b/>
                <w:bCs/>
                <w:color w:val="000000"/>
                <w:sz w:val="20"/>
                <w:szCs w:val="20"/>
              </w:rPr>
              <w:t>0.069*</w:t>
            </w:r>
          </w:p>
        </w:tc>
        <w:tc>
          <w:tcPr>
            <w:tcW w:w="1166" w:type="dxa"/>
            <w:tcBorders>
              <w:top w:val="nil"/>
              <w:left w:val="nil"/>
              <w:bottom w:val="nil"/>
              <w:right w:val="nil"/>
            </w:tcBorders>
            <w:shd w:val="clear" w:color="auto" w:fill="auto"/>
            <w:noWrap/>
            <w:vAlign w:val="bottom"/>
            <w:hideMark/>
          </w:tcPr>
          <w:p w14:paraId="7DE2ABEE" w14:textId="3069DDB0" w:rsidR="00306EC6" w:rsidRPr="00337135" w:rsidRDefault="00306EC6" w:rsidP="00306EC6">
            <w:pPr>
              <w:jc w:val="center"/>
              <w:rPr>
                <w:rFonts w:eastAsia="Times New Roman" w:cs="Times New Roman"/>
                <w:b/>
                <w:bCs/>
                <w:color w:val="000000"/>
                <w:sz w:val="20"/>
                <w:szCs w:val="20"/>
              </w:rPr>
            </w:pPr>
            <w:r>
              <w:rPr>
                <w:b/>
                <w:bCs/>
                <w:color w:val="000000"/>
                <w:sz w:val="20"/>
                <w:szCs w:val="20"/>
              </w:rPr>
              <w:t>0.069*</w:t>
            </w:r>
          </w:p>
        </w:tc>
        <w:tc>
          <w:tcPr>
            <w:tcW w:w="1166" w:type="dxa"/>
            <w:tcBorders>
              <w:top w:val="nil"/>
              <w:left w:val="nil"/>
              <w:bottom w:val="nil"/>
              <w:right w:val="nil"/>
            </w:tcBorders>
            <w:shd w:val="clear" w:color="auto" w:fill="auto"/>
            <w:noWrap/>
            <w:vAlign w:val="bottom"/>
            <w:hideMark/>
          </w:tcPr>
          <w:p w14:paraId="7BEAC96F" w14:textId="562E203C" w:rsidR="00306EC6" w:rsidRPr="00337135" w:rsidRDefault="00306EC6" w:rsidP="00306EC6">
            <w:pPr>
              <w:jc w:val="center"/>
              <w:rPr>
                <w:rFonts w:eastAsia="Times New Roman" w:cs="Times New Roman"/>
                <w:b/>
                <w:bCs/>
                <w:color w:val="000000"/>
                <w:sz w:val="20"/>
                <w:szCs w:val="20"/>
              </w:rPr>
            </w:pPr>
            <w:r>
              <w:rPr>
                <w:b/>
                <w:bCs/>
                <w:color w:val="000000"/>
                <w:sz w:val="20"/>
                <w:szCs w:val="20"/>
              </w:rPr>
              <w:t>-0.008</w:t>
            </w:r>
          </w:p>
        </w:tc>
        <w:tc>
          <w:tcPr>
            <w:tcW w:w="1166" w:type="dxa"/>
            <w:tcBorders>
              <w:top w:val="nil"/>
              <w:left w:val="nil"/>
              <w:bottom w:val="nil"/>
              <w:right w:val="nil"/>
            </w:tcBorders>
            <w:shd w:val="clear" w:color="auto" w:fill="auto"/>
            <w:noWrap/>
            <w:vAlign w:val="bottom"/>
            <w:hideMark/>
          </w:tcPr>
          <w:p w14:paraId="793EB0D1" w14:textId="4A733BC1" w:rsidR="00306EC6" w:rsidRPr="00337135" w:rsidRDefault="00306EC6" w:rsidP="00306EC6">
            <w:pPr>
              <w:jc w:val="center"/>
              <w:rPr>
                <w:rFonts w:eastAsia="Times New Roman" w:cs="Times New Roman"/>
                <w:b/>
                <w:bCs/>
                <w:color w:val="000000"/>
                <w:sz w:val="20"/>
                <w:szCs w:val="20"/>
              </w:rPr>
            </w:pPr>
            <w:r>
              <w:rPr>
                <w:b/>
                <w:bCs/>
                <w:color w:val="000000"/>
                <w:sz w:val="20"/>
                <w:szCs w:val="20"/>
              </w:rPr>
              <w:t>-0.009</w:t>
            </w:r>
          </w:p>
        </w:tc>
        <w:tc>
          <w:tcPr>
            <w:tcW w:w="1166" w:type="dxa"/>
            <w:tcBorders>
              <w:top w:val="nil"/>
              <w:left w:val="nil"/>
              <w:bottom w:val="nil"/>
              <w:right w:val="nil"/>
            </w:tcBorders>
            <w:shd w:val="clear" w:color="auto" w:fill="auto"/>
            <w:noWrap/>
            <w:vAlign w:val="bottom"/>
            <w:hideMark/>
          </w:tcPr>
          <w:p w14:paraId="751227C0" w14:textId="3867E907" w:rsidR="00306EC6" w:rsidRPr="00337135" w:rsidRDefault="00306EC6" w:rsidP="00306EC6">
            <w:pPr>
              <w:jc w:val="center"/>
              <w:rPr>
                <w:rFonts w:eastAsia="Times New Roman" w:cs="Times New Roman"/>
                <w:b/>
                <w:bCs/>
                <w:color w:val="000000"/>
                <w:sz w:val="20"/>
                <w:szCs w:val="20"/>
              </w:rPr>
            </w:pPr>
            <w:r>
              <w:rPr>
                <w:b/>
                <w:bCs/>
                <w:color w:val="000000"/>
                <w:sz w:val="20"/>
                <w:szCs w:val="20"/>
              </w:rPr>
              <w:t>-0.009</w:t>
            </w:r>
          </w:p>
        </w:tc>
      </w:tr>
      <w:tr w:rsidR="00306EC6" w:rsidRPr="00337135" w14:paraId="7BF10C34" w14:textId="77777777" w:rsidTr="00306EC6">
        <w:trPr>
          <w:trHeight w:val="255"/>
        </w:trPr>
        <w:tc>
          <w:tcPr>
            <w:tcW w:w="2000" w:type="dxa"/>
            <w:tcBorders>
              <w:top w:val="nil"/>
              <w:left w:val="nil"/>
              <w:bottom w:val="nil"/>
              <w:right w:val="nil"/>
            </w:tcBorders>
            <w:shd w:val="clear" w:color="auto" w:fill="auto"/>
            <w:noWrap/>
            <w:vAlign w:val="bottom"/>
            <w:hideMark/>
          </w:tcPr>
          <w:p w14:paraId="16CD1C38"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55C050A2" w14:textId="584E501B" w:rsidR="00306EC6" w:rsidRPr="00337135" w:rsidRDefault="00306EC6" w:rsidP="00306EC6">
            <w:pPr>
              <w:jc w:val="center"/>
              <w:rPr>
                <w:rFonts w:eastAsia="Times New Roman" w:cs="Times New Roman"/>
                <w:color w:val="000000"/>
                <w:sz w:val="20"/>
                <w:szCs w:val="20"/>
              </w:rPr>
            </w:pPr>
            <w:r>
              <w:rPr>
                <w:color w:val="000000"/>
                <w:sz w:val="20"/>
                <w:szCs w:val="20"/>
              </w:rPr>
              <w:t>(0.036)</w:t>
            </w:r>
          </w:p>
        </w:tc>
        <w:tc>
          <w:tcPr>
            <w:tcW w:w="1166" w:type="dxa"/>
            <w:tcBorders>
              <w:top w:val="nil"/>
              <w:left w:val="nil"/>
              <w:bottom w:val="nil"/>
              <w:right w:val="nil"/>
            </w:tcBorders>
            <w:shd w:val="clear" w:color="auto" w:fill="auto"/>
            <w:noWrap/>
            <w:vAlign w:val="bottom"/>
            <w:hideMark/>
          </w:tcPr>
          <w:p w14:paraId="4DE22AD8" w14:textId="4C0CADDC" w:rsidR="00306EC6" w:rsidRPr="00337135" w:rsidRDefault="00306EC6" w:rsidP="00306EC6">
            <w:pPr>
              <w:jc w:val="center"/>
              <w:rPr>
                <w:rFonts w:eastAsia="Times New Roman" w:cs="Times New Roman"/>
                <w:color w:val="000000"/>
                <w:sz w:val="20"/>
                <w:szCs w:val="20"/>
              </w:rPr>
            </w:pPr>
            <w:r>
              <w:rPr>
                <w:color w:val="000000"/>
                <w:sz w:val="20"/>
                <w:szCs w:val="20"/>
              </w:rPr>
              <w:t>(0.036)</w:t>
            </w:r>
          </w:p>
        </w:tc>
        <w:tc>
          <w:tcPr>
            <w:tcW w:w="1166" w:type="dxa"/>
            <w:tcBorders>
              <w:top w:val="nil"/>
              <w:left w:val="nil"/>
              <w:bottom w:val="nil"/>
              <w:right w:val="nil"/>
            </w:tcBorders>
            <w:shd w:val="clear" w:color="auto" w:fill="auto"/>
            <w:noWrap/>
            <w:vAlign w:val="bottom"/>
            <w:hideMark/>
          </w:tcPr>
          <w:p w14:paraId="7892920F" w14:textId="6D6AA209" w:rsidR="00306EC6" w:rsidRPr="00337135" w:rsidRDefault="00306EC6" w:rsidP="00306EC6">
            <w:pPr>
              <w:jc w:val="center"/>
              <w:rPr>
                <w:rFonts w:eastAsia="Times New Roman" w:cs="Times New Roman"/>
                <w:color w:val="000000"/>
                <w:sz w:val="20"/>
                <w:szCs w:val="20"/>
              </w:rPr>
            </w:pPr>
            <w:r>
              <w:rPr>
                <w:color w:val="000000"/>
                <w:sz w:val="20"/>
                <w:szCs w:val="20"/>
              </w:rPr>
              <w:t>(0.036)</w:t>
            </w:r>
          </w:p>
        </w:tc>
        <w:tc>
          <w:tcPr>
            <w:tcW w:w="1166" w:type="dxa"/>
            <w:tcBorders>
              <w:top w:val="nil"/>
              <w:left w:val="nil"/>
              <w:bottom w:val="nil"/>
              <w:right w:val="nil"/>
            </w:tcBorders>
            <w:shd w:val="clear" w:color="auto" w:fill="auto"/>
            <w:noWrap/>
            <w:vAlign w:val="bottom"/>
            <w:hideMark/>
          </w:tcPr>
          <w:p w14:paraId="29FA3160" w14:textId="0CC549FC" w:rsidR="00306EC6" w:rsidRPr="00337135" w:rsidRDefault="00306EC6" w:rsidP="00306EC6">
            <w:pPr>
              <w:jc w:val="center"/>
              <w:rPr>
                <w:rFonts w:eastAsia="Times New Roman" w:cs="Times New Roman"/>
                <w:color w:val="000000"/>
                <w:sz w:val="20"/>
                <w:szCs w:val="20"/>
              </w:rPr>
            </w:pPr>
            <w:r>
              <w:rPr>
                <w:color w:val="000000"/>
                <w:sz w:val="20"/>
                <w:szCs w:val="20"/>
              </w:rPr>
              <w:t>(0.046)</w:t>
            </w:r>
          </w:p>
        </w:tc>
        <w:tc>
          <w:tcPr>
            <w:tcW w:w="1166" w:type="dxa"/>
            <w:tcBorders>
              <w:top w:val="nil"/>
              <w:left w:val="nil"/>
              <w:bottom w:val="nil"/>
              <w:right w:val="nil"/>
            </w:tcBorders>
            <w:shd w:val="clear" w:color="auto" w:fill="auto"/>
            <w:noWrap/>
            <w:vAlign w:val="bottom"/>
            <w:hideMark/>
          </w:tcPr>
          <w:p w14:paraId="7E450750" w14:textId="22113EBD" w:rsidR="00306EC6" w:rsidRPr="00337135" w:rsidRDefault="00306EC6" w:rsidP="00306EC6">
            <w:pPr>
              <w:jc w:val="center"/>
              <w:rPr>
                <w:rFonts w:eastAsia="Times New Roman" w:cs="Times New Roman"/>
                <w:color w:val="000000"/>
                <w:sz w:val="20"/>
                <w:szCs w:val="20"/>
              </w:rPr>
            </w:pPr>
            <w:r>
              <w:rPr>
                <w:color w:val="000000"/>
                <w:sz w:val="20"/>
                <w:szCs w:val="20"/>
              </w:rPr>
              <w:t>(0.046)</w:t>
            </w:r>
          </w:p>
        </w:tc>
        <w:tc>
          <w:tcPr>
            <w:tcW w:w="1166" w:type="dxa"/>
            <w:tcBorders>
              <w:top w:val="nil"/>
              <w:left w:val="nil"/>
              <w:bottom w:val="nil"/>
              <w:right w:val="nil"/>
            </w:tcBorders>
            <w:shd w:val="clear" w:color="auto" w:fill="auto"/>
            <w:noWrap/>
            <w:vAlign w:val="bottom"/>
            <w:hideMark/>
          </w:tcPr>
          <w:p w14:paraId="3936874B" w14:textId="4D15C1E9" w:rsidR="00306EC6" w:rsidRPr="00337135" w:rsidRDefault="00306EC6" w:rsidP="00306EC6">
            <w:pPr>
              <w:jc w:val="center"/>
              <w:rPr>
                <w:rFonts w:eastAsia="Times New Roman" w:cs="Times New Roman"/>
                <w:color w:val="000000"/>
                <w:sz w:val="20"/>
                <w:szCs w:val="20"/>
              </w:rPr>
            </w:pPr>
            <w:r>
              <w:rPr>
                <w:color w:val="000000"/>
                <w:sz w:val="20"/>
                <w:szCs w:val="20"/>
              </w:rPr>
              <w:t>(0.046)</w:t>
            </w:r>
          </w:p>
        </w:tc>
      </w:tr>
      <w:tr w:rsidR="00306EC6" w:rsidRPr="00337135" w14:paraId="5BA8DAC4" w14:textId="77777777" w:rsidTr="00306EC6">
        <w:trPr>
          <w:trHeight w:val="255"/>
        </w:trPr>
        <w:tc>
          <w:tcPr>
            <w:tcW w:w="2000" w:type="dxa"/>
            <w:tcBorders>
              <w:top w:val="nil"/>
              <w:left w:val="nil"/>
              <w:bottom w:val="nil"/>
              <w:right w:val="nil"/>
            </w:tcBorders>
            <w:shd w:val="clear" w:color="auto" w:fill="auto"/>
            <w:noWrap/>
            <w:vAlign w:val="bottom"/>
            <w:hideMark/>
          </w:tcPr>
          <w:p w14:paraId="696E1D6D" w14:textId="28C9B0B6" w:rsidR="00306EC6" w:rsidRPr="00337135" w:rsidRDefault="00306EC6" w:rsidP="00306EC6">
            <w:pPr>
              <w:rPr>
                <w:rFonts w:eastAsia="Times New Roman" w:cs="Times New Roman"/>
                <w:color w:val="000000"/>
                <w:sz w:val="20"/>
                <w:szCs w:val="20"/>
              </w:rPr>
            </w:pPr>
            <w:r>
              <w:rPr>
                <w:color w:val="000000"/>
                <w:sz w:val="20"/>
                <w:szCs w:val="20"/>
              </w:rPr>
              <w:t>Gr 6 Summer</w:t>
            </w:r>
          </w:p>
        </w:tc>
        <w:tc>
          <w:tcPr>
            <w:tcW w:w="1166" w:type="dxa"/>
            <w:tcBorders>
              <w:top w:val="nil"/>
              <w:left w:val="nil"/>
              <w:bottom w:val="nil"/>
              <w:right w:val="nil"/>
            </w:tcBorders>
            <w:shd w:val="clear" w:color="auto" w:fill="auto"/>
            <w:noWrap/>
            <w:vAlign w:val="bottom"/>
            <w:hideMark/>
          </w:tcPr>
          <w:p w14:paraId="406BC639" w14:textId="260C90D5" w:rsidR="00306EC6" w:rsidRPr="00337135" w:rsidRDefault="00306EC6" w:rsidP="00306EC6">
            <w:pPr>
              <w:jc w:val="center"/>
              <w:rPr>
                <w:rFonts w:eastAsia="Times New Roman" w:cs="Times New Roman"/>
                <w:color w:val="000000"/>
                <w:sz w:val="20"/>
                <w:szCs w:val="20"/>
              </w:rPr>
            </w:pPr>
            <w:r>
              <w:rPr>
                <w:color w:val="000000"/>
                <w:sz w:val="20"/>
                <w:szCs w:val="20"/>
              </w:rPr>
              <w:t>-0.968***</w:t>
            </w:r>
          </w:p>
        </w:tc>
        <w:tc>
          <w:tcPr>
            <w:tcW w:w="1166" w:type="dxa"/>
            <w:tcBorders>
              <w:top w:val="nil"/>
              <w:left w:val="nil"/>
              <w:bottom w:val="nil"/>
              <w:right w:val="nil"/>
            </w:tcBorders>
            <w:shd w:val="clear" w:color="auto" w:fill="auto"/>
            <w:noWrap/>
            <w:vAlign w:val="bottom"/>
            <w:hideMark/>
          </w:tcPr>
          <w:p w14:paraId="01A05A91" w14:textId="30D0300D" w:rsidR="00306EC6" w:rsidRPr="00337135" w:rsidRDefault="00306EC6" w:rsidP="00306EC6">
            <w:pPr>
              <w:jc w:val="center"/>
              <w:rPr>
                <w:rFonts w:eastAsia="Times New Roman" w:cs="Times New Roman"/>
                <w:color w:val="000000"/>
                <w:sz w:val="20"/>
                <w:szCs w:val="20"/>
              </w:rPr>
            </w:pPr>
            <w:r>
              <w:rPr>
                <w:color w:val="000000"/>
                <w:sz w:val="20"/>
                <w:szCs w:val="20"/>
              </w:rPr>
              <w:t>-0.966***</w:t>
            </w:r>
          </w:p>
        </w:tc>
        <w:tc>
          <w:tcPr>
            <w:tcW w:w="1166" w:type="dxa"/>
            <w:tcBorders>
              <w:top w:val="nil"/>
              <w:left w:val="nil"/>
              <w:bottom w:val="nil"/>
              <w:right w:val="nil"/>
            </w:tcBorders>
            <w:shd w:val="clear" w:color="auto" w:fill="auto"/>
            <w:noWrap/>
            <w:vAlign w:val="bottom"/>
            <w:hideMark/>
          </w:tcPr>
          <w:p w14:paraId="7FBF28B1" w14:textId="75043C45" w:rsidR="00306EC6" w:rsidRPr="00337135" w:rsidRDefault="00306EC6" w:rsidP="00306EC6">
            <w:pPr>
              <w:jc w:val="center"/>
              <w:rPr>
                <w:rFonts w:eastAsia="Times New Roman" w:cs="Times New Roman"/>
                <w:color w:val="000000"/>
                <w:sz w:val="20"/>
                <w:szCs w:val="20"/>
              </w:rPr>
            </w:pPr>
            <w:r>
              <w:rPr>
                <w:color w:val="000000"/>
                <w:sz w:val="20"/>
                <w:szCs w:val="20"/>
              </w:rPr>
              <w:t>-0.966***</w:t>
            </w:r>
          </w:p>
        </w:tc>
        <w:tc>
          <w:tcPr>
            <w:tcW w:w="1166" w:type="dxa"/>
            <w:tcBorders>
              <w:top w:val="nil"/>
              <w:left w:val="nil"/>
              <w:bottom w:val="nil"/>
              <w:right w:val="nil"/>
            </w:tcBorders>
            <w:shd w:val="clear" w:color="auto" w:fill="auto"/>
            <w:noWrap/>
            <w:vAlign w:val="bottom"/>
            <w:hideMark/>
          </w:tcPr>
          <w:p w14:paraId="6388FB19" w14:textId="2EC47842" w:rsidR="00306EC6" w:rsidRPr="00337135" w:rsidRDefault="00306EC6" w:rsidP="00306EC6">
            <w:pPr>
              <w:jc w:val="center"/>
              <w:rPr>
                <w:rFonts w:eastAsia="Times New Roman" w:cs="Times New Roman"/>
                <w:color w:val="000000"/>
                <w:sz w:val="20"/>
                <w:szCs w:val="20"/>
              </w:rPr>
            </w:pPr>
            <w:r>
              <w:rPr>
                <w:color w:val="000000"/>
                <w:sz w:val="20"/>
                <w:szCs w:val="20"/>
              </w:rPr>
              <w:t>-0.411***</w:t>
            </w:r>
          </w:p>
        </w:tc>
        <w:tc>
          <w:tcPr>
            <w:tcW w:w="1166" w:type="dxa"/>
            <w:tcBorders>
              <w:top w:val="nil"/>
              <w:left w:val="nil"/>
              <w:bottom w:val="nil"/>
              <w:right w:val="nil"/>
            </w:tcBorders>
            <w:shd w:val="clear" w:color="auto" w:fill="auto"/>
            <w:noWrap/>
            <w:vAlign w:val="bottom"/>
            <w:hideMark/>
          </w:tcPr>
          <w:p w14:paraId="1915C992" w14:textId="1F6B23B2" w:rsidR="00306EC6" w:rsidRPr="00337135" w:rsidRDefault="00306EC6" w:rsidP="00306EC6">
            <w:pPr>
              <w:jc w:val="center"/>
              <w:rPr>
                <w:rFonts w:eastAsia="Times New Roman" w:cs="Times New Roman"/>
                <w:color w:val="000000"/>
                <w:sz w:val="20"/>
                <w:szCs w:val="20"/>
              </w:rPr>
            </w:pPr>
            <w:r>
              <w:rPr>
                <w:color w:val="000000"/>
                <w:sz w:val="20"/>
                <w:szCs w:val="20"/>
              </w:rPr>
              <w:t>-0.410***</w:t>
            </w:r>
          </w:p>
        </w:tc>
        <w:tc>
          <w:tcPr>
            <w:tcW w:w="1166" w:type="dxa"/>
            <w:tcBorders>
              <w:top w:val="nil"/>
              <w:left w:val="nil"/>
              <w:bottom w:val="nil"/>
              <w:right w:val="nil"/>
            </w:tcBorders>
            <w:shd w:val="clear" w:color="auto" w:fill="auto"/>
            <w:noWrap/>
            <w:vAlign w:val="bottom"/>
            <w:hideMark/>
          </w:tcPr>
          <w:p w14:paraId="73E2B78F" w14:textId="32F1621A" w:rsidR="00306EC6" w:rsidRPr="00337135" w:rsidRDefault="00306EC6" w:rsidP="00306EC6">
            <w:pPr>
              <w:jc w:val="center"/>
              <w:rPr>
                <w:rFonts w:eastAsia="Times New Roman" w:cs="Times New Roman"/>
                <w:color w:val="000000"/>
                <w:sz w:val="20"/>
                <w:szCs w:val="20"/>
              </w:rPr>
            </w:pPr>
            <w:r>
              <w:rPr>
                <w:color w:val="000000"/>
                <w:sz w:val="20"/>
                <w:szCs w:val="20"/>
              </w:rPr>
              <w:t>-0.411***</w:t>
            </w:r>
          </w:p>
        </w:tc>
      </w:tr>
      <w:tr w:rsidR="00306EC6" w:rsidRPr="00337135" w14:paraId="75BD2780" w14:textId="77777777" w:rsidTr="00306EC6">
        <w:trPr>
          <w:trHeight w:val="255"/>
        </w:trPr>
        <w:tc>
          <w:tcPr>
            <w:tcW w:w="2000" w:type="dxa"/>
            <w:tcBorders>
              <w:top w:val="nil"/>
              <w:left w:val="nil"/>
              <w:bottom w:val="nil"/>
              <w:right w:val="nil"/>
            </w:tcBorders>
            <w:shd w:val="clear" w:color="auto" w:fill="auto"/>
            <w:noWrap/>
            <w:vAlign w:val="bottom"/>
            <w:hideMark/>
          </w:tcPr>
          <w:p w14:paraId="77DD67BE"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03E1DC5D" w14:textId="3F5B97B6" w:rsidR="00306EC6" w:rsidRPr="00337135" w:rsidRDefault="00306EC6" w:rsidP="00306EC6">
            <w:pPr>
              <w:jc w:val="center"/>
              <w:rPr>
                <w:rFonts w:eastAsia="Times New Roman" w:cs="Times New Roman"/>
                <w:color w:val="000000"/>
                <w:sz w:val="20"/>
                <w:szCs w:val="20"/>
              </w:rPr>
            </w:pPr>
            <w:r>
              <w:rPr>
                <w:color w:val="000000"/>
                <w:sz w:val="20"/>
                <w:szCs w:val="20"/>
              </w:rPr>
              <w:t>(0.110)</w:t>
            </w:r>
          </w:p>
        </w:tc>
        <w:tc>
          <w:tcPr>
            <w:tcW w:w="1166" w:type="dxa"/>
            <w:tcBorders>
              <w:top w:val="nil"/>
              <w:left w:val="nil"/>
              <w:bottom w:val="nil"/>
              <w:right w:val="nil"/>
            </w:tcBorders>
            <w:shd w:val="clear" w:color="auto" w:fill="auto"/>
            <w:noWrap/>
            <w:vAlign w:val="bottom"/>
            <w:hideMark/>
          </w:tcPr>
          <w:p w14:paraId="0ACF847A" w14:textId="707080F4" w:rsidR="00306EC6" w:rsidRPr="00337135" w:rsidRDefault="00306EC6" w:rsidP="00306EC6">
            <w:pPr>
              <w:jc w:val="center"/>
              <w:rPr>
                <w:rFonts w:eastAsia="Times New Roman" w:cs="Times New Roman"/>
                <w:color w:val="000000"/>
                <w:sz w:val="20"/>
                <w:szCs w:val="20"/>
              </w:rPr>
            </w:pPr>
            <w:r>
              <w:rPr>
                <w:color w:val="000000"/>
                <w:sz w:val="20"/>
                <w:szCs w:val="20"/>
              </w:rPr>
              <w:t>(0.110)</w:t>
            </w:r>
          </w:p>
        </w:tc>
        <w:tc>
          <w:tcPr>
            <w:tcW w:w="1166" w:type="dxa"/>
            <w:tcBorders>
              <w:top w:val="nil"/>
              <w:left w:val="nil"/>
              <w:bottom w:val="nil"/>
              <w:right w:val="nil"/>
            </w:tcBorders>
            <w:shd w:val="clear" w:color="auto" w:fill="auto"/>
            <w:noWrap/>
            <w:vAlign w:val="bottom"/>
            <w:hideMark/>
          </w:tcPr>
          <w:p w14:paraId="5619E1A2" w14:textId="2D26CE71" w:rsidR="00306EC6" w:rsidRPr="00337135" w:rsidRDefault="00306EC6" w:rsidP="00306EC6">
            <w:pPr>
              <w:jc w:val="center"/>
              <w:rPr>
                <w:rFonts w:eastAsia="Times New Roman" w:cs="Times New Roman"/>
                <w:color w:val="000000"/>
                <w:sz w:val="20"/>
                <w:szCs w:val="20"/>
              </w:rPr>
            </w:pPr>
            <w:r>
              <w:rPr>
                <w:color w:val="000000"/>
                <w:sz w:val="20"/>
                <w:szCs w:val="20"/>
              </w:rPr>
              <w:t>(0.110)</w:t>
            </w:r>
          </w:p>
        </w:tc>
        <w:tc>
          <w:tcPr>
            <w:tcW w:w="1166" w:type="dxa"/>
            <w:tcBorders>
              <w:top w:val="nil"/>
              <w:left w:val="nil"/>
              <w:bottom w:val="nil"/>
              <w:right w:val="nil"/>
            </w:tcBorders>
            <w:shd w:val="clear" w:color="auto" w:fill="auto"/>
            <w:noWrap/>
            <w:vAlign w:val="bottom"/>
            <w:hideMark/>
          </w:tcPr>
          <w:p w14:paraId="39F1EF39" w14:textId="2C2A4368" w:rsidR="00306EC6" w:rsidRPr="00337135" w:rsidRDefault="00306EC6" w:rsidP="00306EC6">
            <w:pPr>
              <w:jc w:val="center"/>
              <w:rPr>
                <w:rFonts w:eastAsia="Times New Roman" w:cs="Times New Roman"/>
                <w:color w:val="000000"/>
                <w:sz w:val="20"/>
                <w:szCs w:val="20"/>
              </w:rPr>
            </w:pPr>
            <w:r>
              <w:rPr>
                <w:color w:val="000000"/>
                <w:sz w:val="20"/>
                <w:szCs w:val="20"/>
              </w:rPr>
              <w:t>(0.141)</w:t>
            </w:r>
          </w:p>
        </w:tc>
        <w:tc>
          <w:tcPr>
            <w:tcW w:w="1166" w:type="dxa"/>
            <w:tcBorders>
              <w:top w:val="nil"/>
              <w:left w:val="nil"/>
              <w:bottom w:val="nil"/>
              <w:right w:val="nil"/>
            </w:tcBorders>
            <w:shd w:val="clear" w:color="auto" w:fill="auto"/>
            <w:noWrap/>
            <w:vAlign w:val="bottom"/>
            <w:hideMark/>
          </w:tcPr>
          <w:p w14:paraId="117342B7" w14:textId="091A44A3" w:rsidR="00306EC6" w:rsidRPr="00337135" w:rsidRDefault="00306EC6" w:rsidP="00306EC6">
            <w:pPr>
              <w:jc w:val="center"/>
              <w:rPr>
                <w:rFonts w:eastAsia="Times New Roman" w:cs="Times New Roman"/>
                <w:color w:val="000000"/>
                <w:sz w:val="20"/>
                <w:szCs w:val="20"/>
              </w:rPr>
            </w:pPr>
            <w:r>
              <w:rPr>
                <w:color w:val="000000"/>
                <w:sz w:val="20"/>
                <w:szCs w:val="20"/>
              </w:rPr>
              <w:t>(0.141)</w:t>
            </w:r>
          </w:p>
        </w:tc>
        <w:tc>
          <w:tcPr>
            <w:tcW w:w="1166" w:type="dxa"/>
            <w:tcBorders>
              <w:top w:val="nil"/>
              <w:left w:val="nil"/>
              <w:bottom w:val="nil"/>
              <w:right w:val="nil"/>
            </w:tcBorders>
            <w:shd w:val="clear" w:color="auto" w:fill="auto"/>
            <w:noWrap/>
            <w:vAlign w:val="bottom"/>
            <w:hideMark/>
          </w:tcPr>
          <w:p w14:paraId="0DD31444" w14:textId="41CF899C" w:rsidR="00306EC6" w:rsidRPr="00337135" w:rsidRDefault="00306EC6" w:rsidP="00306EC6">
            <w:pPr>
              <w:jc w:val="center"/>
              <w:rPr>
                <w:rFonts w:eastAsia="Times New Roman" w:cs="Times New Roman"/>
                <w:color w:val="000000"/>
                <w:sz w:val="20"/>
                <w:szCs w:val="20"/>
              </w:rPr>
            </w:pPr>
            <w:r>
              <w:rPr>
                <w:color w:val="000000"/>
                <w:sz w:val="20"/>
                <w:szCs w:val="20"/>
              </w:rPr>
              <w:t>(0.141)</w:t>
            </w:r>
          </w:p>
        </w:tc>
      </w:tr>
      <w:tr w:rsidR="00306EC6" w:rsidRPr="00337135" w14:paraId="0CBD9F9B" w14:textId="77777777" w:rsidTr="00306EC6">
        <w:trPr>
          <w:trHeight w:val="255"/>
        </w:trPr>
        <w:tc>
          <w:tcPr>
            <w:tcW w:w="2000" w:type="dxa"/>
            <w:tcBorders>
              <w:top w:val="nil"/>
              <w:left w:val="nil"/>
              <w:bottom w:val="nil"/>
              <w:right w:val="nil"/>
            </w:tcBorders>
            <w:shd w:val="clear" w:color="auto" w:fill="auto"/>
            <w:noWrap/>
            <w:vAlign w:val="bottom"/>
            <w:hideMark/>
          </w:tcPr>
          <w:p w14:paraId="74A15F8B" w14:textId="717627D9" w:rsidR="00306EC6" w:rsidRPr="00337135" w:rsidRDefault="00306EC6" w:rsidP="00306EC6">
            <w:pPr>
              <w:rPr>
                <w:rFonts w:eastAsia="Times New Roman" w:cs="Times New Roman"/>
                <w:b/>
                <w:bCs/>
                <w:color w:val="000000"/>
                <w:sz w:val="20"/>
                <w:szCs w:val="20"/>
              </w:rPr>
            </w:pPr>
            <w:r>
              <w:rPr>
                <w:b/>
                <w:bCs/>
                <w:color w:val="000000"/>
                <w:sz w:val="20"/>
                <w:szCs w:val="20"/>
              </w:rPr>
              <w:t>DL x Gr 6 Summer</w:t>
            </w:r>
          </w:p>
        </w:tc>
        <w:tc>
          <w:tcPr>
            <w:tcW w:w="1166" w:type="dxa"/>
            <w:tcBorders>
              <w:top w:val="nil"/>
              <w:left w:val="nil"/>
              <w:bottom w:val="nil"/>
              <w:right w:val="nil"/>
            </w:tcBorders>
            <w:shd w:val="clear" w:color="auto" w:fill="auto"/>
            <w:noWrap/>
            <w:vAlign w:val="bottom"/>
            <w:hideMark/>
          </w:tcPr>
          <w:p w14:paraId="6DDB560C" w14:textId="2394F5A9" w:rsidR="00306EC6" w:rsidRPr="00337135" w:rsidRDefault="00306EC6" w:rsidP="00306EC6">
            <w:pPr>
              <w:jc w:val="center"/>
              <w:rPr>
                <w:rFonts w:eastAsia="Times New Roman" w:cs="Times New Roman"/>
                <w:b/>
                <w:bCs/>
                <w:color w:val="000000"/>
                <w:sz w:val="20"/>
                <w:szCs w:val="20"/>
              </w:rPr>
            </w:pPr>
            <w:r>
              <w:rPr>
                <w:b/>
                <w:bCs/>
                <w:color w:val="000000"/>
                <w:sz w:val="20"/>
                <w:szCs w:val="20"/>
              </w:rPr>
              <w:t>-0.332***</w:t>
            </w:r>
          </w:p>
        </w:tc>
        <w:tc>
          <w:tcPr>
            <w:tcW w:w="1166" w:type="dxa"/>
            <w:tcBorders>
              <w:top w:val="nil"/>
              <w:left w:val="nil"/>
              <w:bottom w:val="nil"/>
              <w:right w:val="nil"/>
            </w:tcBorders>
            <w:shd w:val="clear" w:color="auto" w:fill="auto"/>
            <w:noWrap/>
            <w:vAlign w:val="bottom"/>
            <w:hideMark/>
          </w:tcPr>
          <w:p w14:paraId="1281029F" w14:textId="526F93E5" w:rsidR="00306EC6" w:rsidRPr="00337135" w:rsidRDefault="00306EC6" w:rsidP="00306EC6">
            <w:pPr>
              <w:jc w:val="center"/>
              <w:rPr>
                <w:rFonts w:eastAsia="Times New Roman" w:cs="Times New Roman"/>
                <w:b/>
                <w:bCs/>
                <w:color w:val="000000"/>
                <w:sz w:val="20"/>
                <w:szCs w:val="20"/>
              </w:rPr>
            </w:pPr>
            <w:r>
              <w:rPr>
                <w:b/>
                <w:bCs/>
                <w:color w:val="000000"/>
                <w:sz w:val="20"/>
                <w:szCs w:val="20"/>
              </w:rPr>
              <w:t>-0.334***</w:t>
            </w:r>
          </w:p>
        </w:tc>
        <w:tc>
          <w:tcPr>
            <w:tcW w:w="1166" w:type="dxa"/>
            <w:tcBorders>
              <w:top w:val="nil"/>
              <w:left w:val="nil"/>
              <w:bottom w:val="nil"/>
              <w:right w:val="nil"/>
            </w:tcBorders>
            <w:shd w:val="clear" w:color="auto" w:fill="auto"/>
            <w:noWrap/>
            <w:vAlign w:val="bottom"/>
            <w:hideMark/>
          </w:tcPr>
          <w:p w14:paraId="7A4E55C4" w14:textId="44E189FB" w:rsidR="00306EC6" w:rsidRPr="00337135" w:rsidRDefault="00306EC6" w:rsidP="00306EC6">
            <w:pPr>
              <w:jc w:val="center"/>
              <w:rPr>
                <w:rFonts w:eastAsia="Times New Roman" w:cs="Times New Roman"/>
                <w:b/>
                <w:bCs/>
                <w:color w:val="000000"/>
                <w:sz w:val="20"/>
                <w:szCs w:val="20"/>
              </w:rPr>
            </w:pPr>
            <w:r>
              <w:rPr>
                <w:b/>
                <w:bCs/>
                <w:color w:val="000000"/>
                <w:sz w:val="20"/>
                <w:szCs w:val="20"/>
              </w:rPr>
              <w:t>-0.334***</w:t>
            </w:r>
          </w:p>
        </w:tc>
        <w:tc>
          <w:tcPr>
            <w:tcW w:w="1166" w:type="dxa"/>
            <w:tcBorders>
              <w:top w:val="nil"/>
              <w:left w:val="nil"/>
              <w:bottom w:val="nil"/>
              <w:right w:val="nil"/>
            </w:tcBorders>
            <w:shd w:val="clear" w:color="auto" w:fill="auto"/>
            <w:noWrap/>
            <w:vAlign w:val="bottom"/>
            <w:hideMark/>
          </w:tcPr>
          <w:p w14:paraId="2A3D2F66" w14:textId="45E7FF24" w:rsidR="00306EC6" w:rsidRPr="00337135" w:rsidRDefault="00306EC6" w:rsidP="00306EC6">
            <w:pPr>
              <w:jc w:val="center"/>
              <w:rPr>
                <w:rFonts w:eastAsia="Times New Roman" w:cs="Times New Roman"/>
                <w:b/>
                <w:bCs/>
                <w:color w:val="000000"/>
                <w:sz w:val="20"/>
                <w:szCs w:val="20"/>
              </w:rPr>
            </w:pPr>
            <w:r>
              <w:rPr>
                <w:b/>
                <w:bCs/>
                <w:color w:val="000000"/>
                <w:sz w:val="20"/>
                <w:szCs w:val="20"/>
              </w:rPr>
              <w:t>0.028</w:t>
            </w:r>
          </w:p>
        </w:tc>
        <w:tc>
          <w:tcPr>
            <w:tcW w:w="1166" w:type="dxa"/>
            <w:tcBorders>
              <w:top w:val="nil"/>
              <w:left w:val="nil"/>
              <w:bottom w:val="nil"/>
              <w:right w:val="nil"/>
            </w:tcBorders>
            <w:shd w:val="clear" w:color="auto" w:fill="auto"/>
            <w:noWrap/>
            <w:vAlign w:val="bottom"/>
            <w:hideMark/>
          </w:tcPr>
          <w:p w14:paraId="085024D0" w14:textId="0F71FCF0" w:rsidR="00306EC6" w:rsidRPr="00337135" w:rsidRDefault="00306EC6" w:rsidP="00306EC6">
            <w:pPr>
              <w:jc w:val="center"/>
              <w:rPr>
                <w:rFonts w:eastAsia="Times New Roman" w:cs="Times New Roman"/>
                <w:b/>
                <w:bCs/>
                <w:color w:val="000000"/>
                <w:sz w:val="20"/>
                <w:szCs w:val="20"/>
              </w:rPr>
            </w:pPr>
            <w:r>
              <w:rPr>
                <w:b/>
                <w:bCs/>
                <w:color w:val="000000"/>
                <w:sz w:val="20"/>
                <w:szCs w:val="20"/>
              </w:rPr>
              <w:t>0.026</w:t>
            </w:r>
          </w:p>
        </w:tc>
        <w:tc>
          <w:tcPr>
            <w:tcW w:w="1166" w:type="dxa"/>
            <w:tcBorders>
              <w:top w:val="nil"/>
              <w:left w:val="nil"/>
              <w:bottom w:val="nil"/>
              <w:right w:val="nil"/>
            </w:tcBorders>
            <w:shd w:val="clear" w:color="auto" w:fill="auto"/>
            <w:noWrap/>
            <w:vAlign w:val="bottom"/>
            <w:hideMark/>
          </w:tcPr>
          <w:p w14:paraId="05A1015A" w14:textId="00A0A92D" w:rsidR="00306EC6" w:rsidRPr="00337135" w:rsidRDefault="00306EC6" w:rsidP="00306EC6">
            <w:pPr>
              <w:jc w:val="center"/>
              <w:rPr>
                <w:rFonts w:eastAsia="Times New Roman" w:cs="Times New Roman"/>
                <w:b/>
                <w:bCs/>
                <w:color w:val="000000"/>
                <w:sz w:val="20"/>
                <w:szCs w:val="20"/>
              </w:rPr>
            </w:pPr>
            <w:r>
              <w:rPr>
                <w:b/>
                <w:bCs/>
                <w:color w:val="000000"/>
                <w:sz w:val="20"/>
                <w:szCs w:val="20"/>
              </w:rPr>
              <w:t>0.026</w:t>
            </w:r>
          </w:p>
        </w:tc>
      </w:tr>
      <w:tr w:rsidR="00306EC6" w:rsidRPr="00337135" w14:paraId="3F302E1A" w14:textId="77777777" w:rsidTr="00306EC6">
        <w:trPr>
          <w:trHeight w:val="255"/>
        </w:trPr>
        <w:tc>
          <w:tcPr>
            <w:tcW w:w="2000" w:type="dxa"/>
            <w:tcBorders>
              <w:top w:val="nil"/>
              <w:left w:val="nil"/>
              <w:bottom w:val="nil"/>
              <w:right w:val="nil"/>
            </w:tcBorders>
            <w:shd w:val="clear" w:color="auto" w:fill="auto"/>
            <w:noWrap/>
            <w:vAlign w:val="bottom"/>
            <w:hideMark/>
          </w:tcPr>
          <w:p w14:paraId="61A0C2D7"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6F5FA185" w14:textId="049EBD55" w:rsidR="00306EC6" w:rsidRPr="00337135" w:rsidRDefault="00306EC6" w:rsidP="00306EC6">
            <w:pPr>
              <w:jc w:val="center"/>
              <w:rPr>
                <w:rFonts w:eastAsia="Times New Roman" w:cs="Times New Roman"/>
                <w:color w:val="000000"/>
                <w:sz w:val="20"/>
                <w:szCs w:val="20"/>
              </w:rPr>
            </w:pPr>
            <w:r>
              <w:rPr>
                <w:color w:val="000000"/>
                <w:sz w:val="20"/>
                <w:szCs w:val="20"/>
              </w:rPr>
              <w:t>(0.119)</w:t>
            </w:r>
          </w:p>
        </w:tc>
        <w:tc>
          <w:tcPr>
            <w:tcW w:w="1166" w:type="dxa"/>
            <w:tcBorders>
              <w:top w:val="nil"/>
              <w:left w:val="nil"/>
              <w:bottom w:val="nil"/>
              <w:right w:val="nil"/>
            </w:tcBorders>
            <w:shd w:val="clear" w:color="auto" w:fill="auto"/>
            <w:noWrap/>
            <w:vAlign w:val="bottom"/>
            <w:hideMark/>
          </w:tcPr>
          <w:p w14:paraId="42C46F57" w14:textId="0DB22A5A" w:rsidR="00306EC6" w:rsidRPr="00337135" w:rsidRDefault="00306EC6" w:rsidP="00306EC6">
            <w:pPr>
              <w:jc w:val="center"/>
              <w:rPr>
                <w:rFonts w:eastAsia="Times New Roman" w:cs="Times New Roman"/>
                <w:color w:val="000000"/>
                <w:sz w:val="20"/>
                <w:szCs w:val="20"/>
              </w:rPr>
            </w:pPr>
            <w:r>
              <w:rPr>
                <w:color w:val="000000"/>
                <w:sz w:val="20"/>
                <w:szCs w:val="20"/>
              </w:rPr>
              <w:t>(0.118)</w:t>
            </w:r>
          </w:p>
        </w:tc>
        <w:tc>
          <w:tcPr>
            <w:tcW w:w="1166" w:type="dxa"/>
            <w:tcBorders>
              <w:top w:val="nil"/>
              <w:left w:val="nil"/>
              <w:bottom w:val="nil"/>
              <w:right w:val="nil"/>
            </w:tcBorders>
            <w:shd w:val="clear" w:color="auto" w:fill="auto"/>
            <w:noWrap/>
            <w:vAlign w:val="bottom"/>
            <w:hideMark/>
          </w:tcPr>
          <w:p w14:paraId="04F0388C" w14:textId="78482062" w:rsidR="00306EC6" w:rsidRPr="00337135" w:rsidRDefault="00306EC6" w:rsidP="00306EC6">
            <w:pPr>
              <w:jc w:val="center"/>
              <w:rPr>
                <w:rFonts w:eastAsia="Times New Roman" w:cs="Times New Roman"/>
                <w:color w:val="000000"/>
                <w:sz w:val="20"/>
                <w:szCs w:val="20"/>
              </w:rPr>
            </w:pPr>
            <w:r>
              <w:rPr>
                <w:color w:val="000000"/>
                <w:sz w:val="20"/>
                <w:szCs w:val="20"/>
              </w:rPr>
              <w:t>(0.118)</w:t>
            </w:r>
          </w:p>
        </w:tc>
        <w:tc>
          <w:tcPr>
            <w:tcW w:w="1166" w:type="dxa"/>
            <w:tcBorders>
              <w:top w:val="nil"/>
              <w:left w:val="nil"/>
              <w:bottom w:val="nil"/>
              <w:right w:val="nil"/>
            </w:tcBorders>
            <w:shd w:val="clear" w:color="auto" w:fill="auto"/>
            <w:noWrap/>
            <w:vAlign w:val="bottom"/>
            <w:hideMark/>
          </w:tcPr>
          <w:p w14:paraId="0EB60178" w14:textId="205B84D3" w:rsidR="00306EC6" w:rsidRPr="00337135" w:rsidRDefault="00306EC6" w:rsidP="00306EC6">
            <w:pPr>
              <w:jc w:val="center"/>
              <w:rPr>
                <w:rFonts w:eastAsia="Times New Roman" w:cs="Times New Roman"/>
                <w:color w:val="000000"/>
                <w:sz w:val="20"/>
                <w:szCs w:val="20"/>
              </w:rPr>
            </w:pPr>
            <w:r>
              <w:rPr>
                <w:color w:val="000000"/>
                <w:sz w:val="20"/>
                <w:szCs w:val="20"/>
              </w:rPr>
              <w:t>(0.152)</w:t>
            </w:r>
          </w:p>
        </w:tc>
        <w:tc>
          <w:tcPr>
            <w:tcW w:w="1166" w:type="dxa"/>
            <w:tcBorders>
              <w:top w:val="nil"/>
              <w:left w:val="nil"/>
              <w:bottom w:val="nil"/>
              <w:right w:val="nil"/>
            </w:tcBorders>
            <w:shd w:val="clear" w:color="auto" w:fill="auto"/>
            <w:noWrap/>
            <w:vAlign w:val="bottom"/>
            <w:hideMark/>
          </w:tcPr>
          <w:p w14:paraId="77630B51" w14:textId="047AD396" w:rsidR="00306EC6" w:rsidRPr="00337135" w:rsidRDefault="00306EC6" w:rsidP="00306EC6">
            <w:pPr>
              <w:jc w:val="center"/>
              <w:rPr>
                <w:rFonts w:eastAsia="Times New Roman" w:cs="Times New Roman"/>
                <w:color w:val="000000"/>
                <w:sz w:val="20"/>
                <w:szCs w:val="20"/>
              </w:rPr>
            </w:pPr>
            <w:r>
              <w:rPr>
                <w:color w:val="000000"/>
                <w:sz w:val="20"/>
                <w:szCs w:val="20"/>
              </w:rPr>
              <w:t>(0.152)</w:t>
            </w:r>
          </w:p>
        </w:tc>
        <w:tc>
          <w:tcPr>
            <w:tcW w:w="1166" w:type="dxa"/>
            <w:tcBorders>
              <w:top w:val="nil"/>
              <w:left w:val="nil"/>
              <w:bottom w:val="nil"/>
              <w:right w:val="nil"/>
            </w:tcBorders>
            <w:shd w:val="clear" w:color="auto" w:fill="auto"/>
            <w:noWrap/>
            <w:vAlign w:val="bottom"/>
            <w:hideMark/>
          </w:tcPr>
          <w:p w14:paraId="2DB62181" w14:textId="50426FBB" w:rsidR="00306EC6" w:rsidRPr="00337135" w:rsidRDefault="00306EC6" w:rsidP="00306EC6">
            <w:pPr>
              <w:jc w:val="center"/>
              <w:rPr>
                <w:rFonts w:eastAsia="Times New Roman" w:cs="Times New Roman"/>
                <w:color w:val="000000"/>
                <w:sz w:val="20"/>
                <w:szCs w:val="20"/>
              </w:rPr>
            </w:pPr>
            <w:r>
              <w:rPr>
                <w:color w:val="000000"/>
                <w:sz w:val="20"/>
                <w:szCs w:val="20"/>
              </w:rPr>
              <w:t>(0.152)</w:t>
            </w:r>
          </w:p>
        </w:tc>
      </w:tr>
      <w:tr w:rsidR="00306EC6" w:rsidRPr="00337135" w14:paraId="5966DA29" w14:textId="77777777" w:rsidTr="00306EC6">
        <w:trPr>
          <w:trHeight w:val="255"/>
        </w:trPr>
        <w:tc>
          <w:tcPr>
            <w:tcW w:w="2000" w:type="dxa"/>
            <w:tcBorders>
              <w:top w:val="nil"/>
              <w:left w:val="nil"/>
              <w:bottom w:val="nil"/>
              <w:right w:val="nil"/>
            </w:tcBorders>
            <w:shd w:val="clear" w:color="auto" w:fill="auto"/>
            <w:noWrap/>
            <w:vAlign w:val="bottom"/>
            <w:hideMark/>
          </w:tcPr>
          <w:p w14:paraId="366565ED" w14:textId="6956BD53" w:rsidR="00306EC6" w:rsidRPr="00337135" w:rsidRDefault="00306EC6" w:rsidP="00306EC6">
            <w:pPr>
              <w:rPr>
                <w:rFonts w:eastAsia="Times New Roman" w:cs="Times New Roman"/>
                <w:color w:val="000000"/>
                <w:sz w:val="20"/>
                <w:szCs w:val="20"/>
              </w:rPr>
            </w:pPr>
            <w:r>
              <w:rPr>
                <w:color w:val="000000"/>
                <w:sz w:val="20"/>
                <w:szCs w:val="20"/>
              </w:rPr>
              <w:t>Gr 7 AY</w:t>
            </w:r>
          </w:p>
        </w:tc>
        <w:tc>
          <w:tcPr>
            <w:tcW w:w="1166" w:type="dxa"/>
            <w:tcBorders>
              <w:top w:val="nil"/>
              <w:left w:val="nil"/>
              <w:bottom w:val="nil"/>
              <w:right w:val="nil"/>
            </w:tcBorders>
            <w:shd w:val="clear" w:color="auto" w:fill="auto"/>
            <w:noWrap/>
            <w:vAlign w:val="bottom"/>
            <w:hideMark/>
          </w:tcPr>
          <w:p w14:paraId="6B03FDB3" w14:textId="7BCF4766" w:rsidR="00306EC6" w:rsidRPr="00337135" w:rsidRDefault="00306EC6" w:rsidP="00306EC6">
            <w:pPr>
              <w:jc w:val="center"/>
              <w:rPr>
                <w:rFonts w:eastAsia="Times New Roman" w:cs="Times New Roman"/>
                <w:color w:val="000000"/>
                <w:sz w:val="20"/>
                <w:szCs w:val="20"/>
              </w:rPr>
            </w:pPr>
            <w:r>
              <w:rPr>
                <w:color w:val="000000"/>
                <w:sz w:val="20"/>
                <w:szCs w:val="20"/>
              </w:rPr>
              <w:t>0.597***</w:t>
            </w:r>
          </w:p>
        </w:tc>
        <w:tc>
          <w:tcPr>
            <w:tcW w:w="1166" w:type="dxa"/>
            <w:tcBorders>
              <w:top w:val="nil"/>
              <w:left w:val="nil"/>
              <w:bottom w:val="nil"/>
              <w:right w:val="nil"/>
            </w:tcBorders>
            <w:shd w:val="clear" w:color="auto" w:fill="auto"/>
            <w:noWrap/>
            <w:vAlign w:val="bottom"/>
            <w:hideMark/>
          </w:tcPr>
          <w:p w14:paraId="1328BC9B" w14:textId="5DAD761A" w:rsidR="00306EC6" w:rsidRPr="00337135" w:rsidRDefault="00306EC6" w:rsidP="00306EC6">
            <w:pPr>
              <w:jc w:val="center"/>
              <w:rPr>
                <w:rFonts w:eastAsia="Times New Roman" w:cs="Times New Roman"/>
                <w:color w:val="000000"/>
                <w:sz w:val="20"/>
                <w:szCs w:val="20"/>
              </w:rPr>
            </w:pPr>
            <w:r>
              <w:rPr>
                <w:color w:val="000000"/>
                <w:sz w:val="20"/>
                <w:szCs w:val="20"/>
              </w:rPr>
              <w:t>0.598***</w:t>
            </w:r>
          </w:p>
        </w:tc>
        <w:tc>
          <w:tcPr>
            <w:tcW w:w="1166" w:type="dxa"/>
            <w:tcBorders>
              <w:top w:val="nil"/>
              <w:left w:val="nil"/>
              <w:bottom w:val="nil"/>
              <w:right w:val="nil"/>
            </w:tcBorders>
            <w:shd w:val="clear" w:color="auto" w:fill="auto"/>
            <w:noWrap/>
            <w:vAlign w:val="bottom"/>
            <w:hideMark/>
          </w:tcPr>
          <w:p w14:paraId="1CD85476" w14:textId="14C56076" w:rsidR="00306EC6" w:rsidRPr="00337135" w:rsidRDefault="00306EC6" w:rsidP="00306EC6">
            <w:pPr>
              <w:jc w:val="center"/>
              <w:rPr>
                <w:rFonts w:eastAsia="Times New Roman" w:cs="Times New Roman"/>
                <w:color w:val="000000"/>
                <w:sz w:val="20"/>
                <w:szCs w:val="20"/>
              </w:rPr>
            </w:pPr>
            <w:r>
              <w:rPr>
                <w:color w:val="000000"/>
                <w:sz w:val="20"/>
                <w:szCs w:val="20"/>
              </w:rPr>
              <w:t>0.598***</w:t>
            </w:r>
          </w:p>
        </w:tc>
        <w:tc>
          <w:tcPr>
            <w:tcW w:w="1166" w:type="dxa"/>
            <w:tcBorders>
              <w:top w:val="nil"/>
              <w:left w:val="nil"/>
              <w:bottom w:val="nil"/>
              <w:right w:val="nil"/>
            </w:tcBorders>
            <w:shd w:val="clear" w:color="auto" w:fill="auto"/>
            <w:noWrap/>
            <w:vAlign w:val="bottom"/>
            <w:hideMark/>
          </w:tcPr>
          <w:p w14:paraId="322CF7A7" w14:textId="1EF256DC" w:rsidR="00306EC6" w:rsidRPr="00337135" w:rsidRDefault="00306EC6" w:rsidP="00306EC6">
            <w:pPr>
              <w:jc w:val="center"/>
              <w:rPr>
                <w:rFonts w:eastAsia="Times New Roman" w:cs="Times New Roman"/>
                <w:color w:val="000000"/>
                <w:sz w:val="20"/>
                <w:szCs w:val="20"/>
              </w:rPr>
            </w:pPr>
            <w:r>
              <w:rPr>
                <w:color w:val="000000"/>
                <w:sz w:val="20"/>
                <w:szCs w:val="20"/>
              </w:rPr>
              <w:t>0.376***</w:t>
            </w:r>
          </w:p>
        </w:tc>
        <w:tc>
          <w:tcPr>
            <w:tcW w:w="1166" w:type="dxa"/>
            <w:tcBorders>
              <w:top w:val="nil"/>
              <w:left w:val="nil"/>
              <w:bottom w:val="nil"/>
              <w:right w:val="nil"/>
            </w:tcBorders>
            <w:shd w:val="clear" w:color="auto" w:fill="auto"/>
            <w:noWrap/>
            <w:vAlign w:val="bottom"/>
            <w:hideMark/>
          </w:tcPr>
          <w:p w14:paraId="022591C5" w14:textId="21EFBEB2" w:rsidR="00306EC6" w:rsidRPr="00337135" w:rsidRDefault="00306EC6" w:rsidP="00306EC6">
            <w:pPr>
              <w:jc w:val="center"/>
              <w:rPr>
                <w:rFonts w:eastAsia="Times New Roman" w:cs="Times New Roman"/>
                <w:color w:val="000000"/>
                <w:sz w:val="20"/>
                <w:szCs w:val="20"/>
              </w:rPr>
            </w:pPr>
            <w:r>
              <w:rPr>
                <w:color w:val="000000"/>
                <w:sz w:val="20"/>
                <w:szCs w:val="20"/>
              </w:rPr>
              <w:t>0.378***</w:t>
            </w:r>
          </w:p>
        </w:tc>
        <w:tc>
          <w:tcPr>
            <w:tcW w:w="1166" w:type="dxa"/>
            <w:tcBorders>
              <w:top w:val="nil"/>
              <w:left w:val="nil"/>
              <w:bottom w:val="nil"/>
              <w:right w:val="nil"/>
            </w:tcBorders>
            <w:shd w:val="clear" w:color="auto" w:fill="auto"/>
            <w:noWrap/>
            <w:vAlign w:val="bottom"/>
            <w:hideMark/>
          </w:tcPr>
          <w:p w14:paraId="7655ECB5" w14:textId="37DFFC37" w:rsidR="00306EC6" w:rsidRPr="00337135" w:rsidRDefault="00306EC6" w:rsidP="00306EC6">
            <w:pPr>
              <w:jc w:val="center"/>
              <w:rPr>
                <w:rFonts w:eastAsia="Times New Roman" w:cs="Times New Roman"/>
                <w:color w:val="000000"/>
                <w:sz w:val="20"/>
                <w:szCs w:val="20"/>
              </w:rPr>
            </w:pPr>
            <w:r>
              <w:rPr>
                <w:color w:val="000000"/>
                <w:sz w:val="20"/>
                <w:szCs w:val="20"/>
              </w:rPr>
              <w:t>0.378***</w:t>
            </w:r>
          </w:p>
        </w:tc>
      </w:tr>
      <w:tr w:rsidR="00306EC6" w:rsidRPr="00337135" w14:paraId="4F95A5C0" w14:textId="77777777" w:rsidTr="00306EC6">
        <w:trPr>
          <w:trHeight w:val="255"/>
        </w:trPr>
        <w:tc>
          <w:tcPr>
            <w:tcW w:w="2000" w:type="dxa"/>
            <w:tcBorders>
              <w:top w:val="nil"/>
              <w:left w:val="nil"/>
              <w:bottom w:val="nil"/>
              <w:right w:val="nil"/>
            </w:tcBorders>
            <w:shd w:val="clear" w:color="auto" w:fill="auto"/>
            <w:noWrap/>
            <w:vAlign w:val="bottom"/>
            <w:hideMark/>
          </w:tcPr>
          <w:p w14:paraId="59CC31C8"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099EAC29" w14:textId="529307AF" w:rsidR="00306EC6" w:rsidRPr="00337135" w:rsidRDefault="00306EC6" w:rsidP="00306EC6">
            <w:pPr>
              <w:jc w:val="center"/>
              <w:rPr>
                <w:rFonts w:eastAsia="Times New Roman" w:cs="Times New Roman"/>
                <w:color w:val="000000"/>
                <w:sz w:val="20"/>
                <w:szCs w:val="20"/>
              </w:rPr>
            </w:pPr>
            <w:r>
              <w:rPr>
                <w:color w:val="000000"/>
                <w:sz w:val="20"/>
                <w:szCs w:val="20"/>
              </w:rPr>
              <w:t>(0.045)</w:t>
            </w:r>
          </w:p>
        </w:tc>
        <w:tc>
          <w:tcPr>
            <w:tcW w:w="1166" w:type="dxa"/>
            <w:tcBorders>
              <w:top w:val="nil"/>
              <w:left w:val="nil"/>
              <w:bottom w:val="nil"/>
              <w:right w:val="nil"/>
            </w:tcBorders>
            <w:shd w:val="clear" w:color="auto" w:fill="auto"/>
            <w:noWrap/>
            <w:vAlign w:val="bottom"/>
            <w:hideMark/>
          </w:tcPr>
          <w:p w14:paraId="273F66F4" w14:textId="63093428" w:rsidR="00306EC6" w:rsidRPr="00337135" w:rsidRDefault="00306EC6" w:rsidP="00306EC6">
            <w:pPr>
              <w:jc w:val="center"/>
              <w:rPr>
                <w:rFonts w:eastAsia="Times New Roman" w:cs="Times New Roman"/>
                <w:color w:val="000000"/>
                <w:sz w:val="20"/>
                <w:szCs w:val="20"/>
              </w:rPr>
            </w:pPr>
            <w:r>
              <w:rPr>
                <w:color w:val="000000"/>
                <w:sz w:val="20"/>
                <w:szCs w:val="20"/>
              </w:rPr>
              <w:t>(0.045)</w:t>
            </w:r>
          </w:p>
        </w:tc>
        <w:tc>
          <w:tcPr>
            <w:tcW w:w="1166" w:type="dxa"/>
            <w:tcBorders>
              <w:top w:val="nil"/>
              <w:left w:val="nil"/>
              <w:bottom w:val="nil"/>
              <w:right w:val="nil"/>
            </w:tcBorders>
            <w:shd w:val="clear" w:color="auto" w:fill="auto"/>
            <w:noWrap/>
            <w:vAlign w:val="bottom"/>
            <w:hideMark/>
          </w:tcPr>
          <w:p w14:paraId="465D721C" w14:textId="18F73F49" w:rsidR="00306EC6" w:rsidRPr="00337135" w:rsidRDefault="00306EC6" w:rsidP="00306EC6">
            <w:pPr>
              <w:jc w:val="center"/>
              <w:rPr>
                <w:rFonts w:eastAsia="Times New Roman" w:cs="Times New Roman"/>
                <w:color w:val="000000"/>
                <w:sz w:val="20"/>
                <w:szCs w:val="20"/>
              </w:rPr>
            </w:pPr>
            <w:r>
              <w:rPr>
                <w:color w:val="000000"/>
                <w:sz w:val="20"/>
                <w:szCs w:val="20"/>
              </w:rPr>
              <w:t>(0.045)</w:t>
            </w:r>
          </w:p>
        </w:tc>
        <w:tc>
          <w:tcPr>
            <w:tcW w:w="1166" w:type="dxa"/>
            <w:tcBorders>
              <w:top w:val="nil"/>
              <w:left w:val="nil"/>
              <w:bottom w:val="nil"/>
              <w:right w:val="nil"/>
            </w:tcBorders>
            <w:shd w:val="clear" w:color="auto" w:fill="auto"/>
            <w:noWrap/>
            <w:vAlign w:val="bottom"/>
            <w:hideMark/>
          </w:tcPr>
          <w:p w14:paraId="09EF835A" w14:textId="1D590B60" w:rsidR="00306EC6" w:rsidRPr="00337135" w:rsidRDefault="00306EC6" w:rsidP="00306EC6">
            <w:pPr>
              <w:jc w:val="center"/>
              <w:rPr>
                <w:rFonts w:eastAsia="Times New Roman" w:cs="Times New Roman"/>
                <w:color w:val="000000"/>
                <w:sz w:val="20"/>
                <w:szCs w:val="20"/>
              </w:rPr>
            </w:pPr>
            <w:r>
              <w:rPr>
                <w:color w:val="000000"/>
                <w:sz w:val="20"/>
                <w:szCs w:val="20"/>
              </w:rPr>
              <w:t>(0.043)</w:t>
            </w:r>
          </w:p>
        </w:tc>
        <w:tc>
          <w:tcPr>
            <w:tcW w:w="1166" w:type="dxa"/>
            <w:tcBorders>
              <w:top w:val="nil"/>
              <w:left w:val="nil"/>
              <w:bottom w:val="nil"/>
              <w:right w:val="nil"/>
            </w:tcBorders>
            <w:shd w:val="clear" w:color="auto" w:fill="auto"/>
            <w:noWrap/>
            <w:vAlign w:val="bottom"/>
            <w:hideMark/>
          </w:tcPr>
          <w:p w14:paraId="448ECBBE" w14:textId="781B19E5" w:rsidR="00306EC6" w:rsidRPr="00337135" w:rsidRDefault="00306EC6" w:rsidP="00306EC6">
            <w:pPr>
              <w:jc w:val="center"/>
              <w:rPr>
                <w:rFonts w:eastAsia="Times New Roman" w:cs="Times New Roman"/>
                <w:color w:val="000000"/>
                <w:sz w:val="20"/>
                <w:szCs w:val="20"/>
              </w:rPr>
            </w:pPr>
            <w:r>
              <w:rPr>
                <w:color w:val="000000"/>
                <w:sz w:val="20"/>
                <w:szCs w:val="20"/>
              </w:rPr>
              <w:t>(0.043)</w:t>
            </w:r>
          </w:p>
        </w:tc>
        <w:tc>
          <w:tcPr>
            <w:tcW w:w="1166" w:type="dxa"/>
            <w:tcBorders>
              <w:top w:val="nil"/>
              <w:left w:val="nil"/>
              <w:bottom w:val="nil"/>
              <w:right w:val="nil"/>
            </w:tcBorders>
            <w:shd w:val="clear" w:color="auto" w:fill="auto"/>
            <w:noWrap/>
            <w:vAlign w:val="bottom"/>
            <w:hideMark/>
          </w:tcPr>
          <w:p w14:paraId="352B0CC5" w14:textId="77F3F817" w:rsidR="00306EC6" w:rsidRPr="00337135" w:rsidRDefault="00306EC6" w:rsidP="00306EC6">
            <w:pPr>
              <w:jc w:val="center"/>
              <w:rPr>
                <w:rFonts w:eastAsia="Times New Roman" w:cs="Times New Roman"/>
                <w:color w:val="000000"/>
                <w:sz w:val="20"/>
                <w:szCs w:val="20"/>
              </w:rPr>
            </w:pPr>
            <w:r>
              <w:rPr>
                <w:color w:val="000000"/>
                <w:sz w:val="20"/>
                <w:szCs w:val="20"/>
              </w:rPr>
              <w:t>(0.043)</w:t>
            </w:r>
          </w:p>
        </w:tc>
      </w:tr>
      <w:tr w:rsidR="00306EC6" w:rsidRPr="00337135" w14:paraId="163695AB" w14:textId="77777777" w:rsidTr="00306EC6">
        <w:trPr>
          <w:trHeight w:val="255"/>
        </w:trPr>
        <w:tc>
          <w:tcPr>
            <w:tcW w:w="2000" w:type="dxa"/>
            <w:tcBorders>
              <w:top w:val="nil"/>
              <w:left w:val="nil"/>
              <w:bottom w:val="nil"/>
              <w:right w:val="nil"/>
            </w:tcBorders>
            <w:shd w:val="clear" w:color="auto" w:fill="auto"/>
            <w:noWrap/>
            <w:vAlign w:val="bottom"/>
            <w:hideMark/>
          </w:tcPr>
          <w:p w14:paraId="3B049BD4" w14:textId="333D9DD6" w:rsidR="00306EC6" w:rsidRPr="00337135" w:rsidRDefault="00306EC6" w:rsidP="00306EC6">
            <w:pPr>
              <w:rPr>
                <w:rFonts w:eastAsia="Times New Roman" w:cs="Times New Roman"/>
                <w:b/>
                <w:bCs/>
                <w:color w:val="000000"/>
                <w:sz w:val="20"/>
                <w:szCs w:val="20"/>
              </w:rPr>
            </w:pPr>
            <w:r>
              <w:rPr>
                <w:b/>
                <w:bCs/>
                <w:color w:val="000000"/>
                <w:sz w:val="20"/>
                <w:szCs w:val="20"/>
              </w:rPr>
              <w:t>DL x Gr 7 AY</w:t>
            </w:r>
          </w:p>
        </w:tc>
        <w:tc>
          <w:tcPr>
            <w:tcW w:w="1166" w:type="dxa"/>
            <w:tcBorders>
              <w:top w:val="nil"/>
              <w:left w:val="nil"/>
              <w:bottom w:val="nil"/>
              <w:right w:val="nil"/>
            </w:tcBorders>
            <w:shd w:val="clear" w:color="auto" w:fill="auto"/>
            <w:noWrap/>
            <w:vAlign w:val="bottom"/>
            <w:hideMark/>
          </w:tcPr>
          <w:p w14:paraId="3ADAEF21" w14:textId="7EAE802C" w:rsidR="00306EC6" w:rsidRPr="00337135" w:rsidRDefault="00306EC6" w:rsidP="00306EC6">
            <w:pPr>
              <w:jc w:val="center"/>
              <w:rPr>
                <w:rFonts w:eastAsia="Times New Roman" w:cs="Times New Roman"/>
                <w:b/>
                <w:bCs/>
                <w:color w:val="000000"/>
                <w:sz w:val="20"/>
                <w:szCs w:val="20"/>
              </w:rPr>
            </w:pPr>
            <w:r>
              <w:rPr>
                <w:b/>
                <w:bCs/>
                <w:color w:val="000000"/>
                <w:sz w:val="20"/>
                <w:szCs w:val="20"/>
              </w:rPr>
              <w:t>-0.050</w:t>
            </w:r>
          </w:p>
        </w:tc>
        <w:tc>
          <w:tcPr>
            <w:tcW w:w="1166" w:type="dxa"/>
            <w:tcBorders>
              <w:top w:val="nil"/>
              <w:left w:val="nil"/>
              <w:bottom w:val="nil"/>
              <w:right w:val="nil"/>
            </w:tcBorders>
            <w:shd w:val="clear" w:color="auto" w:fill="auto"/>
            <w:noWrap/>
            <w:vAlign w:val="bottom"/>
            <w:hideMark/>
          </w:tcPr>
          <w:p w14:paraId="7C149A07" w14:textId="22CF376F" w:rsidR="00306EC6" w:rsidRPr="00337135" w:rsidRDefault="00306EC6" w:rsidP="00306EC6">
            <w:pPr>
              <w:jc w:val="center"/>
              <w:rPr>
                <w:rFonts w:eastAsia="Times New Roman" w:cs="Times New Roman"/>
                <w:b/>
                <w:bCs/>
                <w:color w:val="000000"/>
                <w:sz w:val="20"/>
                <w:szCs w:val="20"/>
              </w:rPr>
            </w:pPr>
            <w:r>
              <w:rPr>
                <w:b/>
                <w:bCs/>
                <w:color w:val="000000"/>
                <w:sz w:val="20"/>
                <w:szCs w:val="20"/>
              </w:rPr>
              <w:t>-0.051</w:t>
            </w:r>
          </w:p>
        </w:tc>
        <w:tc>
          <w:tcPr>
            <w:tcW w:w="1166" w:type="dxa"/>
            <w:tcBorders>
              <w:top w:val="nil"/>
              <w:left w:val="nil"/>
              <w:bottom w:val="nil"/>
              <w:right w:val="nil"/>
            </w:tcBorders>
            <w:shd w:val="clear" w:color="auto" w:fill="auto"/>
            <w:noWrap/>
            <w:vAlign w:val="bottom"/>
            <w:hideMark/>
          </w:tcPr>
          <w:p w14:paraId="3D6604F7" w14:textId="2BB29822" w:rsidR="00306EC6" w:rsidRPr="00337135" w:rsidRDefault="00306EC6" w:rsidP="00306EC6">
            <w:pPr>
              <w:jc w:val="center"/>
              <w:rPr>
                <w:rFonts w:eastAsia="Times New Roman" w:cs="Times New Roman"/>
                <w:b/>
                <w:bCs/>
                <w:color w:val="000000"/>
                <w:sz w:val="20"/>
                <w:szCs w:val="20"/>
              </w:rPr>
            </w:pPr>
            <w:r>
              <w:rPr>
                <w:b/>
                <w:bCs/>
                <w:color w:val="000000"/>
                <w:sz w:val="20"/>
                <w:szCs w:val="20"/>
              </w:rPr>
              <w:t>-0.051</w:t>
            </w:r>
          </w:p>
        </w:tc>
        <w:tc>
          <w:tcPr>
            <w:tcW w:w="1166" w:type="dxa"/>
            <w:tcBorders>
              <w:top w:val="nil"/>
              <w:left w:val="nil"/>
              <w:bottom w:val="nil"/>
              <w:right w:val="nil"/>
            </w:tcBorders>
            <w:shd w:val="clear" w:color="auto" w:fill="auto"/>
            <w:noWrap/>
            <w:vAlign w:val="bottom"/>
            <w:hideMark/>
          </w:tcPr>
          <w:p w14:paraId="0DD94C7A" w14:textId="2A7273F0" w:rsidR="00306EC6" w:rsidRPr="00337135" w:rsidRDefault="00306EC6" w:rsidP="00306EC6">
            <w:pPr>
              <w:jc w:val="center"/>
              <w:rPr>
                <w:rFonts w:eastAsia="Times New Roman" w:cs="Times New Roman"/>
                <w:b/>
                <w:bCs/>
                <w:color w:val="000000"/>
                <w:sz w:val="20"/>
                <w:szCs w:val="20"/>
              </w:rPr>
            </w:pPr>
            <w:r>
              <w:rPr>
                <w:b/>
                <w:bCs/>
                <w:color w:val="000000"/>
                <w:sz w:val="20"/>
                <w:szCs w:val="20"/>
              </w:rPr>
              <w:t>0.034</w:t>
            </w:r>
          </w:p>
        </w:tc>
        <w:tc>
          <w:tcPr>
            <w:tcW w:w="1166" w:type="dxa"/>
            <w:tcBorders>
              <w:top w:val="nil"/>
              <w:left w:val="nil"/>
              <w:bottom w:val="nil"/>
              <w:right w:val="nil"/>
            </w:tcBorders>
            <w:shd w:val="clear" w:color="auto" w:fill="auto"/>
            <w:noWrap/>
            <w:vAlign w:val="bottom"/>
            <w:hideMark/>
          </w:tcPr>
          <w:p w14:paraId="6457A881" w14:textId="564EC75C" w:rsidR="00306EC6" w:rsidRPr="00337135" w:rsidRDefault="00306EC6" w:rsidP="00306EC6">
            <w:pPr>
              <w:jc w:val="center"/>
              <w:rPr>
                <w:rFonts w:eastAsia="Times New Roman" w:cs="Times New Roman"/>
                <w:b/>
                <w:bCs/>
                <w:color w:val="000000"/>
                <w:sz w:val="20"/>
                <w:szCs w:val="20"/>
              </w:rPr>
            </w:pPr>
            <w:r>
              <w:rPr>
                <w:b/>
                <w:bCs/>
                <w:color w:val="000000"/>
                <w:sz w:val="20"/>
                <w:szCs w:val="20"/>
              </w:rPr>
              <w:t>0.032</w:t>
            </w:r>
          </w:p>
        </w:tc>
        <w:tc>
          <w:tcPr>
            <w:tcW w:w="1166" w:type="dxa"/>
            <w:tcBorders>
              <w:top w:val="nil"/>
              <w:left w:val="nil"/>
              <w:bottom w:val="nil"/>
              <w:right w:val="nil"/>
            </w:tcBorders>
            <w:shd w:val="clear" w:color="auto" w:fill="auto"/>
            <w:noWrap/>
            <w:vAlign w:val="bottom"/>
            <w:hideMark/>
          </w:tcPr>
          <w:p w14:paraId="11E841F2" w14:textId="4CA19EAF" w:rsidR="00306EC6" w:rsidRPr="00337135" w:rsidRDefault="00306EC6" w:rsidP="00306EC6">
            <w:pPr>
              <w:jc w:val="center"/>
              <w:rPr>
                <w:rFonts w:eastAsia="Times New Roman" w:cs="Times New Roman"/>
                <w:b/>
                <w:bCs/>
                <w:color w:val="000000"/>
                <w:sz w:val="20"/>
                <w:szCs w:val="20"/>
              </w:rPr>
            </w:pPr>
            <w:r>
              <w:rPr>
                <w:b/>
                <w:bCs/>
                <w:color w:val="000000"/>
                <w:sz w:val="20"/>
                <w:szCs w:val="20"/>
              </w:rPr>
              <w:t>0.032</w:t>
            </w:r>
          </w:p>
        </w:tc>
      </w:tr>
      <w:tr w:rsidR="00306EC6" w:rsidRPr="00337135" w14:paraId="4481B9E1" w14:textId="77777777" w:rsidTr="00306EC6">
        <w:trPr>
          <w:trHeight w:val="255"/>
        </w:trPr>
        <w:tc>
          <w:tcPr>
            <w:tcW w:w="2000" w:type="dxa"/>
            <w:tcBorders>
              <w:top w:val="nil"/>
              <w:left w:val="nil"/>
              <w:bottom w:val="nil"/>
              <w:right w:val="nil"/>
            </w:tcBorders>
            <w:shd w:val="clear" w:color="auto" w:fill="auto"/>
            <w:noWrap/>
            <w:vAlign w:val="bottom"/>
            <w:hideMark/>
          </w:tcPr>
          <w:p w14:paraId="47186FCD"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0F85EB89" w14:textId="26A2870A" w:rsidR="00306EC6" w:rsidRPr="00337135" w:rsidRDefault="00306EC6" w:rsidP="00306EC6">
            <w:pPr>
              <w:jc w:val="center"/>
              <w:rPr>
                <w:rFonts w:eastAsia="Times New Roman" w:cs="Times New Roman"/>
                <w:color w:val="000000"/>
                <w:sz w:val="20"/>
                <w:szCs w:val="20"/>
              </w:rPr>
            </w:pPr>
            <w:r>
              <w:rPr>
                <w:color w:val="000000"/>
                <w:sz w:val="20"/>
                <w:szCs w:val="20"/>
              </w:rPr>
              <w:t>(0.053)</w:t>
            </w:r>
          </w:p>
        </w:tc>
        <w:tc>
          <w:tcPr>
            <w:tcW w:w="1166" w:type="dxa"/>
            <w:tcBorders>
              <w:top w:val="nil"/>
              <w:left w:val="nil"/>
              <w:bottom w:val="nil"/>
              <w:right w:val="nil"/>
            </w:tcBorders>
            <w:shd w:val="clear" w:color="auto" w:fill="auto"/>
            <w:noWrap/>
            <w:vAlign w:val="bottom"/>
            <w:hideMark/>
          </w:tcPr>
          <w:p w14:paraId="1FA99501" w14:textId="1AB5DFF2" w:rsidR="00306EC6" w:rsidRPr="00337135" w:rsidRDefault="00306EC6" w:rsidP="00306EC6">
            <w:pPr>
              <w:jc w:val="center"/>
              <w:rPr>
                <w:rFonts w:eastAsia="Times New Roman" w:cs="Times New Roman"/>
                <w:color w:val="000000"/>
                <w:sz w:val="20"/>
                <w:szCs w:val="20"/>
              </w:rPr>
            </w:pPr>
            <w:r>
              <w:rPr>
                <w:color w:val="000000"/>
                <w:sz w:val="20"/>
                <w:szCs w:val="20"/>
              </w:rPr>
              <w:t>(0.053)</w:t>
            </w:r>
          </w:p>
        </w:tc>
        <w:tc>
          <w:tcPr>
            <w:tcW w:w="1166" w:type="dxa"/>
            <w:tcBorders>
              <w:top w:val="nil"/>
              <w:left w:val="nil"/>
              <w:bottom w:val="nil"/>
              <w:right w:val="nil"/>
            </w:tcBorders>
            <w:shd w:val="clear" w:color="auto" w:fill="auto"/>
            <w:noWrap/>
            <w:vAlign w:val="bottom"/>
            <w:hideMark/>
          </w:tcPr>
          <w:p w14:paraId="47C5FD9C" w14:textId="610CD3D7" w:rsidR="00306EC6" w:rsidRPr="00337135" w:rsidRDefault="00306EC6" w:rsidP="00306EC6">
            <w:pPr>
              <w:jc w:val="center"/>
              <w:rPr>
                <w:rFonts w:eastAsia="Times New Roman" w:cs="Times New Roman"/>
                <w:color w:val="000000"/>
                <w:sz w:val="20"/>
                <w:szCs w:val="20"/>
              </w:rPr>
            </w:pPr>
            <w:r>
              <w:rPr>
                <w:color w:val="000000"/>
                <w:sz w:val="20"/>
                <w:szCs w:val="20"/>
              </w:rPr>
              <w:t>(0.053)</w:t>
            </w:r>
          </w:p>
        </w:tc>
        <w:tc>
          <w:tcPr>
            <w:tcW w:w="1166" w:type="dxa"/>
            <w:tcBorders>
              <w:top w:val="nil"/>
              <w:left w:val="nil"/>
              <w:bottom w:val="nil"/>
              <w:right w:val="nil"/>
            </w:tcBorders>
            <w:shd w:val="clear" w:color="auto" w:fill="auto"/>
            <w:noWrap/>
            <w:vAlign w:val="bottom"/>
            <w:hideMark/>
          </w:tcPr>
          <w:p w14:paraId="119F36FF" w14:textId="480DB29D" w:rsidR="00306EC6" w:rsidRPr="00337135" w:rsidRDefault="00306EC6" w:rsidP="00306EC6">
            <w:pPr>
              <w:jc w:val="center"/>
              <w:rPr>
                <w:rFonts w:eastAsia="Times New Roman" w:cs="Times New Roman"/>
                <w:color w:val="000000"/>
                <w:sz w:val="20"/>
                <w:szCs w:val="20"/>
              </w:rPr>
            </w:pPr>
            <w:r>
              <w:rPr>
                <w:color w:val="000000"/>
                <w:sz w:val="20"/>
                <w:szCs w:val="20"/>
              </w:rPr>
              <w:t>(0.059)</w:t>
            </w:r>
          </w:p>
        </w:tc>
        <w:tc>
          <w:tcPr>
            <w:tcW w:w="1166" w:type="dxa"/>
            <w:tcBorders>
              <w:top w:val="nil"/>
              <w:left w:val="nil"/>
              <w:bottom w:val="nil"/>
              <w:right w:val="nil"/>
            </w:tcBorders>
            <w:shd w:val="clear" w:color="auto" w:fill="auto"/>
            <w:noWrap/>
            <w:vAlign w:val="bottom"/>
            <w:hideMark/>
          </w:tcPr>
          <w:p w14:paraId="240D88A4" w14:textId="5AD5C4C9" w:rsidR="00306EC6" w:rsidRPr="00337135" w:rsidRDefault="00306EC6" w:rsidP="00306EC6">
            <w:pPr>
              <w:jc w:val="center"/>
              <w:rPr>
                <w:rFonts w:eastAsia="Times New Roman" w:cs="Times New Roman"/>
                <w:color w:val="000000"/>
                <w:sz w:val="20"/>
                <w:szCs w:val="20"/>
              </w:rPr>
            </w:pPr>
            <w:r>
              <w:rPr>
                <w:color w:val="000000"/>
                <w:sz w:val="20"/>
                <w:szCs w:val="20"/>
              </w:rPr>
              <w:t>(0.059)</w:t>
            </w:r>
          </w:p>
        </w:tc>
        <w:tc>
          <w:tcPr>
            <w:tcW w:w="1166" w:type="dxa"/>
            <w:tcBorders>
              <w:top w:val="nil"/>
              <w:left w:val="nil"/>
              <w:bottom w:val="nil"/>
              <w:right w:val="nil"/>
            </w:tcBorders>
            <w:shd w:val="clear" w:color="auto" w:fill="auto"/>
            <w:noWrap/>
            <w:vAlign w:val="bottom"/>
            <w:hideMark/>
          </w:tcPr>
          <w:p w14:paraId="363FB14D" w14:textId="3E971262" w:rsidR="00306EC6" w:rsidRPr="00337135" w:rsidRDefault="00306EC6" w:rsidP="00306EC6">
            <w:pPr>
              <w:jc w:val="center"/>
              <w:rPr>
                <w:rFonts w:eastAsia="Times New Roman" w:cs="Times New Roman"/>
                <w:color w:val="000000"/>
                <w:sz w:val="20"/>
                <w:szCs w:val="20"/>
              </w:rPr>
            </w:pPr>
            <w:r>
              <w:rPr>
                <w:color w:val="000000"/>
                <w:sz w:val="20"/>
                <w:szCs w:val="20"/>
              </w:rPr>
              <w:t>(0.059)</w:t>
            </w:r>
          </w:p>
        </w:tc>
      </w:tr>
      <w:tr w:rsidR="00306EC6" w:rsidRPr="00337135" w14:paraId="23A3EC4C" w14:textId="77777777" w:rsidTr="00306EC6">
        <w:trPr>
          <w:trHeight w:val="255"/>
        </w:trPr>
        <w:tc>
          <w:tcPr>
            <w:tcW w:w="2000" w:type="dxa"/>
            <w:tcBorders>
              <w:top w:val="nil"/>
              <w:left w:val="nil"/>
              <w:bottom w:val="nil"/>
              <w:right w:val="nil"/>
            </w:tcBorders>
            <w:shd w:val="clear" w:color="auto" w:fill="auto"/>
            <w:noWrap/>
            <w:vAlign w:val="bottom"/>
            <w:hideMark/>
          </w:tcPr>
          <w:p w14:paraId="3FC4BD96" w14:textId="22310C32" w:rsidR="00306EC6" w:rsidRPr="00337135" w:rsidRDefault="00306EC6" w:rsidP="00306EC6">
            <w:pPr>
              <w:rPr>
                <w:rFonts w:eastAsia="Times New Roman" w:cs="Times New Roman"/>
                <w:color w:val="000000"/>
                <w:sz w:val="20"/>
                <w:szCs w:val="20"/>
              </w:rPr>
            </w:pPr>
            <w:r>
              <w:rPr>
                <w:color w:val="000000"/>
                <w:sz w:val="20"/>
                <w:szCs w:val="20"/>
              </w:rPr>
              <w:lastRenderedPageBreak/>
              <w:t>Gr 7 Summer</w:t>
            </w:r>
          </w:p>
        </w:tc>
        <w:tc>
          <w:tcPr>
            <w:tcW w:w="1166" w:type="dxa"/>
            <w:tcBorders>
              <w:top w:val="nil"/>
              <w:left w:val="nil"/>
              <w:bottom w:val="nil"/>
              <w:right w:val="nil"/>
            </w:tcBorders>
            <w:shd w:val="clear" w:color="auto" w:fill="auto"/>
            <w:noWrap/>
            <w:vAlign w:val="bottom"/>
            <w:hideMark/>
          </w:tcPr>
          <w:p w14:paraId="79A9FCF4" w14:textId="74BD8BA0" w:rsidR="00306EC6" w:rsidRPr="00337135" w:rsidRDefault="00306EC6" w:rsidP="00306EC6">
            <w:pPr>
              <w:jc w:val="center"/>
              <w:rPr>
                <w:rFonts w:eastAsia="Times New Roman" w:cs="Times New Roman"/>
                <w:color w:val="000000"/>
                <w:sz w:val="20"/>
                <w:szCs w:val="20"/>
              </w:rPr>
            </w:pPr>
            <w:r>
              <w:rPr>
                <w:color w:val="000000"/>
                <w:sz w:val="20"/>
                <w:szCs w:val="20"/>
              </w:rPr>
              <w:t>-0.330***</w:t>
            </w:r>
          </w:p>
        </w:tc>
        <w:tc>
          <w:tcPr>
            <w:tcW w:w="1166" w:type="dxa"/>
            <w:tcBorders>
              <w:top w:val="nil"/>
              <w:left w:val="nil"/>
              <w:bottom w:val="nil"/>
              <w:right w:val="nil"/>
            </w:tcBorders>
            <w:shd w:val="clear" w:color="auto" w:fill="auto"/>
            <w:noWrap/>
            <w:vAlign w:val="bottom"/>
            <w:hideMark/>
          </w:tcPr>
          <w:p w14:paraId="095A1833" w14:textId="3F523D14" w:rsidR="00306EC6" w:rsidRPr="00337135" w:rsidRDefault="00306EC6" w:rsidP="00306EC6">
            <w:pPr>
              <w:jc w:val="center"/>
              <w:rPr>
                <w:rFonts w:eastAsia="Times New Roman" w:cs="Times New Roman"/>
                <w:color w:val="000000"/>
                <w:sz w:val="20"/>
                <w:szCs w:val="20"/>
              </w:rPr>
            </w:pPr>
            <w:r>
              <w:rPr>
                <w:color w:val="000000"/>
                <w:sz w:val="20"/>
                <w:szCs w:val="20"/>
              </w:rPr>
              <w:t>-0.330***</w:t>
            </w:r>
          </w:p>
        </w:tc>
        <w:tc>
          <w:tcPr>
            <w:tcW w:w="1166" w:type="dxa"/>
            <w:tcBorders>
              <w:top w:val="nil"/>
              <w:left w:val="nil"/>
              <w:bottom w:val="nil"/>
              <w:right w:val="nil"/>
            </w:tcBorders>
            <w:shd w:val="clear" w:color="auto" w:fill="auto"/>
            <w:noWrap/>
            <w:vAlign w:val="bottom"/>
            <w:hideMark/>
          </w:tcPr>
          <w:p w14:paraId="605F243B" w14:textId="39509240" w:rsidR="00306EC6" w:rsidRPr="00337135" w:rsidRDefault="00306EC6" w:rsidP="00306EC6">
            <w:pPr>
              <w:jc w:val="center"/>
              <w:rPr>
                <w:rFonts w:eastAsia="Times New Roman" w:cs="Times New Roman"/>
                <w:color w:val="000000"/>
                <w:sz w:val="20"/>
                <w:szCs w:val="20"/>
              </w:rPr>
            </w:pPr>
            <w:r>
              <w:rPr>
                <w:color w:val="000000"/>
                <w:sz w:val="20"/>
                <w:szCs w:val="20"/>
              </w:rPr>
              <w:t>-0.330***</w:t>
            </w:r>
          </w:p>
        </w:tc>
        <w:tc>
          <w:tcPr>
            <w:tcW w:w="1166" w:type="dxa"/>
            <w:tcBorders>
              <w:top w:val="nil"/>
              <w:left w:val="nil"/>
              <w:bottom w:val="nil"/>
              <w:right w:val="nil"/>
            </w:tcBorders>
            <w:shd w:val="clear" w:color="auto" w:fill="auto"/>
            <w:noWrap/>
            <w:vAlign w:val="bottom"/>
            <w:hideMark/>
          </w:tcPr>
          <w:p w14:paraId="3CFDE51E" w14:textId="32548428" w:rsidR="00306EC6" w:rsidRPr="00337135" w:rsidRDefault="00306EC6" w:rsidP="00306EC6">
            <w:pPr>
              <w:jc w:val="center"/>
              <w:rPr>
                <w:rFonts w:eastAsia="Times New Roman" w:cs="Times New Roman"/>
                <w:color w:val="000000"/>
                <w:sz w:val="20"/>
                <w:szCs w:val="20"/>
              </w:rPr>
            </w:pPr>
            <w:r>
              <w:rPr>
                <w:color w:val="000000"/>
                <w:sz w:val="20"/>
                <w:szCs w:val="20"/>
              </w:rPr>
              <w:t>0.083</w:t>
            </w:r>
          </w:p>
        </w:tc>
        <w:tc>
          <w:tcPr>
            <w:tcW w:w="1166" w:type="dxa"/>
            <w:tcBorders>
              <w:top w:val="nil"/>
              <w:left w:val="nil"/>
              <w:bottom w:val="nil"/>
              <w:right w:val="nil"/>
            </w:tcBorders>
            <w:shd w:val="clear" w:color="auto" w:fill="auto"/>
            <w:noWrap/>
            <w:vAlign w:val="bottom"/>
            <w:hideMark/>
          </w:tcPr>
          <w:p w14:paraId="734B8923" w14:textId="20B9A25F" w:rsidR="00306EC6" w:rsidRPr="00337135" w:rsidRDefault="00306EC6" w:rsidP="00306EC6">
            <w:pPr>
              <w:jc w:val="center"/>
              <w:rPr>
                <w:rFonts w:eastAsia="Times New Roman" w:cs="Times New Roman"/>
                <w:color w:val="000000"/>
                <w:sz w:val="20"/>
                <w:szCs w:val="20"/>
              </w:rPr>
            </w:pPr>
            <w:r>
              <w:rPr>
                <w:color w:val="000000"/>
                <w:sz w:val="20"/>
                <w:szCs w:val="20"/>
              </w:rPr>
              <w:t>0.081</w:t>
            </w:r>
          </w:p>
        </w:tc>
        <w:tc>
          <w:tcPr>
            <w:tcW w:w="1166" w:type="dxa"/>
            <w:tcBorders>
              <w:top w:val="nil"/>
              <w:left w:val="nil"/>
              <w:bottom w:val="nil"/>
              <w:right w:val="nil"/>
            </w:tcBorders>
            <w:shd w:val="clear" w:color="auto" w:fill="auto"/>
            <w:noWrap/>
            <w:vAlign w:val="bottom"/>
            <w:hideMark/>
          </w:tcPr>
          <w:p w14:paraId="33D8EA5E" w14:textId="1042BB6A" w:rsidR="00306EC6" w:rsidRPr="00337135" w:rsidRDefault="00306EC6" w:rsidP="00306EC6">
            <w:pPr>
              <w:jc w:val="center"/>
              <w:rPr>
                <w:rFonts w:eastAsia="Times New Roman" w:cs="Times New Roman"/>
                <w:color w:val="000000"/>
                <w:sz w:val="20"/>
                <w:szCs w:val="20"/>
              </w:rPr>
            </w:pPr>
            <w:r>
              <w:rPr>
                <w:color w:val="000000"/>
                <w:sz w:val="20"/>
                <w:szCs w:val="20"/>
              </w:rPr>
              <w:t>0.081</w:t>
            </w:r>
          </w:p>
        </w:tc>
      </w:tr>
      <w:tr w:rsidR="00306EC6" w:rsidRPr="00337135" w14:paraId="380643D9" w14:textId="77777777" w:rsidTr="00306EC6">
        <w:trPr>
          <w:trHeight w:val="255"/>
        </w:trPr>
        <w:tc>
          <w:tcPr>
            <w:tcW w:w="2000" w:type="dxa"/>
            <w:tcBorders>
              <w:top w:val="nil"/>
              <w:left w:val="nil"/>
              <w:bottom w:val="nil"/>
              <w:right w:val="nil"/>
            </w:tcBorders>
            <w:shd w:val="clear" w:color="auto" w:fill="auto"/>
            <w:noWrap/>
            <w:vAlign w:val="bottom"/>
            <w:hideMark/>
          </w:tcPr>
          <w:p w14:paraId="62ACD269"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1B10E5D5" w14:textId="3E605DA7" w:rsidR="00306EC6" w:rsidRPr="00337135" w:rsidRDefault="00306EC6" w:rsidP="00306EC6">
            <w:pPr>
              <w:jc w:val="center"/>
              <w:rPr>
                <w:rFonts w:eastAsia="Times New Roman" w:cs="Times New Roman"/>
                <w:color w:val="000000"/>
                <w:sz w:val="20"/>
                <w:szCs w:val="20"/>
              </w:rPr>
            </w:pPr>
            <w:r>
              <w:rPr>
                <w:color w:val="000000"/>
                <w:sz w:val="20"/>
                <w:szCs w:val="20"/>
              </w:rPr>
              <w:t>(0.119)</w:t>
            </w:r>
          </w:p>
        </w:tc>
        <w:tc>
          <w:tcPr>
            <w:tcW w:w="1166" w:type="dxa"/>
            <w:tcBorders>
              <w:top w:val="nil"/>
              <w:left w:val="nil"/>
              <w:bottom w:val="nil"/>
              <w:right w:val="nil"/>
            </w:tcBorders>
            <w:shd w:val="clear" w:color="auto" w:fill="auto"/>
            <w:noWrap/>
            <w:vAlign w:val="bottom"/>
            <w:hideMark/>
          </w:tcPr>
          <w:p w14:paraId="724DCE21" w14:textId="183B347D" w:rsidR="00306EC6" w:rsidRPr="00337135" w:rsidRDefault="00306EC6" w:rsidP="00306EC6">
            <w:pPr>
              <w:jc w:val="center"/>
              <w:rPr>
                <w:rFonts w:eastAsia="Times New Roman" w:cs="Times New Roman"/>
                <w:color w:val="000000"/>
                <w:sz w:val="20"/>
                <w:szCs w:val="20"/>
              </w:rPr>
            </w:pPr>
            <w:r>
              <w:rPr>
                <w:color w:val="000000"/>
                <w:sz w:val="20"/>
                <w:szCs w:val="20"/>
              </w:rPr>
              <w:t>(0.119)</w:t>
            </w:r>
          </w:p>
        </w:tc>
        <w:tc>
          <w:tcPr>
            <w:tcW w:w="1166" w:type="dxa"/>
            <w:tcBorders>
              <w:top w:val="nil"/>
              <w:left w:val="nil"/>
              <w:bottom w:val="nil"/>
              <w:right w:val="nil"/>
            </w:tcBorders>
            <w:shd w:val="clear" w:color="auto" w:fill="auto"/>
            <w:noWrap/>
            <w:vAlign w:val="bottom"/>
            <w:hideMark/>
          </w:tcPr>
          <w:p w14:paraId="2DE9B935" w14:textId="2896D716" w:rsidR="00306EC6" w:rsidRPr="00337135" w:rsidRDefault="00306EC6" w:rsidP="00306EC6">
            <w:pPr>
              <w:jc w:val="center"/>
              <w:rPr>
                <w:rFonts w:eastAsia="Times New Roman" w:cs="Times New Roman"/>
                <w:color w:val="000000"/>
                <w:sz w:val="20"/>
                <w:szCs w:val="20"/>
              </w:rPr>
            </w:pPr>
            <w:r>
              <w:rPr>
                <w:color w:val="000000"/>
                <w:sz w:val="20"/>
                <w:szCs w:val="20"/>
              </w:rPr>
              <w:t>(0.119)</w:t>
            </w:r>
          </w:p>
        </w:tc>
        <w:tc>
          <w:tcPr>
            <w:tcW w:w="1166" w:type="dxa"/>
            <w:tcBorders>
              <w:top w:val="nil"/>
              <w:left w:val="nil"/>
              <w:bottom w:val="nil"/>
              <w:right w:val="nil"/>
            </w:tcBorders>
            <w:shd w:val="clear" w:color="auto" w:fill="auto"/>
            <w:noWrap/>
            <w:vAlign w:val="bottom"/>
            <w:hideMark/>
          </w:tcPr>
          <w:p w14:paraId="7A72EB69" w14:textId="76A42039" w:rsidR="00306EC6" w:rsidRPr="00337135" w:rsidRDefault="00306EC6" w:rsidP="00306EC6">
            <w:pPr>
              <w:jc w:val="center"/>
              <w:rPr>
                <w:rFonts w:eastAsia="Times New Roman" w:cs="Times New Roman"/>
                <w:color w:val="000000"/>
                <w:sz w:val="20"/>
                <w:szCs w:val="20"/>
              </w:rPr>
            </w:pPr>
            <w:r>
              <w:rPr>
                <w:color w:val="000000"/>
                <w:sz w:val="20"/>
                <w:szCs w:val="20"/>
              </w:rPr>
              <w:t>(0.168)</w:t>
            </w:r>
          </w:p>
        </w:tc>
        <w:tc>
          <w:tcPr>
            <w:tcW w:w="1166" w:type="dxa"/>
            <w:tcBorders>
              <w:top w:val="nil"/>
              <w:left w:val="nil"/>
              <w:bottom w:val="nil"/>
              <w:right w:val="nil"/>
            </w:tcBorders>
            <w:shd w:val="clear" w:color="auto" w:fill="auto"/>
            <w:noWrap/>
            <w:vAlign w:val="bottom"/>
            <w:hideMark/>
          </w:tcPr>
          <w:p w14:paraId="25BE0E16" w14:textId="582CB0AE" w:rsidR="00306EC6" w:rsidRPr="00337135" w:rsidRDefault="00306EC6" w:rsidP="00306EC6">
            <w:pPr>
              <w:jc w:val="center"/>
              <w:rPr>
                <w:rFonts w:eastAsia="Times New Roman" w:cs="Times New Roman"/>
                <w:color w:val="000000"/>
                <w:sz w:val="20"/>
                <w:szCs w:val="20"/>
              </w:rPr>
            </w:pPr>
            <w:r>
              <w:rPr>
                <w:color w:val="000000"/>
                <w:sz w:val="20"/>
                <w:szCs w:val="20"/>
              </w:rPr>
              <w:t>(0.168)</w:t>
            </w:r>
          </w:p>
        </w:tc>
        <w:tc>
          <w:tcPr>
            <w:tcW w:w="1166" w:type="dxa"/>
            <w:tcBorders>
              <w:top w:val="nil"/>
              <w:left w:val="nil"/>
              <w:bottom w:val="nil"/>
              <w:right w:val="nil"/>
            </w:tcBorders>
            <w:shd w:val="clear" w:color="auto" w:fill="auto"/>
            <w:noWrap/>
            <w:vAlign w:val="bottom"/>
            <w:hideMark/>
          </w:tcPr>
          <w:p w14:paraId="072F2E0C" w14:textId="4CE7B989" w:rsidR="00306EC6" w:rsidRPr="00337135" w:rsidRDefault="00306EC6" w:rsidP="00306EC6">
            <w:pPr>
              <w:jc w:val="center"/>
              <w:rPr>
                <w:rFonts w:eastAsia="Times New Roman" w:cs="Times New Roman"/>
                <w:color w:val="000000"/>
                <w:sz w:val="20"/>
                <w:szCs w:val="20"/>
              </w:rPr>
            </w:pPr>
            <w:r>
              <w:rPr>
                <w:color w:val="000000"/>
                <w:sz w:val="20"/>
                <w:szCs w:val="20"/>
              </w:rPr>
              <w:t>(0.168)</w:t>
            </w:r>
          </w:p>
        </w:tc>
      </w:tr>
      <w:tr w:rsidR="00306EC6" w:rsidRPr="00337135" w14:paraId="54A10C34" w14:textId="77777777" w:rsidTr="00306EC6">
        <w:trPr>
          <w:trHeight w:val="255"/>
        </w:trPr>
        <w:tc>
          <w:tcPr>
            <w:tcW w:w="2000" w:type="dxa"/>
            <w:tcBorders>
              <w:top w:val="nil"/>
              <w:left w:val="nil"/>
              <w:bottom w:val="nil"/>
              <w:right w:val="nil"/>
            </w:tcBorders>
            <w:shd w:val="clear" w:color="auto" w:fill="auto"/>
            <w:noWrap/>
            <w:vAlign w:val="bottom"/>
            <w:hideMark/>
          </w:tcPr>
          <w:p w14:paraId="6365AC3A" w14:textId="66AE5629" w:rsidR="00306EC6" w:rsidRPr="00337135" w:rsidRDefault="00306EC6" w:rsidP="00306EC6">
            <w:pPr>
              <w:rPr>
                <w:rFonts w:eastAsia="Times New Roman" w:cs="Times New Roman"/>
                <w:b/>
                <w:bCs/>
                <w:color w:val="000000"/>
                <w:sz w:val="20"/>
                <w:szCs w:val="20"/>
              </w:rPr>
            </w:pPr>
            <w:r>
              <w:rPr>
                <w:b/>
                <w:bCs/>
                <w:color w:val="000000"/>
                <w:sz w:val="20"/>
                <w:szCs w:val="20"/>
              </w:rPr>
              <w:t>DL x Gr 7 Summer</w:t>
            </w:r>
          </w:p>
        </w:tc>
        <w:tc>
          <w:tcPr>
            <w:tcW w:w="1166" w:type="dxa"/>
            <w:tcBorders>
              <w:top w:val="nil"/>
              <w:left w:val="nil"/>
              <w:bottom w:val="nil"/>
              <w:right w:val="nil"/>
            </w:tcBorders>
            <w:shd w:val="clear" w:color="auto" w:fill="auto"/>
            <w:noWrap/>
            <w:vAlign w:val="bottom"/>
            <w:hideMark/>
          </w:tcPr>
          <w:p w14:paraId="4E8D2973" w14:textId="45DFD365" w:rsidR="00306EC6" w:rsidRPr="00337135" w:rsidRDefault="00306EC6" w:rsidP="00306EC6">
            <w:pPr>
              <w:jc w:val="center"/>
              <w:rPr>
                <w:rFonts w:eastAsia="Times New Roman" w:cs="Times New Roman"/>
                <w:b/>
                <w:bCs/>
                <w:color w:val="000000"/>
                <w:sz w:val="20"/>
                <w:szCs w:val="20"/>
              </w:rPr>
            </w:pPr>
            <w:r>
              <w:rPr>
                <w:b/>
                <w:bCs/>
                <w:color w:val="000000"/>
                <w:sz w:val="20"/>
                <w:szCs w:val="20"/>
              </w:rPr>
              <w:t>0.080</w:t>
            </w:r>
          </w:p>
        </w:tc>
        <w:tc>
          <w:tcPr>
            <w:tcW w:w="1166" w:type="dxa"/>
            <w:tcBorders>
              <w:top w:val="nil"/>
              <w:left w:val="nil"/>
              <w:bottom w:val="nil"/>
              <w:right w:val="nil"/>
            </w:tcBorders>
            <w:shd w:val="clear" w:color="auto" w:fill="auto"/>
            <w:noWrap/>
            <w:vAlign w:val="bottom"/>
            <w:hideMark/>
          </w:tcPr>
          <w:p w14:paraId="187C0EB3" w14:textId="223D80D7" w:rsidR="00306EC6" w:rsidRPr="00337135" w:rsidRDefault="00306EC6" w:rsidP="00306EC6">
            <w:pPr>
              <w:jc w:val="center"/>
              <w:rPr>
                <w:rFonts w:eastAsia="Times New Roman" w:cs="Times New Roman"/>
                <w:b/>
                <w:bCs/>
                <w:color w:val="000000"/>
                <w:sz w:val="20"/>
                <w:szCs w:val="20"/>
              </w:rPr>
            </w:pPr>
            <w:r>
              <w:rPr>
                <w:b/>
                <w:bCs/>
                <w:color w:val="000000"/>
                <w:sz w:val="20"/>
                <w:szCs w:val="20"/>
              </w:rPr>
              <w:t>0.079</w:t>
            </w:r>
          </w:p>
        </w:tc>
        <w:tc>
          <w:tcPr>
            <w:tcW w:w="1166" w:type="dxa"/>
            <w:tcBorders>
              <w:top w:val="nil"/>
              <w:left w:val="nil"/>
              <w:bottom w:val="nil"/>
              <w:right w:val="nil"/>
            </w:tcBorders>
            <w:shd w:val="clear" w:color="auto" w:fill="auto"/>
            <w:noWrap/>
            <w:vAlign w:val="bottom"/>
            <w:hideMark/>
          </w:tcPr>
          <w:p w14:paraId="6A4CAE69" w14:textId="74448991" w:rsidR="00306EC6" w:rsidRPr="00337135" w:rsidRDefault="00306EC6" w:rsidP="00306EC6">
            <w:pPr>
              <w:jc w:val="center"/>
              <w:rPr>
                <w:rFonts w:eastAsia="Times New Roman" w:cs="Times New Roman"/>
                <w:b/>
                <w:bCs/>
                <w:color w:val="000000"/>
                <w:sz w:val="20"/>
                <w:szCs w:val="20"/>
              </w:rPr>
            </w:pPr>
            <w:r>
              <w:rPr>
                <w:b/>
                <w:bCs/>
                <w:color w:val="000000"/>
                <w:sz w:val="20"/>
                <w:szCs w:val="20"/>
              </w:rPr>
              <w:t>0.079</w:t>
            </w:r>
          </w:p>
        </w:tc>
        <w:tc>
          <w:tcPr>
            <w:tcW w:w="1166" w:type="dxa"/>
            <w:tcBorders>
              <w:top w:val="nil"/>
              <w:left w:val="nil"/>
              <w:bottom w:val="nil"/>
              <w:right w:val="nil"/>
            </w:tcBorders>
            <w:shd w:val="clear" w:color="auto" w:fill="auto"/>
            <w:noWrap/>
            <w:vAlign w:val="bottom"/>
            <w:hideMark/>
          </w:tcPr>
          <w:p w14:paraId="1ACBD3A1" w14:textId="37263A74" w:rsidR="00306EC6" w:rsidRPr="00337135" w:rsidRDefault="00306EC6" w:rsidP="00306EC6">
            <w:pPr>
              <w:jc w:val="center"/>
              <w:rPr>
                <w:rFonts w:eastAsia="Times New Roman" w:cs="Times New Roman"/>
                <w:b/>
                <w:bCs/>
                <w:color w:val="000000"/>
                <w:sz w:val="20"/>
                <w:szCs w:val="20"/>
              </w:rPr>
            </w:pPr>
            <w:r>
              <w:rPr>
                <w:b/>
                <w:bCs/>
                <w:color w:val="000000"/>
                <w:sz w:val="20"/>
                <w:szCs w:val="20"/>
              </w:rPr>
              <w:t>-0.100</w:t>
            </w:r>
          </w:p>
        </w:tc>
        <w:tc>
          <w:tcPr>
            <w:tcW w:w="1166" w:type="dxa"/>
            <w:tcBorders>
              <w:top w:val="nil"/>
              <w:left w:val="nil"/>
              <w:bottom w:val="nil"/>
              <w:right w:val="nil"/>
            </w:tcBorders>
            <w:shd w:val="clear" w:color="auto" w:fill="auto"/>
            <w:noWrap/>
            <w:vAlign w:val="bottom"/>
            <w:hideMark/>
          </w:tcPr>
          <w:p w14:paraId="18828708" w14:textId="3C7516FD" w:rsidR="00306EC6" w:rsidRPr="00337135" w:rsidRDefault="00306EC6" w:rsidP="00306EC6">
            <w:pPr>
              <w:jc w:val="center"/>
              <w:rPr>
                <w:rFonts w:eastAsia="Times New Roman" w:cs="Times New Roman"/>
                <w:b/>
                <w:bCs/>
                <w:color w:val="000000"/>
                <w:sz w:val="20"/>
                <w:szCs w:val="20"/>
              </w:rPr>
            </w:pPr>
            <w:r>
              <w:rPr>
                <w:b/>
                <w:bCs/>
                <w:color w:val="000000"/>
                <w:sz w:val="20"/>
                <w:szCs w:val="20"/>
              </w:rPr>
              <w:t>-0.098</w:t>
            </w:r>
          </w:p>
        </w:tc>
        <w:tc>
          <w:tcPr>
            <w:tcW w:w="1166" w:type="dxa"/>
            <w:tcBorders>
              <w:top w:val="nil"/>
              <w:left w:val="nil"/>
              <w:bottom w:val="nil"/>
              <w:right w:val="nil"/>
            </w:tcBorders>
            <w:shd w:val="clear" w:color="auto" w:fill="auto"/>
            <w:noWrap/>
            <w:vAlign w:val="bottom"/>
            <w:hideMark/>
          </w:tcPr>
          <w:p w14:paraId="6282F294" w14:textId="562C31C7" w:rsidR="00306EC6" w:rsidRPr="00337135" w:rsidRDefault="00306EC6" w:rsidP="00306EC6">
            <w:pPr>
              <w:jc w:val="center"/>
              <w:rPr>
                <w:rFonts w:eastAsia="Times New Roman" w:cs="Times New Roman"/>
                <w:b/>
                <w:bCs/>
                <w:color w:val="000000"/>
                <w:sz w:val="20"/>
                <w:szCs w:val="20"/>
              </w:rPr>
            </w:pPr>
            <w:r>
              <w:rPr>
                <w:b/>
                <w:bCs/>
                <w:color w:val="000000"/>
                <w:sz w:val="20"/>
                <w:szCs w:val="20"/>
              </w:rPr>
              <w:t>-0.098</w:t>
            </w:r>
          </w:p>
        </w:tc>
      </w:tr>
      <w:tr w:rsidR="00306EC6" w:rsidRPr="00337135" w14:paraId="7FD32935" w14:textId="77777777" w:rsidTr="00306EC6">
        <w:trPr>
          <w:trHeight w:val="255"/>
        </w:trPr>
        <w:tc>
          <w:tcPr>
            <w:tcW w:w="2000" w:type="dxa"/>
            <w:tcBorders>
              <w:top w:val="nil"/>
              <w:left w:val="nil"/>
              <w:bottom w:val="nil"/>
              <w:right w:val="nil"/>
            </w:tcBorders>
            <w:shd w:val="clear" w:color="auto" w:fill="auto"/>
            <w:noWrap/>
            <w:vAlign w:val="bottom"/>
            <w:hideMark/>
          </w:tcPr>
          <w:p w14:paraId="415E0B12"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4FDB85C2" w14:textId="2921C632" w:rsidR="00306EC6" w:rsidRPr="00337135" w:rsidRDefault="00306EC6" w:rsidP="00306EC6">
            <w:pPr>
              <w:jc w:val="center"/>
              <w:rPr>
                <w:rFonts w:eastAsia="Times New Roman" w:cs="Times New Roman"/>
                <w:color w:val="000000"/>
                <w:sz w:val="20"/>
                <w:szCs w:val="20"/>
              </w:rPr>
            </w:pPr>
            <w:r>
              <w:rPr>
                <w:color w:val="000000"/>
                <w:sz w:val="20"/>
                <w:szCs w:val="20"/>
              </w:rPr>
              <w:t>(0.132)</w:t>
            </w:r>
          </w:p>
        </w:tc>
        <w:tc>
          <w:tcPr>
            <w:tcW w:w="1166" w:type="dxa"/>
            <w:tcBorders>
              <w:top w:val="nil"/>
              <w:left w:val="nil"/>
              <w:bottom w:val="nil"/>
              <w:right w:val="nil"/>
            </w:tcBorders>
            <w:shd w:val="clear" w:color="auto" w:fill="auto"/>
            <w:noWrap/>
            <w:vAlign w:val="bottom"/>
            <w:hideMark/>
          </w:tcPr>
          <w:p w14:paraId="33A7439C" w14:textId="67900FEF" w:rsidR="00306EC6" w:rsidRPr="00337135" w:rsidRDefault="00306EC6" w:rsidP="00306EC6">
            <w:pPr>
              <w:jc w:val="center"/>
              <w:rPr>
                <w:rFonts w:eastAsia="Times New Roman" w:cs="Times New Roman"/>
                <w:color w:val="000000"/>
                <w:sz w:val="20"/>
                <w:szCs w:val="20"/>
              </w:rPr>
            </w:pPr>
            <w:r>
              <w:rPr>
                <w:color w:val="000000"/>
                <w:sz w:val="20"/>
                <w:szCs w:val="20"/>
              </w:rPr>
              <w:t>(0.131)</w:t>
            </w:r>
          </w:p>
        </w:tc>
        <w:tc>
          <w:tcPr>
            <w:tcW w:w="1166" w:type="dxa"/>
            <w:tcBorders>
              <w:top w:val="nil"/>
              <w:left w:val="nil"/>
              <w:bottom w:val="nil"/>
              <w:right w:val="nil"/>
            </w:tcBorders>
            <w:shd w:val="clear" w:color="auto" w:fill="auto"/>
            <w:noWrap/>
            <w:vAlign w:val="bottom"/>
            <w:hideMark/>
          </w:tcPr>
          <w:p w14:paraId="32D9933C" w14:textId="15CDDFED" w:rsidR="00306EC6" w:rsidRPr="00337135" w:rsidRDefault="00306EC6" w:rsidP="00306EC6">
            <w:pPr>
              <w:jc w:val="center"/>
              <w:rPr>
                <w:rFonts w:eastAsia="Times New Roman" w:cs="Times New Roman"/>
                <w:color w:val="000000"/>
                <w:sz w:val="20"/>
                <w:szCs w:val="20"/>
              </w:rPr>
            </w:pPr>
            <w:r>
              <w:rPr>
                <w:color w:val="000000"/>
                <w:sz w:val="20"/>
                <w:szCs w:val="20"/>
              </w:rPr>
              <w:t>(0.131)</w:t>
            </w:r>
          </w:p>
        </w:tc>
        <w:tc>
          <w:tcPr>
            <w:tcW w:w="1166" w:type="dxa"/>
            <w:tcBorders>
              <w:top w:val="nil"/>
              <w:left w:val="nil"/>
              <w:bottom w:val="nil"/>
              <w:right w:val="nil"/>
            </w:tcBorders>
            <w:shd w:val="clear" w:color="auto" w:fill="auto"/>
            <w:noWrap/>
            <w:vAlign w:val="bottom"/>
            <w:hideMark/>
          </w:tcPr>
          <w:p w14:paraId="5FF23D49" w14:textId="233FD23F" w:rsidR="00306EC6" w:rsidRPr="00337135" w:rsidRDefault="00306EC6" w:rsidP="00306EC6">
            <w:pPr>
              <w:jc w:val="center"/>
              <w:rPr>
                <w:rFonts w:eastAsia="Times New Roman" w:cs="Times New Roman"/>
                <w:color w:val="000000"/>
                <w:sz w:val="20"/>
                <w:szCs w:val="20"/>
              </w:rPr>
            </w:pPr>
            <w:r>
              <w:rPr>
                <w:color w:val="000000"/>
                <w:sz w:val="20"/>
                <w:szCs w:val="20"/>
              </w:rPr>
              <w:t>(0.177)</w:t>
            </w:r>
          </w:p>
        </w:tc>
        <w:tc>
          <w:tcPr>
            <w:tcW w:w="1166" w:type="dxa"/>
            <w:tcBorders>
              <w:top w:val="nil"/>
              <w:left w:val="nil"/>
              <w:bottom w:val="nil"/>
              <w:right w:val="nil"/>
            </w:tcBorders>
            <w:shd w:val="clear" w:color="auto" w:fill="auto"/>
            <w:noWrap/>
            <w:vAlign w:val="bottom"/>
            <w:hideMark/>
          </w:tcPr>
          <w:p w14:paraId="6B260736" w14:textId="36BA5F67" w:rsidR="00306EC6" w:rsidRPr="00337135" w:rsidRDefault="00306EC6" w:rsidP="00306EC6">
            <w:pPr>
              <w:jc w:val="center"/>
              <w:rPr>
                <w:rFonts w:eastAsia="Times New Roman" w:cs="Times New Roman"/>
                <w:color w:val="000000"/>
                <w:sz w:val="20"/>
                <w:szCs w:val="20"/>
              </w:rPr>
            </w:pPr>
            <w:r>
              <w:rPr>
                <w:color w:val="000000"/>
                <w:sz w:val="20"/>
                <w:szCs w:val="20"/>
              </w:rPr>
              <w:t>(0.177)</w:t>
            </w:r>
          </w:p>
        </w:tc>
        <w:tc>
          <w:tcPr>
            <w:tcW w:w="1166" w:type="dxa"/>
            <w:tcBorders>
              <w:top w:val="nil"/>
              <w:left w:val="nil"/>
              <w:bottom w:val="nil"/>
              <w:right w:val="nil"/>
            </w:tcBorders>
            <w:shd w:val="clear" w:color="auto" w:fill="auto"/>
            <w:noWrap/>
            <w:vAlign w:val="bottom"/>
            <w:hideMark/>
          </w:tcPr>
          <w:p w14:paraId="2CEF9FD3" w14:textId="18B65122" w:rsidR="00306EC6" w:rsidRPr="00337135" w:rsidRDefault="00306EC6" w:rsidP="00306EC6">
            <w:pPr>
              <w:jc w:val="center"/>
              <w:rPr>
                <w:rFonts w:eastAsia="Times New Roman" w:cs="Times New Roman"/>
                <w:color w:val="000000"/>
                <w:sz w:val="20"/>
                <w:szCs w:val="20"/>
              </w:rPr>
            </w:pPr>
            <w:r>
              <w:rPr>
                <w:color w:val="000000"/>
                <w:sz w:val="20"/>
                <w:szCs w:val="20"/>
              </w:rPr>
              <w:t>(0.177)</w:t>
            </w:r>
          </w:p>
        </w:tc>
      </w:tr>
      <w:tr w:rsidR="00306EC6" w:rsidRPr="00337135" w14:paraId="3DF4709A" w14:textId="77777777" w:rsidTr="00306EC6">
        <w:trPr>
          <w:trHeight w:val="255"/>
        </w:trPr>
        <w:tc>
          <w:tcPr>
            <w:tcW w:w="2000" w:type="dxa"/>
            <w:tcBorders>
              <w:top w:val="nil"/>
              <w:left w:val="nil"/>
              <w:bottom w:val="nil"/>
              <w:right w:val="nil"/>
            </w:tcBorders>
            <w:shd w:val="clear" w:color="auto" w:fill="auto"/>
            <w:noWrap/>
            <w:vAlign w:val="bottom"/>
            <w:hideMark/>
          </w:tcPr>
          <w:p w14:paraId="62E0C200" w14:textId="07EE09B4" w:rsidR="00306EC6" w:rsidRPr="00337135" w:rsidRDefault="00306EC6" w:rsidP="00306EC6">
            <w:pPr>
              <w:rPr>
                <w:rFonts w:eastAsia="Times New Roman" w:cs="Times New Roman"/>
                <w:color w:val="000000"/>
                <w:sz w:val="20"/>
                <w:szCs w:val="20"/>
              </w:rPr>
            </w:pPr>
            <w:r>
              <w:rPr>
                <w:color w:val="000000"/>
                <w:sz w:val="20"/>
                <w:szCs w:val="20"/>
              </w:rPr>
              <w:t>Gr 8 AY</w:t>
            </w:r>
          </w:p>
        </w:tc>
        <w:tc>
          <w:tcPr>
            <w:tcW w:w="1166" w:type="dxa"/>
            <w:tcBorders>
              <w:top w:val="nil"/>
              <w:left w:val="nil"/>
              <w:bottom w:val="nil"/>
              <w:right w:val="nil"/>
            </w:tcBorders>
            <w:shd w:val="clear" w:color="auto" w:fill="auto"/>
            <w:noWrap/>
            <w:vAlign w:val="bottom"/>
            <w:hideMark/>
          </w:tcPr>
          <w:p w14:paraId="637F5BA1" w14:textId="0B3091BC" w:rsidR="00306EC6" w:rsidRPr="00337135" w:rsidRDefault="00306EC6" w:rsidP="00306EC6">
            <w:pPr>
              <w:jc w:val="center"/>
              <w:rPr>
                <w:rFonts w:eastAsia="Times New Roman" w:cs="Times New Roman"/>
                <w:color w:val="000000"/>
                <w:sz w:val="20"/>
                <w:szCs w:val="20"/>
              </w:rPr>
            </w:pPr>
            <w:r>
              <w:rPr>
                <w:color w:val="000000"/>
                <w:sz w:val="20"/>
                <w:szCs w:val="20"/>
              </w:rPr>
              <w:t>0.691***</w:t>
            </w:r>
          </w:p>
        </w:tc>
        <w:tc>
          <w:tcPr>
            <w:tcW w:w="1166" w:type="dxa"/>
            <w:tcBorders>
              <w:top w:val="nil"/>
              <w:left w:val="nil"/>
              <w:bottom w:val="nil"/>
              <w:right w:val="nil"/>
            </w:tcBorders>
            <w:shd w:val="clear" w:color="auto" w:fill="auto"/>
            <w:noWrap/>
            <w:vAlign w:val="bottom"/>
            <w:hideMark/>
          </w:tcPr>
          <w:p w14:paraId="27EB2354" w14:textId="5F7A0083" w:rsidR="00306EC6" w:rsidRPr="00337135" w:rsidRDefault="00306EC6" w:rsidP="00306EC6">
            <w:pPr>
              <w:jc w:val="center"/>
              <w:rPr>
                <w:rFonts w:eastAsia="Times New Roman" w:cs="Times New Roman"/>
                <w:color w:val="000000"/>
                <w:sz w:val="20"/>
                <w:szCs w:val="20"/>
              </w:rPr>
            </w:pPr>
            <w:r>
              <w:rPr>
                <w:color w:val="000000"/>
                <w:sz w:val="20"/>
                <w:szCs w:val="20"/>
              </w:rPr>
              <w:t>0.687***</w:t>
            </w:r>
          </w:p>
        </w:tc>
        <w:tc>
          <w:tcPr>
            <w:tcW w:w="1166" w:type="dxa"/>
            <w:tcBorders>
              <w:top w:val="nil"/>
              <w:left w:val="nil"/>
              <w:bottom w:val="nil"/>
              <w:right w:val="nil"/>
            </w:tcBorders>
            <w:shd w:val="clear" w:color="auto" w:fill="auto"/>
            <w:noWrap/>
            <w:vAlign w:val="bottom"/>
            <w:hideMark/>
          </w:tcPr>
          <w:p w14:paraId="02B72051" w14:textId="51D072CE" w:rsidR="00306EC6" w:rsidRPr="00337135" w:rsidRDefault="00306EC6" w:rsidP="00306EC6">
            <w:pPr>
              <w:jc w:val="center"/>
              <w:rPr>
                <w:rFonts w:eastAsia="Times New Roman" w:cs="Times New Roman"/>
                <w:color w:val="000000"/>
                <w:sz w:val="20"/>
                <w:szCs w:val="20"/>
              </w:rPr>
            </w:pPr>
            <w:r>
              <w:rPr>
                <w:color w:val="000000"/>
                <w:sz w:val="20"/>
                <w:szCs w:val="20"/>
              </w:rPr>
              <w:t>0.687***</w:t>
            </w:r>
          </w:p>
        </w:tc>
        <w:tc>
          <w:tcPr>
            <w:tcW w:w="1166" w:type="dxa"/>
            <w:tcBorders>
              <w:top w:val="nil"/>
              <w:left w:val="nil"/>
              <w:bottom w:val="nil"/>
              <w:right w:val="nil"/>
            </w:tcBorders>
            <w:shd w:val="clear" w:color="auto" w:fill="auto"/>
            <w:noWrap/>
            <w:vAlign w:val="bottom"/>
            <w:hideMark/>
          </w:tcPr>
          <w:p w14:paraId="465F6BE3" w14:textId="25296429" w:rsidR="00306EC6" w:rsidRPr="00337135" w:rsidRDefault="00306EC6" w:rsidP="00306EC6">
            <w:pPr>
              <w:jc w:val="center"/>
              <w:rPr>
                <w:rFonts w:eastAsia="Times New Roman" w:cs="Times New Roman"/>
                <w:color w:val="000000"/>
                <w:sz w:val="20"/>
                <w:szCs w:val="20"/>
              </w:rPr>
            </w:pPr>
            <w:r>
              <w:rPr>
                <w:color w:val="000000"/>
                <w:sz w:val="20"/>
                <w:szCs w:val="20"/>
              </w:rPr>
              <w:t>0.588***</w:t>
            </w:r>
          </w:p>
        </w:tc>
        <w:tc>
          <w:tcPr>
            <w:tcW w:w="1166" w:type="dxa"/>
            <w:tcBorders>
              <w:top w:val="nil"/>
              <w:left w:val="nil"/>
              <w:bottom w:val="nil"/>
              <w:right w:val="nil"/>
            </w:tcBorders>
            <w:shd w:val="clear" w:color="auto" w:fill="auto"/>
            <w:noWrap/>
            <w:vAlign w:val="bottom"/>
            <w:hideMark/>
          </w:tcPr>
          <w:p w14:paraId="55BAC09A" w14:textId="191CDEBC" w:rsidR="00306EC6" w:rsidRPr="00337135" w:rsidRDefault="00306EC6" w:rsidP="00306EC6">
            <w:pPr>
              <w:jc w:val="center"/>
              <w:rPr>
                <w:rFonts w:eastAsia="Times New Roman" w:cs="Times New Roman"/>
                <w:color w:val="000000"/>
                <w:sz w:val="20"/>
                <w:szCs w:val="20"/>
              </w:rPr>
            </w:pPr>
            <w:r>
              <w:rPr>
                <w:color w:val="000000"/>
                <w:sz w:val="20"/>
                <w:szCs w:val="20"/>
              </w:rPr>
              <w:t>0.586***</w:t>
            </w:r>
          </w:p>
        </w:tc>
        <w:tc>
          <w:tcPr>
            <w:tcW w:w="1166" w:type="dxa"/>
            <w:tcBorders>
              <w:top w:val="nil"/>
              <w:left w:val="nil"/>
              <w:bottom w:val="nil"/>
              <w:right w:val="nil"/>
            </w:tcBorders>
            <w:shd w:val="clear" w:color="auto" w:fill="auto"/>
            <w:noWrap/>
            <w:vAlign w:val="bottom"/>
            <w:hideMark/>
          </w:tcPr>
          <w:p w14:paraId="787BBC51" w14:textId="33129596" w:rsidR="00306EC6" w:rsidRPr="00337135" w:rsidRDefault="00306EC6" w:rsidP="00306EC6">
            <w:pPr>
              <w:jc w:val="center"/>
              <w:rPr>
                <w:rFonts w:eastAsia="Times New Roman" w:cs="Times New Roman"/>
                <w:color w:val="000000"/>
                <w:sz w:val="20"/>
                <w:szCs w:val="20"/>
              </w:rPr>
            </w:pPr>
            <w:r>
              <w:rPr>
                <w:color w:val="000000"/>
                <w:sz w:val="20"/>
                <w:szCs w:val="20"/>
              </w:rPr>
              <w:t>0.585***</w:t>
            </w:r>
          </w:p>
        </w:tc>
      </w:tr>
      <w:tr w:rsidR="00306EC6" w:rsidRPr="00337135" w14:paraId="3446536C" w14:textId="77777777" w:rsidTr="00306EC6">
        <w:trPr>
          <w:trHeight w:val="255"/>
        </w:trPr>
        <w:tc>
          <w:tcPr>
            <w:tcW w:w="2000" w:type="dxa"/>
            <w:tcBorders>
              <w:top w:val="nil"/>
              <w:left w:val="nil"/>
              <w:bottom w:val="nil"/>
              <w:right w:val="nil"/>
            </w:tcBorders>
            <w:shd w:val="clear" w:color="auto" w:fill="auto"/>
            <w:noWrap/>
            <w:vAlign w:val="bottom"/>
            <w:hideMark/>
          </w:tcPr>
          <w:p w14:paraId="6590A37A"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78DC6FDC" w14:textId="30C89D85" w:rsidR="00306EC6" w:rsidRPr="00337135" w:rsidRDefault="00306EC6" w:rsidP="00306EC6">
            <w:pPr>
              <w:jc w:val="center"/>
              <w:rPr>
                <w:rFonts w:eastAsia="Times New Roman" w:cs="Times New Roman"/>
                <w:color w:val="000000"/>
                <w:sz w:val="20"/>
                <w:szCs w:val="20"/>
              </w:rPr>
            </w:pPr>
            <w:r>
              <w:rPr>
                <w:color w:val="000000"/>
                <w:sz w:val="20"/>
                <w:szCs w:val="20"/>
              </w:rPr>
              <w:t>(0.124)</w:t>
            </w:r>
          </w:p>
        </w:tc>
        <w:tc>
          <w:tcPr>
            <w:tcW w:w="1166" w:type="dxa"/>
            <w:tcBorders>
              <w:top w:val="nil"/>
              <w:left w:val="nil"/>
              <w:bottom w:val="nil"/>
              <w:right w:val="nil"/>
            </w:tcBorders>
            <w:shd w:val="clear" w:color="auto" w:fill="auto"/>
            <w:noWrap/>
            <w:vAlign w:val="bottom"/>
            <w:hideMark/>
          </w:tcPr>
          <w:p w14:paraId="3BBC4462" w14:textId="5DC1D81A" w:rsidR="00306EC6" w:rsidRPr="00337135" w:rsidRDefault="00306EC6" w:rsidP="00306EC6">
            <w:pPr>
              <w:jc w:val="center"/>
              <w:rPr>
                <w:rFonts w:eastAsia="Times New Roman" w:cs="Times New Roman"/>
                <w:color w:val="000000"/>
                <w:sz w:val="20"/>
                <w:szCs w:val="20"/>
              </w:rPr>
            </w:pPr>
            <w:r>
              <w:rPr>
                <w:color w:val="000000"/>
                <w:sz w:val="20"/>
                <w:szCs w:val="20"/>
              </w:rPr>
              <w:t>(0.124)</w:t>
            </w:r>
          </w:p>
        </w:tc>
        <w:tc>
          <w:tcPr>
            <w:tcW w:w="1166" w:type="dxa"/>
            <w:tcBorders>
              <w:top w:val="nil"/>
              <w:left w:val="nil"/>
              <w:bottom w:val="nil"/>
              <w:right w:val="nil"/>
            </w:tcBorders>
            <w:shd w:val="clear" w:color="auto" w:fill="auto"/>
            <w:noWrap/>
            <w:vAlign w:val="bottom"/>
            <w:hideMark/>
          </w:tcPr>
          <w:p w14:paraId="40982803" w14:textId="501A6735" w:rsidR="00306EC6" w:rsidRPr="00337135" w:rsidRDefault="00306EC6" w:rsidP="00306EC6">
            <w:pPr>
              <w:jc w:val="center"/>
              <w:rPr>
                <w:rFonts w:eastAsia="Times New Roman" w:cs="Times New Roman"/>
                <w:color w:val="000000"/>
                <w:sz w:val="20"/>
                <w:szCs w:val="20"/>
              </w:rPr>
            </w:pPr>
            <w:r>
              <w:rPr>
                <w:color w:val="000000"/>
                <w:sz w:val="20"/>
                <w:szCs w:val="20"/>
              </w:rPr>
              <w:t>(0.124)</w:t>
            </w:r>
          </w:p>
        </w:tc>
        <w:tc>
          <w:tcPr>
            <w:tcW w:w="1166" w:type="dxa"/>
            <w:tcBorders>
              <w:top w:val="nil"/>
              <w:left w:val="nil"/>
              <w:bottom w:val="nil"/>
              <w:right w:val="nil"/>
            </w:tcBorders>
            <w:shd w:val="clear" w:color="auto" w:fill="auto"/>
            <w:noWrap/>
            <w:vAlign w:val="bottom"/>
            <w:hideMark/>
          </w:tcPr>
          <w:p w14:paraId="2843CEB6" w14:textId="41F39A7F" w:rsidR="00306EC6" w:rsidRPr="00337135" w:rsidRDefault="00306EC6" w:rsidP="00306EC6">
            <w:pPr>
              <w:jc w:val="center"/>
              <w:rPr>
                <w:rFonts w:eastAsia="Times New Roman" w:cs="Times New Roman"/>
                <w:color w:val="000000"/>
                <w:sz w:val="20"/>
                <w:szCs w:val="20"/>
              </w:rPr>
            </w:pPr>
            <w:r>
              <w:rPr>
                <w:color w:val="000000"/>
                <w:sz w:val="20"/>
                <w:szCs w:val="20"/>
              </w:rPr>
              <w:t>(0.144)</w:t>
            </w:r>
          </w:p>
        </w:tc>
        <w:tc>
          <w:tcPr>
            <w:tcW w:w="1166" w:type="dxa"/>
            <w:tcBorders>
              <w:top w:val="nil"/>
              <w:left w:val="nil"/>
              <w:bottom w:val="nil"/>
              <w:right w:val="nil"/>
            </w:tcBorders>
            <w:shd w:val="clear" w:color="auto" w:fill="auto"/>
            <w:noWrap/>
            <w:vAlign w:val="bottom"/>
            <w:hideMark/>
          </w:tcPr>
          <w:p w14:paraId="4C5DEADE" w14:textId="384B2DAF" w:rsidR="00306EC6" w:rsidRPr="00337135" w:rsidRDefault="00306EC6" w:rsidP="00306EC6">
            <w:pPr>
              <w:jc w:val="center"/>
              <w:rPr>
                <w:rFonts w:eastAsia="Times New Roman" w:cs="Times New Roman"/>
                <w:color w:val="000000"/>
                <w:sz w:val="20"/>
                <w:szCs w:val="20"/>
              </w:rPr>
            </w:pPr>
            <w:r>
              <w:rPr>
                <w:color w:val="000000"/>
                <w:sz w:val="20"/>
                <w:szCs w:val="20"/>
              </w:rPr>
              <w:t>(0.145)</w:t>
            </w:r>
          </w:p>
        </w:tc>
        <w:tc>
          <w:tcPr>
            <w:tcW w:w="1166" w:type="dxa"/>
            <w:tcBorders>
              <w:top w:val="nil"/>
              <w:left w:val="nil"/>
              <w:bottom w:val="nil"/>
              <w:right w:val="nil"/>
            </w:tcBorders>
            <w:shd w:val="clear" w:color="auto" w:fill="auto"/>
            <w:noWrap/>
            <w:vAlign w:val="bottom"/>
            <w:hideMark/>
          </w:tcPr>
          <w:p w14:paraId="4A081CD1" w14:textId="08691253" w:rsidR="00306EC6" w:rsidRPr="00337135" w:rsidRDefault="00306EC6" w:rsidP="00306EC6">
            <w:pPr>
              <w:jc w:val="center"/>
              <w:rPr>
                <w:rFonts w:eastAsia="Times New Roman" w:cs="Times New Roman"/>
                <w:color w:val="000000"/>
                <w:sz w:val="20"/>
                <w:szCs w:val="20"/>
              </w:rPr>
            </w:pPr>
            <w:r>
              <w:rPr>
                <w:color w:val="000000"/>
                <w:sz w:val="20"/>
                <w:szCs w:val="20"/>
              </w:rPr>
              <w:t>(0.145)</w:t>
            </w:r>
          </w:p>
        </w:tc>
      </w:tr>
      <w:tr w:rsidR="00306EC6" w:rsidRPr="00337135" w14:paraId="62702649" w14:textId="77777777" w:rsidTr="00306EC6">
        <w:trPr>
          <w:trHeight w:val="255"/>
        </w:trPr>
        <w:tc>
          <w:tcPr>
            <w:tcW w:w="2000" w:type="dxa"/>
            <w:tcBorders>
              <w:top w:val="nil"/>
              <w:left w:val="nil"/>
              <w:bottom w:val="nil"/>
              <w:right w:val="nil"/>
            </w:tcBorders>
            <w:shd w:val="clear" w:color="auto" w:fill="auto"/>
            <w:noWrap/>
            <w:vAlign w:val="bottom"/>
            <w:hideMark/>
          </w:tcPr>
          <w:p w14:paraId="08FB1361" w14:textId="4B417424" w:rsidR="00306EC6" w:rsidRPr="00337135" w:rsidRDefault="00306EC6" w:rsidP="00306EC6">
            <w:pPr>
              <w:rPr>
                <w:rFonts w:eastAsia="Times New Roman" w:cs="Times New Roman"/>
                <w:b/>
                <w:bCs/>
                <w:color w:val="000000"/>
                <w:sz w:val="20"/>
                <w:szCs w:val="20"/>
              </w:rPr>
            </w:pPr>
            <w:r>
              <w:rPr>
                <w:b/>
                <w:bCs/>
                <w:color w:val="000000"/>
                <w:sz w:val="20"/>
                <w:szCs w:val="20"/>
              </w:rPr>
              <w:t>DL x Gr 8 AY</w:t>
            </w:r>
          </w:p>
        </w:tc>
        <w:tc>
          <w:tcPr>
            <w:tcW w:w="1166" w:type="dxa"/>
            <w:tcBorders>
              <w:top w:val="nil"/>
              <w:left w:val="nil"/>
              <w:bottom w:val="nil"/>
              <w:right w:val="nil"/>
            </w:tcBorders>
            <w:shd w:val="clear" w:color="auto" w:fill="auto"/>
            <w:noWrap/>
            <w:vAlign w:val="bottom"/>
            <w:hideMark/>
          </w:tcPr>
          <w:p w14:paraId="23232C1C" w14:textId="1A492BD7" w:rsidR="00306EC6" w:rsidRPr="00337135" w:rsidRDefault="00306EC6" w:rsidP="00306EC6">
            <w:pPr>
              <w:jc w:val="center"/>
              <w:rPr>
                <w:rFonts w:eastAsia="Times New Roman" w:cs="Times New Roman"/>
                <w:b/>
                <w:bCs/>
                <w:color w:val="000000"/>
                <w:sz w:val="20"/>
                <w:szCs w:val="20"/>
              </w:rPr>
            </w:pPr>
            <w:r>
              <w:rPr>
                <w:b/>
                <w:bCs/>
                <w:color w:val="000000"/>
                <w:sz w:val="20"/>
                <w:szCs w:val="20"/>
              </w:rPr>
              <w:t>-0.068</w:t>
            </w:r>
          </w:p>
        </w:tc>
        <w:tc>
          <w:tcPr>
            <w:tcW w:w="1166" w:type="dxa"/>
            <w:tcBorders>
              <w:top w:val="nil"/>
              <w:left w:val="nil"/>
              <w:bottom w:val="nil"/>
              <w:right w:val="nil"/>
            </w:tcBorders>
            <w:shd w:val="clear" w:color="auto" w:fill="auto"/>
            <w:noWrap/>
            <w:vAlign w:val="bottom"/>
            <w:hideMark/>
          </w:tcPr>
          <w:p w14:paraId="175FE6AC" w14:textId="64377466" w:rsidR="00306EC6" w:rsidRPr="00337135" w:rsidRDefault="00306EC6" w:rsidP="00306EC6">
            <w:pPr>
              <w:jc w:val="center"/>
              <w:rPr>
                <w:rFonts w:eastAsia="Times New Roman" w:cs="Times New Roman"/>
                <w:b/>
                <w:bCs/>
                <w:color w:val="000000"/>
                <w:sz w:val="20"/>
                <w:szCs w:val="20"/>
              </w:rPr>
            </w:pPr>
            <w:r>
              <w:rPr>
                <w:b/>
                <w:bCs/>
                <w:color w:val="000000"/>
                <w:sz w:val="20"/>
                <w:szCs w:val="20"/>
              </w:rPr>
              <w:t>-0.064</w:t>
            </w:r>
          </w:p>
        </w:tc>
        <w:tc>
          <w:tcPr>
            <w:tcW w:w="1166" w:type="dxa"/>
            <w:tcBorders>
              <w:top w:val="nil"/>
              <w:left w:val="nil"/>
              <w:bottom w:val="nil"/>
              <w:right w:val="nil"/>
            </w:tcBorders>
            <w:shd w:val="clear" w:color="auto" w:fill="auto"/>
            <w:noWrap/>
            <w:vAlign w:val="bottom"/>
            <w:hideMark/>
          </w:tcPr>
          <w:p w14:paraId="55210650" w14:textId="52A956ED" w:rsidR="00306EC6" w:rsidRPr="00337135" w:rsidRDefault="00306EC6" w:rsidP="00306EC6">
            <w:pPr>
              <w:jc w:val="center"/>
              <w:rPr>
                <w:rFonts w:eastAsia="Times New Roman" w:cs="Times New Roman"/>
                <w:b/>
                <w:bCs/>
                <w:color w:val="000000"/>
                <w:sz w:val="20"/>
                <w:szCs w:val="20"/>
              </w:rPr>
            </w:pPr>
            <w:r>
              <w:rPr>
                <w:b/>
                <w:bCs/>
                <w:color w:val="000000"/>
                <w:sz w:val="20"/>
                <w:szCs w:val="20"/>
              </w:rPr>
              <w:t>-0.064</w:t>
            </w:r>
          </w:p>
        </w:tc>
        <w:tc>
          <w:tcPr>
            <w:tcW w:w="1166" w:type="dxa"/>
            <w:tcBorders>
              <w:top w:val="nil"/>
              <w:left w:val="nil"/>
              <w:bottom w:val="nil"/>
              <w:right w:val="nil"/>
            </w:tcBorders>
            <w:shd w:val="clear" w:color="auto" w:fill="auto"/>
            <w:noWrap/>
            <w:vAlign w:val="bottom"/>
            <w:hideMark/>
          </w:tcPr>
          <w:p w14:paraId="6EFBFCE2" w14:textId="3E39E0EA" w:rsidR="00306EC6" w:rsidRPr="00337135" w:rsidRDefault="00306EC6" w:rsidP="00306EC6">
            <w:pPr>
              <w:jc w:val="center"/>
              <w:rPr>
                <w:rFonts w:eastAsia="Times New Roman" w:cs="Times New Roman"/>
                <w:b/>
                <w:bCs/>
                <w:color w:val="000000"/>
                <w:sz w:val="20"/>
                <w:szCs w:val="20"/>
              </w:rPr>
            </w:pPr>
            <w:r>
              <w:rPr>
                <w:b/>
                <w:bCs/>
                <w:color w:val="000000"/>
                <w:sz w:val="20"/>
                <w:szCs w:val="20"/>
              </w:rPr>
              <w:t>0.137</w:t>
            </w:r>
          </w:p>
        </w:tc>
        <w:tc>
          <w:tcPr>
            <w:tcW w:w="1166" w:type="dxa"/>
            <w:tcBorders>
              <w:top w:val="nil"/>
              <w:left w:val="nil"/>
              <w:bottom w:val="nil"/>
              <w:right w:val="nil"/>
            </w:tcBorders>
            <w:shd w:val="clear" w:color="auto" w:fill="auto"/>
            <w:noWrap/>
            <w:vAlign w:val="bottom"/>
            <w:hideMark/>
          </w:tcPr>
          <w:p w14:paraId="5421516D" w14:textId="4B4DD918" w:rsidR="00306EC6" w:rsidRPr="00337135" w:rsidRDefault="00306EC6" w:rsidP="00306EC6">
            <w:pPr>
              <w:jc w:val="center"/>
              <w:rPr>
                <w:rFonts w:eastAsia="Times New Roman" w:cs="Times New Roman"/>
                <w:b/>
                <w:bCs/>
                <w:color w:val="000000"/>
                <w:sz w:val="20"/>
                <w:szCs w:val="20"/>
              </w:rPr>
            </w:pPr>
            <w:r>
              <w:rPr>
                <w:b/>
                <w:bCs/>
                <w:color w:val="000000"/>
                <w:sz w:val="20"/>
                <w:szCs w:val="20"/>
              </w:rPr>
              <w:t>0.140</w:t>
            </w:r>
          </w:p>
        </w:tc>
        <w:tc>
          <w:tcPr>
            <w:tcW w:w="1166" w:type="dxa"/>
            <w:tcBorders>
              <w:top w:val="nil"/>
              <w:left w:val="nil"/>
              <w:bottom w:val="nil"/>
              <w:right w:val="nil"/>
            </w:tcBorders>
            <w:shd w:val="clear" w:color="auto" w:fill="auto"/>
            <w:noWrap/>
            <w:vAlign w:val="bottom"/>
            <w:hideMark/>
          </w:tcPr>
          <w:p w14:paraId="1D3DAF05" w14:textId="61B246BD" w:rsidR="00306EC6" w:rsidRPr="00337135" w:rsidRDefault="00306EC6" w:rsidP="00306EC6">
            <w:pPr>
              <w:jc w:val="center"/>
              <w:rPr>
                <w:rFonts w:eastAsia="Times New Roman" w:cs="Times New Roman"/>
                <w:b/>
                <w:bCs/>
                <w:color w:val="000000"/>
                <w:sz w:val="20"/>
                <w:szCs w:val="20"/>
              </w:rPr>
            </w:pPr>
            <w:r>
              <w:rPr>
                <w:b/>
                <w:bCs/>
                <w:color w:val="000000"/>
                <w:sz w:val="20"/>
                <w:szCs w:val="20"/>
              </w:rPr>
              <w:t>0.141</w:t>
            </w:r>
          </w:p>
        </w:tc>
      </w:tr>
      <w:tr w:rsidR="00306EC6" w:rsidRPr="00337135" w14:paraId="4DC174D6" w14:textId="77777777" w:rsidTr="00306EC6">
        <w:trPr>
          <w:trHeight w:val="255"/>
        </w:trPr>
        <w:tc>
          <w:tcPr>
            <w:tcW w:w="2000" w:type="dxa"/>
            <w:tcBorders>
              <w:top w:val="nil"/>
              <w:left w:val="nil"/>
              <w:bottom w:val="nil"/>
              <w:right w:val="nil"/>
            </w:tcBorders>
            <w:shd w:val="clear" w:color="auto" w:fill="auto"/>
            <w:noWrap/>
            <w:vAlign w:val="bottom"/>
            <w:hideMark/>
          </w:tcPr>
          <w:p w14:paraId="0379A5B3" w14:textId="77777777" w:rsidR="00306EC6" w:rsidRPr="00337135" w:rsidRDefault="00306EC6" w:rsidP="00306EC6">
            <w:pPr>
              <w:jc w:val="center"/>
              <w:rPr>
                <w:rFonts w:eastAsia="Times New Roman" w:cs="Times New Roman"/>
                <w:b/>
                <w:bCs/>
                <w:color w:val="000000"/>
                <w:sz w:val="20"/>
                <w:szCs w:val="20"/>
              </w:rPr>
            </w:pPr>
          </w:p>
        </w:tc>
        <w:tc>
          <w:tcPr>
            <w:tcW w:w="1166" w:type="dxa"/>
            <w:tcBorders>
              <w:top w:val="nil"/>
              <w:left w:val="nil"/>
              <w:bottom w:val="nil"/>
              <w:right w:val="nil"/>
            </w:tcBorders>
            <w:shd w:val="clear" w:color="auto" w:fill="auto"/>
            <w:noWrap/>
            <w:vAlign w:val="bottom"/>
            <w:hideMark/>
          </w:tcPr>
          <w:p w14:paraId="6CD67C12" w14:textId="26AABF7A" w:rsidR="00306EC6" w:rsidRPr="00337135" w:rsidRDefault="00306EC6" w:rsidP="00306EC6">
            <w:pPr>
              <w:jc w:val="center"/>
              <w:rPr>
                <w:rFonts w:eastAsia="Times New Roman" w:cs="Times New Roman"/>
                <w:color w:val="000000"/>
                <w:sz w:val="20"/>
                <w:szCs w:val="20"/>
              </w:rPr>
            </w:pPr>
            <w:r>
              <w:rPr>
                <w:color w:val="000000"/>
                <w:sz w:val="20"/>
                <w:szCs w:val="20"/>
              </w:rPr>
              <w:t>(0.126)</w:t>
            </w:r>
          </w:p>
        </w:tc>
        <w:tc>
          <w:tcPr>
            <w:tcW w:w="1166" w:type="dxa"/>
            <w:tcBorders>
              <w:top w:val="nil"/>
              <w:left w:val="nil"/>
              <w:bottom w:val="nil"/>
              <w:right w:val="nil"/>
            </w:tcBorders>
            <w:shd w:val="clear" w:color="auto" w:fill="auto"/>
            <w:noWrap/>
            <w:vAlign w:val="bottom"/>
            <w:hideMark/>
          </w:tcPr>
          <w:p w14:paraId="7B62B9A5" w14:textId="7FCF0F95" w:rsidR="00306EC6" w:rsidRPr="00337135" w:rsidRDefault="00306EC6" w:rsidP="00306EC6">
            <w:pPr>
              <w:jc w:val="center"/>
              <w:rPr>
                <w:rFonts w:eastAsia="Times New Roman" w:cs="Times New Roman"/>
                <w:color w:val="000000"/>
                <w:sz w:val="20"/>
                <w:szCs w:val="20"/>
              </w:rPr>
            </w:pPr>
            <w:r>
              <w:rPr>
                <w:color w:val="000000"/>
                <w:sz w:val="20"/>
                <w:szCs w:val="20"/>
              </w:rPr>
              <w:t>(0.126)</w:t>
            </w:r>
          </w:p>
        </w:tc>
        <w:tc>
          <w:tcPr>
            <w:tcW w:w="1166" w:type="dxa"/>
            <w:tcBorders>
              <w:top w:val="nil"/>
              <w:left w:val="nil"/>
              <w:bottom w:val="nil"/>
              <w:right w:val="nil"/>
            </w:tcBorders>
            <w:shd w:val="clear" w:color="auto" w:fill="auto"/>
            <w:noWrap/>
            <w:vAlign w:val="bottom"/>
            <w:hideMark/>
          </w:tcPr>
          <w:p w14:paraId="1578D991" w14:textId="1C0770E8" w:rsidR="00306EC6" w:rsidRPr="00337135" w:rsidRDefault="00306EC6" w:rsidP="00306EC6">
            <w:pPr>
              <w:jc w:val="center"/>
              <w:rPr>
                <w:rFonts w:eastAsia="Times New Roman" w:cs="Times New Roman"/>
                <w:color w:val="000000"/>
                <w:sz w:val="20"/>
                <w:szCs w:val="20"/>
              </w:rPr>
            </w:pPr>
            <w:r>
              <w:rPr>
                <w:color w:val="000000"/>
                <w:sz w:val="20"/>
                <w:szCs w:val="20"/>
              </w:rPr>
              <w:t>(0.126)</w:t>
            </w:r>
          </w:p>
        </w:tc>
        <w:tc>
          <w:tcPr>
            <w:tcW w:w="1166" w:type="dxa"/>
            <w:tcBorders>
              <w:top w:val="nil"/>
              <w:left w:val="nil"/>
              <w:bottom w:val="nil"/>
              <w:right w:val="nil"/>
            </w:tcBorders>
            <w:shd w:val="clear" w:color="auto" w:fill="auto"/>
            <w:noWrap/>
            <w:vAlign w:val="bottom"/>
            <w:hideMark/>
          </w:tcPr>
          <w:p w14:paraId="583F556F" w14:textId="19818DA8" w:rsidR="00306EC6" w:rsidRPr="00337135" w:rsidRDefault="00306EC6" w:rsidP="00306EC6">
            <w:pPr>
              <w:jc w:val="center"/>
              <w:rPr>
                <w:rFonts w:eastAsia="Times New Roman" w:cs="Times New Roman"/>
                <w:color w:val="000000"/>
                <w:sz w:val="20"/>
                <w:szCs w:val="20"/>
              </w:rPr>
            </w:pPr>
            <w:r>
              <w:rPr>
                <w:color w:val="000000"/>
                <w:sz w:val="20"/>
                <w:szCs w:val="20"/>
              </w:rPr>
              <w:t>(0.164)</w:t>
            </w:r>
          </w:p>
        </w:tc>
        <w:tc>
          <w:tcPr>
            <w:tcW w:w="1166" w:type="dxa"/>
            <w:tcBorders>
              <w:top w:val="nil"/>
              <w:left w:val="nil"/>
              <w:bottom w:val="nil"/>
              <w:right w:val="nil"/>
            </w:tcBorders>
            <w:shd w:val="clear" w:color="auto" w:fill="auto"/>
            <w:noWrap/>
            <w:vAlign w:val="bottom"/>
            <w:hideMark/>
          </w:tcPr>
          <w:p w14:paraId="10BD614A" w14:textId="76E7B6E7" w:rsidR="00306EC6" w:rsidRPr="00337135" w:rsidRDefault="00306EC6" w:rsidP="00306EC6">
            <w:pPr>
              <w:jc w:val="center"/>
              <w:rPr>
                <w:rFonts w:eastAsia="Times New Roman" w:cs="Times New Roman"/>
                <w:color w:val="000000"/>
                <w:sz w:val="20"/>
                <w:szCs w:val="20"/>
              </w:rPr>
            </w:pPr>
            <w:r>
              <w:rPr>
                <w:color w:val="000000"/>
                <w:sz w:val="20"/>
                <w:szCs w:val="20"/>
              </w:rPr>
              <w:t>(0.164)</w:t>
            </w:r>
          </w:p>
        </w:tc>
        <w:tc>
          <w:tcPr>
            <w:tcW w:w="1166" w:type="dxa"/>
            <w:tcBorders>
              <w:top w:val="nil"/>
              <w:left w:val="nil"/>
              <w:bottom w:val="nil"/>
              <w:right w:val="nil"/>
            </w:tcBorders>
            <w:shd w:val="clear" w:color="auto" w:fill="auto"/>
            <w:noWrap/>
            <w:vAlign w:val="bottom"/>
            <w:hideMark/>
          </w:tcPr>
          <w:p w14:paraId="4C49FED1" w14:textId="434BEC86" w:rsidR="00306EC6" w:rsidRPr="00337135" w:rsidRDefault="00306EC6" w:rsidP="00306EC6">
            <w:pPr>
              <w:jc w:val="center"/>
              <w:rPr>
                <w:rFonts w:eastAsia="Times New Roman" w:cs="Times New Roman"/>
                <w:color w:val="000000"/>
                <w:sz w:val="20"/>
                <w:szCs w:val="20"/>
              </w:rPr>
            </w:pPr>
            <w:r>
              <w:rPr>
                <w:color w:val="000000"/>
                <w:sz w:val="20"/>
                <w:szCs w:val="20"/>
              </w:rPr>
              <w:t>(0.164)</w:t>
            </w:r>
          </w:p>
        </w:tc>
      </w:tr>
      <w:tr w:rsidR="00306EC6" w:rsidRPr="00337135" w14:paraId="2AFBE871" w14:textId="77777777" w:rsidTr="00306EC6">
        <w:trPr>
          <w:trHeight w:val="255"/>
        </w:trPr>
        <w:tc>
          <w:tcPr>
            <w:tcW w:w="2000" w:type="dxa"/>
            <w:tcBorders>
              <w:top w:val="nil"/>
              <w:left w:val="nil"/>
              <w:bottom w:val="nil"/>
              <w:right w:val="nil"/>
            </w:tcBorders>
            <w:shd w:val="clear" w:color="auto" w:fill="auto"/>
            <w:noWrap/>
            <w:vAlign w:val="bottom"/>
            <w:hideMark/>
          </w:tcPr>
          <w:p w14:paraId="11AC1893" w14:textId="5260152F" w:rsidR="00306EC6" w:rsidRPr="00337135" w:rsidRDefault="00306EC6" w:rsidP="00306EC6">
            <w:pPr>
              <w:rPr>
                <w:rFonts w:eastAsia="Times New Roman" w:cs="Times New Roman"/>
                <w:color w:val="000000"/>
                <w:sz w:val="20"/>
                <w:szCs w:val="20"/>
              </w:rPr>
            </w:pPr>
            <w:r>
              <w:rPr>
                <w:color w:val="000000"/>
                <w:sz w:val="20"/>
                <w:szCs w:val="20"/>
              </w:rPr>
              <w:t>Ever-DL</w:t>
            </w:r>
          </w:p>
        </w:tc>
        <w:tc>
          <w:tcPr>
            <w:tcW w:w="1166" w:type="dxa"/>
            <w:tcBorders>
              <w:top w:val="nil"/>
              <w:left w:val="nil"/>
              <w:bottom w:val="nil"/>
              <w:right w:val="nil"/>
            </w:tcBorders>
            <w:shd w:val="clear" w:color="auto" w:fill="auto"/>
            <w:noWrap/>
            <w:vAlign w:val="bottom"/>
            <w:hideMark/>
          </w:tcPr>
          <w:p w14:paraId="12378949" w14:textId="2F3B7C46" w:rsidR="00306EC6" w:rsidRPr="00337135" w:rsidRDefault="00306EC6" w:rsidP="00306EC6">
            <w:pPr>
              <w:jc w:val="center"/>
              <w:rPr>
                <w:rFonts w:eastAsia="Times New Roman" w:cs="Times New Roman"/>
                <w:color w:val="000000"/>
                <w:sz w:val="20"/>
                <w:szCs w:val="20"/>
              </w:rPr>
            </w:pPr>
            <w:r>
              <w:rPr>
                <w:color w:val="000000"/>
                <w:sz w:val="20"/>
                <w:szCs w:val="20"/>
              </w:rPr>
              <w:t>-0.675</w:t>
            </w:r>
          </w:p>
        </w:tc>
        <w:tc>
          <w:tcPr>
            <w:tcW w:w="1166" w:type="dxa"/>
            <w:tcBorders>
              <w:top w:val="nil"/>
              <w:left w:val="nil"/>
              <w:bottom w:val="nil"/>
              <w:right w:val="nil"/>
            </w:tcBorders>
            <w:shd w:val="clear" w:color="auto" w:fill="auto"/>
            <w:noWrap/>
            <w:vAlign w:val="bottom"/>
            <w:hideMark/>
          </w:tcPr>
          <w:p w14:paraId="779A6CBD" w14:textId="6B1E5DDE" w:rsidR="00306EC6" w:rsidRPr="00337135" w:rsidRDefault="00306EC6" w:rsidP="00306EC6">
            <w:pPr>
              <w:jc w:val="center"/>
              <w:rPr>
                <w:rFonts w:eastAsia="Times New Roman" w:cs="Times New Roman"/>
                <w:color w:val="000000"/>
                <w:sz w:val="20"/>
                <w:szCs w:val="20"/>
              </w:rPr>
            </w:pPr>
            <w:r>
              <w:rPr>
                <w:color w:val="000000"/>
                <w:sz w:val="20"/>
                <w:szCs w:val="20"/>
              </w:rPr>
              <w:t>-1.792**</w:t>
            </w:r>
          </w:p>
        </w:tc>
        <w:tc>
          <w:tcPr>
            <w:tcW w:w="1166" w:type="dxa"/>
            <w:tcBorders>
              <w:top w:val="nil"/>
              <w:left w:val="nil"/>
              <w:bottom w:val="nil"/>
              <w:right w:val="nil"/>
            </w:tcBorders>
            <w:shd w:val="clear" w:color="auto" w:fill="auto"/>
            <w:noWrap/>
            <w:vAlign w:val="bottom"/>
            <w:hideMark/>
          </w:tcPr>
          <w:p w14:paraId="7A4A89D7" w14:textId="41AE14B4" w:rsidR="00306EC6" w:rsidRPr="00337135" w:rsidRDefault="00306EC6" w:rsidP="00306EC6">
            <w:pPr>
              <w:jc w:val="center"/>
              <w:rPr>
                <w:rFonts w:eastAsia="Times New Roman" w:cs="Times New Roman"/>
                <w:color w:val="000000"/>
                <w:sz w:val="20"/>
                <w:szCs w:val="20"/>
              </w:rPr>
            </w:pPr>
            <w:r>
              <w:rPr>
                <w:color w:val="000000"/>
                <w:sz w:val="20"/>
                <w:szCs w:val="20"/>
              </w:rPr>
              <w:t>-1.707**</w:t>
            </w:r>
          </w:p>
        </w:tc>
        <w:tc>
          <w:tcPr>
            <w:tcW w:w="1166" w:type="dxa"/>
            <w:tcBorders>
              <w:top w:val="nil"/>
              <w:left w:val="nil"/>
              <w:bottom w:val="nil"/>
              <w:right w:val="nil"/>
            </w:tcBorders>
            <w:shd w:val="clear" w:color="auto" w:fill="auto"/>
            <w:noWrap/>
            <w:vAlign w:val="bottom"/>
            <w:hideMark/>
          </w:tcPr>
          <w:p w14:paraId="1896EEA0" w14:textId="6470A2AE" w:rsidR="00306EC6" w:rsidRPr="00337135" w:rsidRDefault="00306EC6" w:rsidP="00306EC6">
            <w:pPr>
              <w:jc w:val="center"/>
              <w:rPr>
                <w:rFonts w:eastAsia="Times New Roman" w:cs="Times New Roman"/>
                <w:color w:val="000000"/>
                <w:sz w:val="20"/>
                <w:szCs w:val="20"/>
              </w:rPr>
            </w:pPr>
            <w:r>
              <w:rPr>
                <w:color w:val="000000"/>
                <w:sz w:val="20"/>
                <w:szCs w:val="20"/>
              </w:rPr>
              <w:t>-4.519***</w:t>
            </w:r>
          </w:p>
        </w:tc>
        <w:tc>
          <w:tcPr>
            <w:tcW w:w="1166" w:type="dxa"/>
            <w:tcBorders>
              <w:top w:val="nil"/>
              <w:left w:val="nil"/>
              <w:bottom w:val="nil"/>
              <w:right w:val="nil"/>
            </w:tcBorders>
            <w:shd w:val="clear" w:color="auto" w:fill="auto"/>
            <w:noWrap/>
            <w:vAlign w:val="bottom"/>
            <w:hideMark/>
          </w:tcPr>
          <w:p w14:paraId="714D2ACB" w14:textId="260D39FC" w:rsidR="00306EC6" w:rsidRPr="00337135" w:rsidRDefault="00306EC6" w:rsidP="00306EC6">
            <w:pPr>
              <w:jc w:val="center"/>
              <w:rPr>
                <w:rFonts w:eastAsia="Times New Roman" w:cs="Times New Roman"/>
                <w:color w:val="000000"/>
                <w:sz w:val="20"/>
                <w:szCs w:val="20"/>
              </w:rPr>
            </w:pPr>
            <w:r>
              <w:rPr>
                <w:color w:val="000000"/>
                <w:sz w:val="20"/>
                <w:szCs w:val="20"/>
              </w:rPr>
              <w:t>-5.673***</w:t>
            </w:r>
          </w:p>
        </w:tc>
        <w:tc>
          <w:tcPr>
            <w:tcW w:w="1166" w:type="dxa"/>
            <w:tcBorders>
              <w:top w:val="nil"/>
              <w:left w:val="nil"/>
              <w:bottom w:val="nil"/>
              <w:right w:val="nil"/>
            </w:tcBorders>
            <w:shd w:val="clear" w:color="auto" w:fill="auto"/>
            <w:noWrap/>
            <w:vAlign w:val="bottom"/>
            <w:hideMark/>
          </w:tcPr>
          <w:p w14:paraId="386F9034" w14:textId="2818AA99" w:rsidR="00306EC6" w:rsidRPr="00337135" w:rsidRDefault="00306EC6" w:rsidP="00306EC6">
            <w:pPr>
              <w:jc w:val="center"/>
              <w:rPr>
                <w:rFonts w:eastAsia="Times New Roman" w:cs="Times New Roman"/>
                <w:color w:val="000000"/>
                <w:sz w:val="20"/>
                <w:szCs w:val="20"/>
              </w:rPr>
            </w:pPr>
            <w:r>
              <w:rPr>
                <w:color w:val="000000"/>
                <w:sz w:val="20"/>
                <w:szCs w:val="20"/>
              </w:rPr>
              <w:t>-5.586***</w:t>
            </w:r>
          </w:p>
        </w:tc>
      </w:tr>
      <w:tr w:rsidR="00306EC6" w:rsidRPr="00337135" w14:paraId="2B7D3F30" w14:textId="77777777" w:rsidTr="00306EC6">
        <w:trPr>
          <w:trHeight w:val="255"/>
        </w:trPr>
        <w:tc>
          <w:tcPr>
            <w:tcW w:w="2000" w:type="dxa"/>
            <w:tcBorders>
              <w:top w:val="nil"/>
              <w:left w:val="nil"/>
              <w:bottom w:val="nil"/>
              <w:right w:val="nil"/>
            </w:tcBorders>
            <w:shd w:val="clear" w:color="auto" w:fill="auto"/>
            <w:noWrap/>
            <w:vAlign w:val="bottom"/>
            <w:hideMark/>
          </w:tcPr>
          <w:p w14:paraId="1D1110D1"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2BEECA1" w14:textId="4BEAB866" w:rsidR="00306EC6" w:rsidRPr="00337135" w:rsidRDefault="00306EC6" w:rsidP="00306EC6">
            <w:pPr>
              <w:jc w:val="center"/>
              <w:rPr>
                <w:rFonts w:eastAsia="Times New Roman" w:cs="Times New Roman"/>
                <w:color w:val="000000"/>
                <w:sz w:val="20"/>
                <w:szCs w:val="20"/>
              </w:rPr>
            </w:pPr>
            <w:r>
              <w:rPr>
                <w:color w:val="000000"/>
                <w:sz w:val="20"/>
                <w:szCs w:val="20"/>
              </w:rPr>
              <w:t>(0.665)</w:t>
            </w:r>
          </w:p>
        </w:tc>
        <w:tc>
          <w:tcPr>
            <w:tcW w:w="1166" w:type="dxa"/>
            <w:tcBorders>
              <w:top w:val="nil"/>
              <w:left w:val="nil"/>
              <w:bottom w:val="nil"/>
              <w:right w:val="nil"/>
            </w:tcBorders>
            <w:shd w:val="clear" w:color="auto" w:fill="auto"/>
            <w:noWrap/>
            <w:vAlign w:val="bottom"/>
            <w:hideMark/>
          </w:tcPr>
          <w:p w14:paraId="6188B9FF" w14:textId="50987DB7" w:rsidR="00306EC6" w:rsidRPr="00337135" w:rsidRDefault="00306EC6" w:rsidP="00306EC6">
            <w:pPr>
              <w:jc w:val="center"/>
              <w:rPr>
                <w:rFonts w:eastAsia="Times New Roman" w:cs="Times New Roman"/>
                <w:color w:val="000000"/>
                <w:sz w:val="20"/>
                <w:szCs w:val="20"/>
              </w:rPr>
            </w:pPr>
            <w:r>
              <w:rPr>
                <w:color w:val="000000"/>
                <w:sz w:val="20"/>
                <w:szCs w:val="20"/>
              </w:rPr>
              <w:t>(0.715)</w:t>
            </w:r>
          </w:p>
        </w:tc>
        <w:tc>
          <w:tcPr>
            <w:tcW w:w="1166" w:type="dxa"/>
            <w:tcBorders>
              <w:top w:val="nil"/>
              <w:left w:val="nil"/>
              <w:bottom w:val="nil"/>
              <w:right w:val="nil"/>
            </w:tcBorders>
            <w:shd w:val="clear" w:color="auto" w:fill="auto"/>
            <w:noWrap/>
            <w:vAlign w:val="bottom"/>
            <w:hideMark/>
          </w:tcPr>
          <w:p w14:paraId="55545FD9" w14:textId="10C01E5F" w:rsidR="00306EC6" w:rsidRPr="00337135" w:rsidRDefault="00306EC6" w:rsidP="00306EC6">
            <w:pPr>
              <w:jc w:val="center"/>
              <w:rPr>
                <w:rFonts w:eastAsia="Times New Roman" w:cs="Times New Roman"/>
                <w:color w:val="000000"/>
                <w:sz w:val="20"/>
                <w:szCs w:val="20"/>
              </w:rPr>
            </w:pPr>
            <w:r>
              <w:rPr>
                <w:color w:val="000000"/>
                <w:sz w:val="20"/>
                <w:szCs w:val="20"/>
              </w:rPr>
              <w:t>(0.719)</w:t>
            </w:r>
          </w:p>
        </w:tc>
        <w:tc>
          <w:tcPr>
            <w:tcW w:w="1166" w:type="dxa"/>
            <w:tcBorders>
              <w:top w:val="nil"/>
              <w:left w:val="nil"/>
              <w:bottom w:val="nil"/>
              <w:right w:val="nil"/>
            </w:tcBorders>
            <w:shd w:val="clear" w:color="auto" w:fill="auto"/>
            <w:noWrap/>
            <w:vAlign w:val="bottom"/>
            <w:hideMark/>
          </w:tcPr>
          <w:p w14:paraId="20EDFD79" w14:textId="539B2F43" w:rsidR="00306EC6" w:rsidRPr="00337135" w:rsidRDefault="00306EC6" w:rsidP="00306EC6">
            <w:pPr>
              <w:jc w:val="center"/>
              <w:rPr>
                <w:rFonts w:eastAsia="Times New Roman" w:cs="Times New Roman"/>
                <w:color w:val="000000"/>
                <w:sz w:val="20"/>
                <w:szCs w:val="20"/>
              </w:rPr>
            </w:pPr>
            <w:r>
              <w:rPr>
                <w:color w:val="000000"/>
                <w:sz w:val="20"/>
                <w:szCs w:val="20"/>
              </w:rPr>
              <w:t>(0.621)</w:t>
            </w:r>
          </w:p>
        </w:tc>
        <w:tc>
          <w:tcPr>
            <w:tcW w:w="1166" w:type="dxa"/>
            <w:tcBorders>
              <w:top w:val="nil"/>
              <w:left w:val="nil"/>
              <w:bottom w:val="nil"/>
              <w:right w:val="nil"/>
            </w:tcBorders>
            <w:shd w:val="clear" w:color="auto" w:fill="auto"/>
            <w:noWrap/>
            <w:vAlign w:val="bottom"/>
            <w:hideMark/>
          </w:tcPr>
          <w:p w14:paraId="6521C52D" w14:textId="1F57566E" w:rsidR="00306EC6" w:rsidRPr="00337135" w:rsidRDefault="00306EC6" w:rsidP="00306EC6">
            <w:pPr>
              <w:jc w:val="center"/>
              <w:rPr>
                <w:rFonts w:eastAsia="Times New Roman" w:cs="Times New Roman"/>
                <w:color w:val="000000"/>
                <w:sz w:val="20"/>
                <w:szCs w:val="20"/>
              </w:rPr>
            </w:pPr>
            <w:r>
              <w:rPr>
                <w:color w:val="000000"/>
                <w:sz w:val="20"/>
                <w:szCs w:val="20"/>
              </w:rPr>
              <w:t>(0.729)</w:t>
            </w:r>
          </w:p>
        </w:tc>
        <w:tc>
          <w:tcPr>
            <w:tcW w:w="1166" w:type="dxa"/>
            <w:tcBorders>
              <w:top w:val="nil"/>
              <w:left w:val="nil"/>
              <w:bottom w:val="nil"/>
              <w:right w:val="nil"/>
            </w:tcBorders>
            <w:shd w:val="clear" w:color="auto" w:fill="auto"/>
            <w:noWrap/>
            <w:vAlign w:val="bottom"/>
            <w:hideMark/>
          </w:tcPr>
          <w:p w14:paraId="5B962E5B" w14:textId="0AC7C798" w:rsidR="00306EC6" w:rsidRPr="00337135" w:rsidRDefault="00306EC6" w:rsidP="00306EC6">
            <w:pPr>
              <w:jc w:val="center"/>
              <w:rPr>
                <w:rFonts w:eastAsia="Times New Roman" w:cs="Times New Roman"/>
                <w:color w:val="000000"/>
                <w:sz w:val="20"/>
                <w:szCs w:val="20"/>
              </w:rPr>
            </w:pPr>
            <w:r>
              <w:rPr>
                <w:color w:val="000000"/>
                <w:sz w:val="20"/>
                <w:szCs w:val="20"/>
              </w:rPr>
              <w:t>(0.728)</w:t>
            </w:r>
          </w:p>
        </w:tc>
      </w:tr>
      <w:tr w:rsidR="00306EC6" w:rsidRPr="00337135" w14:paraId="5A9950D2" w14:textId="77777777" w:rsidTr="00306EC6">
        <w:trPr>
          <w:trHeight w:val="255"/>
        </w:trPr>
        <w:tc>
          <w:tcPr>
            <w:tcW w:w="2000" w:type="dxa"/>
            <w:tcBorders>
              <w:top w:val="nil"/>
              <w:left w:val="nil"/>
              <w:bottom w:val="nil"/>
              <w:right w:val="nil"/>
            </w:tcBorders>
            <w:shd w:val="clear" w:color="auto" w:fill="auto"/>
            <w:noWrap/>
            <w:vAlign w:val="bottom"/>
            <w:hideMark/>
          </w:tcPr>
          <w:p w14:paraId="7EEDDE03" w14:textId="2A29411D" w:rsidR="00306EC6" w:rsidRPr="00337135" w:rsidRDefault="00306EC6" w:rsidP="00306EC6">
            <w:pPr>
              <w:rPr>
                <w:rFonts w:eastAsia="Times New Roman" w:cs="Times New Roman"/>
                <w:color w:val="000000"/>
                <w:sz w:val="20"/>
                <w:szCs w:val="20"/>
              </w:rPr>
            </w:pPr>
            <w:r>
              <w:rPr>
                <w:color w:val="000000"/>
                <w:sz w:val="20"/>
                <w:szCs w:val="20"/>
              </w:rPr>
              <w:t>Female</w:t>
            </w:r>
          </w:p>
        </w:tc>
        <w:tc>
          <w:tcPr>
            <w:tcW w:w="1166" w:type="dxa"/>
            <w:tcBorders>
              <w:top w:val="nil"/>
              <w:left w:val="nil"/>
              <w:bottom w:val="nil"/>
              <w:right w:val="nil"/>
            </w:tcBorders>
            <w:shd w:val="clear" w:color="auto" w:fill="auto"/>
            <w:noWrap/>
            <w:vAlign w:val="bottom"/>
            <w:hideMark/>
          </w:tcPr>
          <w:p w14:paraId="066B2788" w14:textId="77777777" w:rsidR="00306EC6" w:rsidRPr="00337135" w:rsidRDefault="00306EC6" w:rsidP="00306EC6">
            <w:pP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57D84B6B" w14:textId="07649E63" w:rsidR="00306EC6" w:rsidRPr="00337135" w:rsidRDefault="00306EC6" w:rsidP="00306EC6">
            <w:pPr>
              <w:jc w:val="center"/>
              <w:rPr>
                <w:rFonts w:eastAsia="Times New Roman" w:cs="Times New Roman"/>
                <w:color w:val="000000"/>
                <w:sz w:val="20"/>
                <w:szCs w:val="20"/>
              </w:rPr>
            </w:pPr>
            <w:r>
              <w:rPr>
                <w:color w:val="000000"/>
                <w:sz w:val="20"/>
                <w:szCs w:val="20"/>
              </w:rPr>
              <w:t>-1.642***</w:t>
            </w:r>
          </w:p>
        </w:tc>
        <w:tc>
          <w:tcPr>
            <w:tcW w:w="1166" w:type="dxa"/>
            <w:tcBorders>
              <w:top w:val="nil"/>
              <w:left w:val="nil"/>
              <w:bottom w:val="nil"/>
              <w:right w:val="nil"/>
            </w:tcBorders>
            <w:shd w:val="clear" w:color="auto" w:fill="auto"/>
            <w:noWrap/>
            <w:vAlign w:val="bottom"/>
            <w:hideMark/>
          </w:tcPr>
          <w:p w14:paraId="1FD23EDC" w14:textId="006E7282" w:rsidR="00306EC6" w:rsidRPr="00337135" w:rsidRDefault="00306EC6" w:rsidP="00306EC6">
            <w:pPr>
              <w:jc w:val="center"/>
              <w:rPr>
                <w:rFonts w:eastAsia="Times New Roman" w:cs="Times New Roman"/>
                <w:color w:val="000000"/>
                <w:sz w:val="20"/>
                <w:szCs w:val="20"/>
              </w:rPr>
            </w:pPr>
            <w:r>
              <w:rPr>
                <w:color w:val="000000"/>
                <w:sz w:val="20"/>
                <w:szCs w:val="20"/>
              </w:rPr>
              <w:t>-1.635***</w:t>
            </w:r>
          </w:p>
        </w:tc>
        <w:tc>
          <w:tcPr>
            <w:tcW w:w="1166" w:type="dxa"/>
            <w:tcBorders>
              <w:top w:val="nil"/>
              <w:left w:val="nil"/>
              <w:bottom w:val="nil"/>
              <w:right w:val="nil"/>
            </w:tcBorders>
            <w:shd w:val="clear" w:color="auto" w:fill="auto"/>
            <w:noWrap/>
            <w:vAlign w:val="bottom"/>
            <w:hideMark/>
          </w:tcPr>
          <w:p w14:paraId="5FC2427B"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A7D4A3E" w14:textId="28FEA08D" w:rsidR="00306EC6" w:rsidRPr="00337135" w:rsidRDefault="00306EC6" w:rsidP="00306EC6">
            <w:pPr>
              <w:jc w:val="center"/>
              <w:rPr>
                <w:rFonts w:eastAsia="Times New Roman" w:cs="Times New Roman"/>
                <w:color w:val="000000"/>
                <w:sz w:val="20"/>
                <w:szCs w:val="20"/>
              </w:rPr>
            </w:pPr>
            <w:r>
              <w:rPr>
                <w:color w:val="000000"/>
                <w:sz w:val="20"/>
                <w:szCs w:val="20"/>
              </w:rPr>
              <w:t>0.921***</w:t>
            </w:r>
          </w:p>
        </w:tc>
        <w:tc>
          <w:tcPr>
            <w:tcW w:w="1166" w:type="dxa"/>
            <w:tcBorders>
              <w:top w:val="nil"/>
              <w:left w:val="nil"/>
              <w:bottom w:val="nil"/>
              <w:right w:val="nil"/>
            </w:tcBorders>
            <w:shd w:val="clear" w:color="auto" w:fill="auto"/>
            <w:noWrap/>
            <w:vAlign w:val="bottom"/>
            <w:hideMark/>
          </w:tcPr>
          <w:p w14:paraId="7395F307" w14:textId="0C71A509" w:rsidR="00306EC6" w:rsidRPr="00337135" w:rsidRDefault="00306EC6" w:rsidP="00306EC6">
            <w:pPr>
              <w:jc w:val="center"/>
              <w:rPr>
                <w:rFonts w:eastAsia="Times New Roman" w:cs="Times New Roman"/>
                <w:color w:val="000000"/>
                <w:sz w:val="20"/>
                <w:szCs w:val="20"/>
              </w:rPr>
            </w:pPr>
            <w:r>
              <w:rPr>
                <w:color w:val="000000"/>
                <w:sz w:val="20"/>
                <w:szCs w:val="20"/>
              </w:rPr>
              <w:t>0.928***</w:t>
            </w:r>
          </w:p>
        </w:tc>
      </w:tr>
      <w:tr w:rsidR="00306EC6" w:rsidRPr="00337135" w14:paraId="4F61956E" w14:textId="77777777" w:rsidTr="00306EC6">
        <w:trPr>
          <w:trHeight w:val="255"/>
        </w:trPr>
        <w:tc>
          <w:tcPr>
            <w:tcW w:w="2000" w:type="dxa"/>
            <w:tcBorders>
              <w:top w:val="nil"/>
              <w:left w:val="nil"/>
              <w:bottom w:val="nil"/>
              <w:right w:val="nil"/>
            </w:tcBorders>
            <w:shd w:val="clear" w:color="auto" w:fill="auto"/>
            <w:noWrap/>
            <w:vAlign w:val="bottom"/>
            <w:hideMark/>
          </w:tcPr>
          <w:p w14:paraId="46BE7D1A"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14D22F1B"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5E65DE6C" w14:textId="4F61942A" w:rsidR="00306EC6" w:rsidRPr="00337135" w:rsidRDefault="00306EC6" w:rsidP="00306EC6">
            <w:pPr>
              <w:jc w:val="center"/>
              <w:rPr>
                <w:rFonts w:eastAsia="Times New Roman" w:cs="Times New Roman"/>
                <w:color w:val="000000"/>
                <w:sz w:val="20"/>
                <w:szCs w:val="20"/>
              </w:rPr>
            </w:pPr>
            <w:r>
              <w:rPr>
                <w:color w:val="000000"/>
                <w:sz w:val="20"/>
                <w:szCs w:val="20"/>
              </w:rPr>
              <w:t>(0.178)</w:t>
            </w:r>
          </w:p>
        </w:tc>
        <w:tc>
          <w:tcPr>
            <w:tcW w:w="1166" w:type="dxa"/>
            <w:tcBorders>
              <w:top w:val="nil"/>
              <w:left w:val="nil"/>
              <w:bottom w:val="nil"/>
              <w:right w:val="nil"/>
            </w:tcBorders>
            <w:shd w:val="clear" w:color="auto" w:fill="auto"/>
            <w:noWrap/>
            <w:vAlign w:val="bottom"/>
            <w:hideMark/>
          </w:tcPr>
          <w:p w14:paraId="0512B73F" w14:textId="155B139D" w:rsidR="00306EC6" w:rsidRPr="00337135" w:rsidRDefault="00306EC6" w:rsidP="00306EC6">
            <w:pPr>
              <w:jc w:val="center"/>
              <w:rPr>
                <w:rFonts w:eastAsia="Times New Roman" w:cs="Times New Roman"/>
                <w:color w:val="000000"/>
                <w:sz w:val="20"/>
                <w:szCs w:val="20"/>
              </w:rPr>
            </w:pPr>
            <w:r>
              <w:rPr>
                <w:color w:val="000000"/>
                <w:sz w:val="20"/>
                <w:szCs w:val="20"/>
              </w:rPr>
              <w:t>(0.178)</w:t>
            </w:r>
          </w:p>
        </w:tc>
        <w:tc>
          <w:tcPr>
            <w:tcW w:w="1166" w:type="dxa"/>
            <w:tcBorders>
              <w:top w:val="nil"/>
              <w:left w:val="nil"/>
              <w:bottom w:val="nil"/>
              <w:right w:val="nil"/>
            </w:tcBorders>
            <w:shd w:val="clear" w:color="auto" w:fill="auto"/>
            <w:noWrap/>
            <w:vAlign w:val="bottom"/>
            <w:hideMark/>
          </w:tcPr>
          <w:p w14:paraId="3A0C8F7A"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0EE91FE1" w14:textId="0A11C65D" w:rsidR="00306EC6" w:rsidRPr="00337135" w:rsidRDefault="00306EC6" w:rsidP="00306EC6">
            <w:pPr>
              <w:jc w:val="center"/>
              <w:rPr>
                <w:rFonts w:eastAsia="Times New Roman" w:cs="Times New Roman"/>
                <w:color w:val="000000"/>
                <w:sz w:val="20"/>
                <w:szCs w:val="20"/>
              </w:rPr>
            </w:pPr>
            <w:r>
              <w:rPr>
                <w:color w:val="000000"/>
                <w:sz w:val="20"/>
                <w:szCs w:val="20"/>
              </w:rPr>
              <w:t>(0.196)</w:t>
            </w:r>
          </w:p>
        </w:tc>
        <w:tc>
          <w:tcPr>
            <w:tcW w:w="1166" w:type="dxa"/>
            <w:tcBorders>
              <w:top w:val="nil"/>
              <w:left w:val="nil"/>
              <w:bottom w:val="nil"/>
              <w:right w:val="nil"/>
            </w:tcBorders>
            <w:shd w:val="clear" w:color="auto" w:fill="auto"/>
            <w:noWrap/>
            <w:vAlign w:val="bottom"/>
            <w:hideMark/>
          </w:tcPr>
          <w:p w14:paraId="2078A513" w14:textId="2A26BCDB" w:rsidR="00306EC6" w:rsidRPr="00337135" w:rsidRDefault="00306EC6" w:rsidP="00306EC6">
            <w:pPr>
              <w:jc w:val="center"/>
              <w:rPr>
                <w:rFonts w:eastAsia="Times New Roman" w:cs="Times New Roman"/>
                <w:color w:val="000000"/>
                <w:sz w:val="20"/>
                <w:szCs w:val="20"/>
              </w:rPr>
            </w:pPr>
            <w:r>
              <w:rPr>
                <w:color w:val="000000"/>
                <w:sz w:val="20"/>
                <w:szCs w:val="20"/>
              </w:rPr>
              <w:t>(0.197)</w:t>
            </w:r>
          </w:p>
        </w:tc>
      </w:tr>
      <w:tr w:rsidR="00306EC6" w:rsidRPr="00337135" w14:paraId="7D6F6B2D" w14:textId="77777777" w:rsidTr="00306EC6">
        <w:trPr>
          <w:trHeight w:val="255"/>
        </w:trPr>
        <w:tc>
          <w:tcPr>
            <w:tcW w:w="2000" w:type="dxa"/>
            <w:tcBorders>
              <w:top w:val="nil"/>
              <w:left w:val="nil"/>
              <w:bottom w:val="nil"/>
              <w:right w:val="nil"/>
            </w:tcBorders>
            <w:shd w:val="clear" w:color="auto" w:fill="auto"/>
            <w:noWrap/>
            <w:vAlign w:val="bottom"/>
            <w:hideMark/>
          </w:tcPr>
          <w:p w14:paraId="6DAE7A65" w14:textId="36A9DCF8" w:rsidR="00306EC6" w:rsidRPr="00337135" w:rsidRDefault="00306EC6" w:rsidP="00306EC6">
            <w:pPr>
              <w:rPr>
                <w:rFonts w:eastAsia="Times New Roman" w:cs="Times New Roman"/>
                <w:color w:val="000000"/>
                <w:sz w:val="20"/>
                <w:szCs w:val="20"/>
              </w:rPr>
            </w:pPr>
            <w:r>
              <w:rPr>
                <w:color w:val="000000"/>
                <w:sz w:val="20"/>
                <w:szCs w:val="20"/>
              </w:rPr>
              <w:t>Ever-FRPL</w:t>
            </w:r>
          </w:p>
        </w:tc>
        <w:tc>
          <w:tcPr>
            <w:tcW w:w="1166" w:type="dxa"/>
            <w:tcBorders>
              <w:top w:val="nil"/>
              <w:left w:val="nil"/>
              <w:bottom w:val="nil"/>
              <w:right w:val="nil"/>
            </w:tcBorders>
            <w:shd w:val="clear" w:color="auto" w:fill="auto"/>
            <w:noWrap/>
            <w:vAlign w:val="bottom"/>
            <w:hideMark/>
          </w:tcPr>
          <w:p w14:paraId="599A61F0" w14:textId="77777777" w:rsidR="00306EC6" w:rsidRPr="00337135" w:rsidRDefault="00306EC6" w:rsidP="00306EC6">
            <w:pP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12AC07BC" w14:textId="5F9D353C" w:rsidR="00306EC6" w:rsidRPr="00337135" w:rsidRDefault="00306EC6" w:rsidP="00306EC6">
            <w:pPr>
              <w:jc w:val="center"/>
              <w:rPr>
                <w:rFonts w:eastAsia="Times New Roman" w:cs="Times New Roman"/>
                <w:color w:val="000000"/>
                <w:sz w:val="20"/>
                <w:szCs w:val="20"/>
              </w:rPr>
            </w:pPr>
            <w:r>
              <w:rPr>
                <w:color w:val="000000"/>
                <w:sz w:val="20"/>
                <w:szCs w:val="20"/>
              </w:rPr>
              <w:t>-3.443***</w:t>
            </w:r>
          </w:p>
        </w:tc>
        <w:tc>
          <w:tcPr>
            <w:tcW w:w="1166" w:type="dxa"/>
            <w:tcBorders>
              <w:top w:val="nil"/>
              <w:left w:val="nil"/>
              <w:bottom w:val="nil"/>
              <w:right w:val="nil"/>
            </w:tcBorders>
            <w:shd w:val="clear" w:color="auto" w:fill="auto"/>
            <w:noWrap/>
            <w:vAlign w:val="bottom"/>
            <w:hideMark/>
          </w:tcPr>
          <w:p w14:paraId="6CB17F13" w14:textId="620043AC" w:rsidR="00306EC6" w:rsidRPr="00337135" w:rsidRDefault="00306EC6" w:rsidP="00306EC6">
            <w:pPr>
              <w:jc w:val="center"/>
              <w:rPr>
                <w:rFonts w:eastAsia="Times New Roman" w:cs="Times New Roman"/>
                <w:color w:val="000000"/>
                <w:sz w:val="20"/>
                <w:szCs w:val="20"/>
              </w:rPr>
            </w:pPr>
            <w:r>
              <w:rPr>
                <w:color w:val="000000"/>
                <w:sz w:val="20"/>
                <w:szCs w:val="20"/>
              </w:rPr>
              <w:t>-3.368***</w:t>
            </w:r>
          </w:p>
        </w:tc>
        <w:tc>
          <w:tcPr>
            <w:tcW w:w="1166" w:type="dxa"/>
            <w:tcBorders>
              <w:top w:val="nil"/>
              <w:left w:val="nil"/>
              <w:bottom w:val="nil"/>
              <w:right w:val="nil"/>
            </w:tcBorders>
            <w:shd w:val="clear" w:color="auto" w:fill="auto"/>
            <w:noWrap/>
            <w:vAlign w:val="bottom"/>
            <w:hideMark/>
          </w:tcPr>
          <w:p w14:paraId="7064FC8D"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6D39A8C7" w14:textId="57221F14" w:rsidR="00306EC6" w:rsidRPr="00337135" w:rsidRDefault="00306EC6" w:rsidP="00306EC6">
            <w:pPr>
              <w:jc w:val="center"/>
              <w:rPr>
                <w:rFonts w:eastAsia="Times New Roman" w:cs="Times New Roman"/>
                <w:color w:val="000000"/>
                <w:sz w:val="20"/>
                <w:szCs w:val="20"/>
              </w:rPr>
            </w:pPr>
            <w:r>
              <w:rPr>
                <w:color w:val="000000"/>
                <w:sz w:val="20"/>
                <w:szCs w:val="20"/>
              </w:rPr>
              <w:t>-4.419***</w:t>
            </w:r>
          </w:p>
        </w:tc>
        <w:tc>
          <w:tcPr>
            <w:tcW w:w="1166" w:type="dxa"/>
            <w:tcBorders>
              <w:top w:val="nil"/>
              <w:left w:val="nil"/>
              <w:bottom w:val="nil"/>
              <w:right w:val="nil"/>
            </w:tcBorders>
            <w:shd w:val="clear" w:color="auto" w:fill="auto"/>
            <w:noWrap/>
            <w:vAlign w:val="bottom"/>
            <w:hideMark/>
          </w:tcPr>
          <w:p w14:paraId="580CC85D" w14:textId="0753F6DC" w:rsidR="00306EC6" w:rsidRPr="00337135" w:rsidRDefault="00306EC6" w:rsidP="00306EC6">
            <w:pPr>
              <w:jc w:val="center"/>
              <w:rPr>
                <w:rFonts w:eastAsia="Times New Roman" w:cs="Times New Roman"/>
                <w:color w:val="000000"/>
                <w:sz w:val="20"/>
                <w:szCs w:val="20"/>
              </w:rPr>
            </w:pPr>
            <w:r>
              <w:rPr>
                <w:color w:val="000000"/>
                <w:sz w:val="20"/>
                <w:szCs w:val="20"/>
              </w:rPr>
              <w:t>-4.350***</w:t>
            </w:r>
          </w:p>
        </w:tc>
      </w:tr>
      <w:tr w:rsidR="00306EC6" w:rsidRPr="00337135" w14:paraId="17ACB62D" w14:textId="77777777" w:rsidTr="00306EC6">
        <w:trPr>
          <w:trHeight w:val="255"/>
        </w:trPr>
        <w:tc>
          <w:tcPr>
            <w:tcW w:w="2000" w:type="dxa"/>
            <w:tcBorders>
              <w:top w:val="nil"/>
              <w:left w:val="nil"/>
              <w:bottom w:val="nil"/>
              <w:right w:val="nil"/>
            </w:tcBorders>
            <w:shd w:val="clear" w:color="auto" w:fill="auto"/>
            <w:noWrap/>
            <w:vAlign w:val="bottom"/>
            <w:hideMark/>
          </w:tcPr>
          <w:p w14:paraId="366FA3EB"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73F050E6"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655C8249" w14:textId="0C9BFD54" w:rsidR="00306EC6" w:rsidRPr="00337135" w:rsidRDefault="00306EC6" w:rsidP="00306EC6">
            <w:pPr>
              <w:jc w:val="center"/>
              <w:rPr>
                <w:rFonts w:eastAsia="Times New Roman" w:cs="Times New Roman"/>
                <w:color w:val="000000"/>
                <w:sz w:val="20"/>
                <w:szCs w:val="20"/>
              </w:rPr>
            </w:pPr>
            <w:r>
              <w:rPr>
                <w:color w:val="000000"/>
                <w:sz w:val="20"/>
                <w:szCs w:val="20"/>
              </w:rPr>
              <w:t>(0.518)</w:t>
            </w:r>
          </w:p>
        </w:tc>
        <w:tc>
          <w:tcPr>
            <w:tcW w:w="1166" w:type="dxa"/>
            <w:tcBorders>
              <w:top w:val="nil"/>
              <w:left w:val="nil"/>
              <w:bottom w:val="nil"/>
              <w:right w:val="nil"/>
            </w:tcBorders>
            <w:shd w:val="clear" w:color="auto" w:fill="auto"/>
            <w:noWrap/>
            <w:vAlign w:val="bottom"/>
            <w:hideMark/>
          </w:tcPr>
          <w:p w14:paraId="28FF18BE" w14:textId="09DC7088" w:rsidR="00306EC6" w:rsidRPr="00337135" w:rsidRDefault="00306EC6" w:rsidP="00306EC6">
            <w:pPr>
              <w:jc w:val="center"/>
              <w:rPr>
                <w:rFonts w:eastAsia="Times New Roman" w:cs="Times New Roman"/>
                <w:color w:val="000000"/>
                <w:sz w:val="20"/>
                <w:szCs w:val="20"/>
              </w:rPr>
            </w:pPr>
            <w:r>
              <w:rPr>
                <w:color w:val="000000"/>
                <w:sz w:val="20"/>
                <w:szCs w:val="20"/>
              </w:rPr>
              <w:t>(0.523)</w:t>
            </w:r>
          </w:p>
        </w:tc>
        <w:tc>
          <w:tcPr>
            <w:tcW w:w="1166" w:type="dxa"/>
            <w:tcBorders>
              <w:top w:val="nil"/>
              <w:left w:val="nil"/>
              <w:bottom w:val="nil"/>
              <w:right w:val="nil"/>
            </w:tcBorders>
            <w:shd w:val="clear" w:color="auto" w:fill="auto"/>
            <w:noWrap/>
            <w:vAlign w:val="bottom"/>
            <w:hideMark/>
          </w:tcPr>
          <w:p w14:paraId="5D64EBEA"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03BB675F" w14:textId="6D2B158C" w:rsidR="00306EC6" w:rsidRPr="00337135" w:rsidRDefault="00306EC6" w:rsidP="00306EC6">
            <w:pPr>
              <w:jc w:val="center"/>
              <w:rPr>
                <w:rFonts w:eastAsia="Times New Roman" w:cs="Times New Roman"/>
                <w:color w:val="000000"/>
                <w:sz w:val="20"/>
                <w:szCs w:val="20"/>
              </w:rPr>
            </w:pPr>
            <w:r>
              <w:rPr>
                <w:color w:val="000000"/>
                <w:sz w:val="20"/>
                <w:szCs w:val="20"/>
              </w:rPr>
              <w:t>(0.642)</w:t>
            </w:r>
          </w:p>
        </w:tc>
        <w:tc>
          <w:tcPr>
            <w:tcW w:w="1166" w:type="dxa"/>
            <w:tcBorders>
              <w:top w:val="nil"/>
              <w:left w:val="nil"/>
              <w:bottom w:val="nil"/>
              <w:right w:val="nil"/>
            </w:tcBorders>
            <w:shd w:val="clear" w:color="auto" w:fill="auto"/>
            <w:noWrap/>
            <w:vAlign w:val="bottom"/>
            <w:hideMark/>
          </w:tcPr>
          <w:p w14:paraId="4779688D" w14:textId="2D3B1A65" w:rsidR="00306EC6" w:rsidRPr="00337135" w:rsidRDefault="00306EC6" w:rsidP="00306EC6">
            <w:pPr>
              <w:jc w:val="center"/>
              <w:rPr>
                <w:rFonts w:eastAsia="Times New Roman" w:cs="Times New Roman"/>
                <w:color w:val="000000"/>
                <w:sz w:val="20"/>
                <w:szCs w:val="20"/>
              </w:rPr>
            </w:pPr>
            <w:r>
              <w:rPr>
                <w:color w:val="000000"/>
                <w:sz w:val="20"/>
                <w:szCs w:val="20"/>
              </w:rPr>
              <w:t>(0.648)</w:t>
            </w:r>
          </w:p>
        </w:tc>
      </w:tr>
      <w:tr w:rsidR="00306EC6" w:rsidRPr="00337135" w14:paraId="54F9600A" w14:textId="77777777" w:rsidTr="00306EC6">
        <w:trPr>
          <w:trHeight w:val="255"/>
        </w:trPr>
        <w:tc>
          <w:tcPr>
            <w:tcW w:w="2000" w:type="dxa"/>
            <w:tcBorders>
              <w:top w:val="nil"/>
              <w:left w:val="nil"/>
              <w:bottom w:val="nil"/>
              <w:right w:val="nil"/>
            </w:tcBorders>
            <w:shd w:val="clear" w:color="auto" w:fill="auto"/>
            <w:noWrap/>
            <w:vAlign w:val="bottom"/>
            <w:hideMark/>
          </w:tcPr>
          <w:p w14:paraId="57D5A4BA" w14:textId="25AC5BD5" w:rsidR="00306EC6" w:rsidRPr="00337135" w:rsidRDefault="00306EC6" w:rsidP="00306EC6">
            <w:pPr>
              <w:rPr>
                <w:rFonts w:eastAsia="Times New Roman" w:cs="Times New Roman"/>
                <w:color w:val="000000"/>
                <w:sz w:val="20"/>
                <w:szCs w:val="20"/>
              </w:rPr>
            </w:pPr>
            <w:proofErr w:type="gramStart"/>
            <w:r>
              <w:rPr>
                <w:color w:val="000000"/>
                <w:sz w:val="20"/>
                <w:szCs w:val="20"/>
              </w:rPr>
              <w:t>Ever-SPED</w:t>
            </w:r>
            <w:proofErr w:type="gramEnd"/>
          </w:p>
        </w:tc>
        <w:tc>
          <w:tcPr>
            <w:tcW w:w="1166" w:type="dxa"/>
            <w:tcBorders>
              <w:top w:val="nil"/>
              <w:left w:val="nil"/>
              <w:bottom w:val="nil"/>
              <w:right w:val="nil"/>
            </w:tcBorders>
            <w:shd w:val="clear" w:color="auto" w:fill="auto"/>
            <w:noWrap/>
            <w:vAlign w:val="bottom"/>
            <w:hideMark/>
          </w:tcPr>
          <w:p w14:paraId="3A1D5F3E" w14:textId="77777777" w:rsidR="00306EC6" w:rsidRPr="00337135" w:rsidRDefault="00306EC6" w:rsidP="00306EC6">
            <w:pP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13DBA80A" w14:textId="559836DB" w:rsidR="00306EC6" w:rsidRPr="00337135" w:rsidRDefault="00306EC6" w:rsidP="00306EC6">
            <w:pPr>
              <w:jc w:val="center"/>
              <w:rPr>
                <w:rFonts w:eastAsia="Times New Roman" w:cs="Times New Roman"/>
                <w:color w:val="000000"/>
                <w:sz w:val="20"/>
                <w:szCs w:val="20"/>
              </w:rPr>
            </w:pPr>
            <w:r>
              <w:rPr>
                <w:color w:val="000000"/>
                <w:sz w:val="20"/>
                <w:szCs w:val="20"/>
              </w:rPr>
              <w:t>-11.301***</w:t>
            </w:r>
          </w:p>
        </w:tc>
        <w:tc>
          <w:tcPr>
            <w:tcW w:w="1166" w:type="dxa"/>
            <w:tcBorders>
              <w:top w:val="nil"/>
              <w:left w:val="nil"/>
              <w:bottom w:val="nil"/>
              <w:right w:val="nil"/>
            </w:tcBorders>
            <w:shd w:val="clear" w:color="auto" w:fill="auto"/>
            <w:noWrap/>
            <w:vAlign w:val="bottom"/>
            <w:hideMark/>
          </w:tcPr>
          <w:p w14:paraId="6CCA4B4A" w14:textId="2022437B" w:rsidR="00306EC6" w:rsidRPr="00337135" w:rsidRDefault="00306EC6" w:rsidP="00306EC6">
            <w:pPr>
              <w:jc w:val="center"/>
              <w:rPr>
                <w:rFonts w:eastAsia="Times New Roman" w:cs="Times New Roman"/>
                <w:color w:val="000000"/>
                <w:sz w:val="20"/>
                <w:szCs w:val="20"/>
              </w:rPr>
            </w:pPr>
            <w:r>
              <w:rPr>
                <w:color w:val="000000"/>
                <w:sz w:val="20"/>
                <w:szCs w:val="20"/>
              </w:rPr>
              <w:t>-11.295***</w:t>
            </w:r>
          </w:p>
        </w:tc>
        <w:tc>
          <w:tcPr>
            <w:tcW w:w="1166" w:type="dxa"/>
            <w:tcBorders>
              <w:top w:val="nil"/>
              <w:left w:val="nil"/>
              <w:bottom w:val="nil"/>
              <w:right w:val="nil"/>
            </w:tcBorders>
            <w:shd w:val="clear" w:color="auto" w:fill="auto"/>
            <w:noWrap/>
            <w:vAlign w:val="bottom"/>
            <w:hideMark/>
          </w:tcPr>
          <w:p w14:paraId="27B756E9"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F8DFA64" w14:textId="186444B7" w:rsidR="00306EC6" w:rsidRPr="00337135" w:rsidRDefault="00306EC6" w:rsidP="00306EC6">
            <w:pPr>
              <w:jc w:val="center"/>
              <w:rPr>
                <w:rFonts w:eastAsia="Times New Roman" w:cs="Times New Roman"/>
                <w:color w:val="000000"/>
                <w:sz w:val="20"/>
                <w:szCs w:val="20"/>
              </w:rPr>
            </w:pPr>
            <w:r>
              <w:rPr>
                <w:color w:val="000000"/>
                <w:sz w:val="20"/>
                <w:szCs w:val="20"/>
              </w:rPr>
              <w:t>-14.366***</w:t>
            </w:r>
          </w:p>
        </w:tc>
        <w:tc>
          <w:tcPr>
            <w:tcW w:w="1166" w:type="dxa"/>
            <w:tcBorders>
              <w:top w:val="nil"/>
              <w:left w:val="nil"/>
              <w:bottom w:val="nil"/>
              <w:right w:val="nil"/>
            </w:tcBorders>
            <w:shd w:val="clear" w:color="auto" w:fill="auto"/>
            <w:noWrap/>
            <w:vAlign w:val="bottom"/>
            <w:hideMark/>
          </w:tcPr>
          <w:p w14:paraId="44CBAEB0" w14:textId="57FE3C25" w:rsidR="00306EC6" w:rsidRPr="00337135" w:rsidRDefault="00306EC6" w:rsidP="00306EC6">
            <w:pPr>
              <w:jc w:val="center"/>
              <w:rPr>
                <w:rFonts w:eastAsia="Times New Roman" w:cs="Times New Roman"/>
                <w:color w:val="000000"/>
                <w:sz w:val="20"/>
                <w:szCs w:val="20"/>
              </w:rPr>
            </w:pPr>
            <w:r>
              <w:rPr>
                <w:color w:val="000000"/>
                <w:sz w:val="20"/>
                <w:szCs w:val="20"/>
              </w:rPr>
              <w:t>-14.360***</w:t>
            </w:r>
          </w:p>
        </w:tc>
      </w:tr>
      <w:tr w:rsidR="00306EC6" w:rsidRPr="00337135" w14:paraId="04E123D5" w14:textId="77777777" w:rsidTr="00306EC6">
        <w:trPr>
          <w:trHeight w:val="255"/>
        </w:trPr>
        <w:tc>
          <w:tcPr>
            <w:tcW w:w="2000" w:type="dxa"/>
            <w:tcBorders>
              <w:top w:val="nil"/>
              <w:left w:val="nil"/>
              <w:bottom w:val="nil"/>
              <w:right w:val="nil"/>
            </w:tcBorders>
            <w:shd w:val="clear" w:color="auto" w:fill="auto"/>
            <w:noWrap/>
            <w:vAlign w:val="bottom"/>
            <w:hideMark/>
          </w:tcPr>
          <w:p w14:paraId="7DE6521F"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07E95E16"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1ECB17FC" w14:textId="3D171601" w:rsidR="00306EC6" w:rsidRPr="00337135" w:rsidRDefault="00306EC6" w:rsidP="00306EC6">
            <w:pPr>
              <w:jc w:val="center"/>
              <w:rPr>
                <w:rFonts w:eastAsia="Times New Roman" w:cs="Times New Roman"/>
                <w:color w:val="000000"/>
                <w:sz w:val="20"/>
                <w:szCs w:val="20"/>
              </w:rPr>
            </w:pPr>
            <w:r>
              <w:rPr>
                <w:color w:val="000000"/>
                <w:sz w:val="20"/>
                <w:szCs w:val="20"/>
              </w:rPr>
              <w:t>(0.441)</w:t>
            </w:r>
          </w:p>
        </w:tc>
        <w:tc>
          <w:tcPr>
            <w:tcW w:w="1166" w:type="dxa"/>
            <w:tcBorders>
              <w:top w:val="nil"/>
              <w:left w:val="nil"/>
              <w:bottom w:val="nil"/>
              <w:right w:val="nil"/>
            </w:tcBorders>
            <w:shd w:val="clear" w:color="auto" w:fill="auto"/>
            <w:noWrap/>
            <w:vAlign w:val="bottom"/>
            <w:hideMark/>
          </w:tcPr>
          <w:p w14:paraId="7063D58B" w14:textId="47DB91B2" w:rsidR="00306EC6" w:rsidRPr="00337135" w:rsidRDefault="00306EC6" w:rsidP="00306EC6">
            <w:pPr>
              <w:jc w:val="center"/>
              <w:rPr>
                <w:rFonts w:eastAsia="Times New Roman" w:cs="Times New Roman"/>
                <w:color w:val="000000"/>
                <w:sz w:val="20"/>
                <w:szCs w:val="20"/>
              </w:rPr>
            </w:pPr>
            <w:r>
              <w:rPr>
                <w:color w:val="000000"/>
                <w:sz w:val="20"/>
                <w:szCs w:val="20"/>
              </w:rPr>
              <w:t>(0.441)</w:t>
            </w:r>
          </w:p>
        </w:tc>
        <w:tc>
          <w:tcPr>
            <w:tcW w:w="1166" w:type="dxa"/>
            <w:tcBorders>
              <w:top w:val="nil"/>
              <w:left w:val="nil"/>
              <w:bottom w:val="nil"/>
              <w:right w:val="nil"/>
            </w:tcBorders>
            <w:shd w:val="clear" w:color="auto" w:fill="auto"/>
            <w:noWrap/>
            <w:vAlign w:val="bottom"/>
            <w:hideMark/>
          </w:tcPr>
          <w:p w14:paraId="41041BC6"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55AA5285" w14:textId="08452AE5" w:rsidR="00306EC6" w:rsidRPr="00337135" w:rsidRDefault="00306EC6" w:rsidP="00306EC6">
            <w:pPr>
              <w:jc w:val="center"/>
              <w:rPr>
                <w:rFonts w:eastAsia="Times New Roman" w:cs="Times New Roman"/>
                <w:color w:val="000000"/>
                <w:sz w:val="20"/>
                <w:szCs w:val="20"/>
              </w:rPr>
            </w:pPr>
            <w:r>
              <w:rPr>
                <w:color w:val="000000"/>
                <w:sz w:val="20"/>
                <w:szCs w:val="20"/>
              </w:rPr>
              <w:t>(0.451)</w:t>
            </w:r>
          </w:p>
        </w:tc>
        <w:tc>
          <w:tcPr>
            <w:tcW w:w="1166" w:type="dxa"/>
            <w:tcBorders>
              <w:top w:val="nil"/>
              <w:left w:val="nil"/>
              <w:bottom w:val="nil"/>
              <w:right w:val="nil"/>
            </w:tcBorders>
            <w:shd w:val="clear" w:color="auto" w:fill="auto"/>
            <w:noWrap/>
            <w:vAlign w:val="bottom"/>
            <w:hideMark/>
          </w:tcPr>
          <w:p w14:paraId="022C9F1F" w14:textId="5C47E717" w:rsidR="00306EC6" w:rsidRPr="00337135" w:rsidRDefault="00306EC6" w:rsidP="00306EC6">
            <w:pPr>
              <w:jc w:val="center"/>
              <w:rPr>
                <w:rFonts w:eastAsia="Times New Roman" w:cs="Times New Roman"/>
                <w:color w:val="000000"/>
                <w:sz w:val="20"/>
                <w:szCs w:val="20"/>
              </w:rPr>
            </w:pPr>
            <w:r>
              <w:rPr>
                <w:color w:val="000000"/>
                <w:sz w:val="20"/>
                <w:szCs w:val="20"/>
              </w:rPr>
              <w:t>(0.452)</w:t>
            </w:r>
          </w:p>
        </w:tc>
      </w:tr>
      <w:tr w:rsidR="00306EC6" w:rsidRPr="00337135" w14:paraId="13DCBF2C" w14:textId="77777777" w:rsidTr="00306EC6">
        <w:trPr>
          <w:trHeight w:val="255"/>
        </w:trPr>
        <w:tc>
          <w:tcPr>
            <w:tcW w:w="2000" w:type="dxa"/>
            <w:tcBorders>
              <w:top w:val="nil"/>
              <w:left w:val="nil"/>
              <w:bottom w:val="nil"/>
              <w:right w:val="nil"/>
            </w:tcBorders>
            <w:shd w:val="clear" w:color="auto" w:fill="auto"/>
            <w:noWrap/>
            <w:vAlign w:val="bottom"/>
            <w:hideMark/>
          </w:tcPr>
          <w:p w14:paraId="4C28655E" w14:textId="40FC0BAB" w:rsidR="00306EC6" w:rsidRPr="00337135" w:rsidRDefault="00306EC6" w:rsidP="00306EC6">
            <w:pPr>
              <w:rPr>
                <w:rFonts w:eastAsia="Times New Roman" w:cs="Times New Roman"/>
                <w:color w:val="000000"/>
                <w:sz w:val="20"/>
                <w:szCs w:val="20"/>
              </w:rPr>
            </w:pPr>
            <w:r>
              <w:rPr>
                <w:color w:val="000000"/>
                <w:sz w:val="20"/>
                <w:szCs w:val="20"/>
              </w:rPr>
              <w:t>Refused EL Service</w:t>
            </w:r>
          </w:p>
        </w:tc>
        <w:tc>
          <w:tcPr>
            <w:tcW w:w="1166" w:type="dxa"/>
            <w:tcBorders>
              <w:top w:val="nil"/>
              <w:left w:val="nil"/>
              <w:bottom w:val="nil"/>
              <w:right w:val="nil"/>
            </w:tcBorders>
            <w:shd w:val="clear" w:color="auto" w:fill="auto"/>
            <w:noWrap/>
            <w:vAlign w:val="bottom"/>
            <w:hideMark/>
          </w:tcPr>
          <w:p w14:paraId="44C5A074" w14:textId="77777777" w:rsidR="00306EC6" w:rsidRPr="00337135" w:rsidRDefault="00306EC6" w:rsidP="00306EC6">
            <w:pP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6CA96079" w14:textId="7DB7E071" w:rsidR="00306EC6" w:rsidRPr="00337135" w:rsidRDefault="00306EC6" w:rsidP="00306EC6">
            <w:pPr>
              <w:jc w:val="center"/>
              <w:rPr>
                <w:rFonts w:eastAsia="Times New Roman" w:cs="Times New Roman"/>
                <w:color w:val="000000"/>
                <w:sz w:val="20"/>
                <w:szCs w:val="20"/>
              </w:rPr>
            </w:pPr>
            <w:r>
              <w:rPr>
                <w:color w:val="000000"/>
                <w:sz w:val="20"/>
                <w:szCs w:val="20"/>
              </w:rPr>
              <w:t>0.251</w:t>
            </w:r>
          </w:p>
        </w:tc>
        <w:tc>
          <w:tcPr>
            <w:tcW w:w="1166" w:type="dxa"/>
            <w:tcBorders>
              <w:top w:val="nil"/>
              <w:left w:val="nil"/>
              <w:bottom w:val="nil"/>
              <w:right w:val="nil"/>
            </w:tcBorders>
            <w:shd w:val="clear" w:color="auto" w:fill="auto"/>
            <w:noWrap/>
            <w:vAlign w:val="bottom"/>
            <w:hideMark/>
          </w:tcPr>
          <w:p w14:paraId="38E6F619" w14:textId="795DC2BE" w:rsidR="00306EC6" w:rsidRPr="00337135" w:rsidRDefault="00306EC6" w:rsidP="00306EC6">
            <w:pPr>
              <w:jc w:val="center"/>
              <w:rPr>
                <w:rFonts w:eastAsia="Times New Roman" w:cs="Times New Roman"/>
                <w:color w:val="000000"/>
                <w:sz w:val="20"/>
                <w:szCs w:val="20"/>
              </w:rPr>
            </w:pPr>
            <w:r>
              <w:rPr>
                <w:color w:val="000000"/>
                <w:sz w:val="20"/>
                <w:szCs w:val="20"/>
              </w:rPr>
              <w:t>0.251</w:t>
            </w:r>
          </w:p>
        </w:tc>
        <w:tc>
          <w:tcPr>
            <w:tcW w:w="1166" w:type="dxa"/>
            <w:tcBorders>
              <w:top w:val="nil"/>
              <w:left w:val="nil"/>
              <w:bottom w:val="nil"/>
              <w:right w:val="nil"/>
            </w:tcBorders>
            <w:shd w:val="clear" w:color="auto" w:fill="auto"/>
            <w:noWrap/>
            <w:vAlign w:val="bottom"/>
            <w:hideMark/>
          </w:tcPr>
          <w:p w14:paraId="0F7BE58A"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1F21AB6A" w14:textId="61ABED20" w:rsidR="00306EC6" w:rsidRPr="00337135" w:rsidRDefault="00306EC6" w:rsidP="00306EC6">
            <w:pPr>
              <w:jc w:val="center"/>
              <w:rPr>
                <w:rFonts w:eastAsia="Times New Roman" w:cs="Times New Roman"/>
                <w:color w:val="000000"/>
                <w:sz w:val="20"/>
                <w:szCs w:val="20"/>
              </w:rPr>
            </w:pPr>
            <w:r>
              <w:rPr>
                <w:color w:val="000000"/>
                <w:sz w:val="20"/>
                <w:szCs w:val="20"/>
              </w:rPr>
              <w:t>0.891*</w:t>
            </w:r>
          </w:p>
        </w:tc>
        <w:tc>
          <w:tcPr>
            <w:tcW w:w="1166" w:type="dxa"/>
            <w:tcBorders>
              <w:top w:val="nil"/>
              <w:left w:val="nil"/>
              <w:bottom w:val="nil"/>
              <w:right w:val="nil"/>
            </w:tcBorders>
            <w:shd w:val="clear" w:color="auto" w:fill="auto"/>
            <w:noWrap/>
            <w:vAlign w:val="bottom"/>
            <w:hideMark/>
          </w:tcPr>
          <w:p w14:paraId="69B9B189" w14:textId="00324A73" w:rsidR="00306EC6" w:rsidRPr="00337135" w:rsidRDefault="00306EC6" w:rsidP="00306EC6">
            <w:pPr>
              <w:jc w:val="center"/>
              <w:rPr>
                <w:rFonts w:eastAsia="Times New Roman" w:cs="Times New Roman"/>
                <w:color w:val="000000"/>
                <w:sz w:val="20"/>
                <w:szCs w:val="20"/>
              </w:rPr>
            </w:pPr>
            <w:r>
              <w:rPr>
                <w:color w:val="000000"/>
                <w:sz w:val="20"/>
                <w:szCs w:val="20"/>
              </w:rPr>
              <w:t>0.897*</w:t>
            </w:r>
          </w:p>
        </w:tc>
      </w:tr>
      <w:tr w:rsidR="00306EC6" w:rsidRPr="00337135" w14:paraId="3F9695DB" w14:textId="77777777" w:rsidTr="00306EC6">
        <w:trPr>
          <w:trHeight w:val="255"/>
        </w:trPr>
        <w:tc>
          <w:tcPr>
            <w:tcW w:w="2000" w:type="dxa"/>
            <w:tcBorders>
              <w:top w:val="nil"/>
              <w:left w:val="nil"/>
              <w:bottom w:val="nil"/>
              <w:right w:val="nil"/>
            </w:tcBorders>
            <w:shd w:val="clear" w:color="auto" w:fill="auto"/>
            <w:noWrap/>
            <w:vAlign w:val="bottom"/>
            <w:hideMark/>
          </w:tcPr>
          <w:p w14:paraId="169EABC4"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60303B31"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355BC176" w14:textId="6440DFC7" w:rsidR="00306EC6" w:rsidRPr="00337135" w:rsidRDefault="00306EC6" w:rsidP="00306EC6">
            <w:pPr>
              <w:jc w:val="center"/>
              <w:rPr>
                <w:rFonts w:eastAsia="Times New Roman" w:cs="Times New Roman"/>
                <w:color w:val="000000"/>
                <w:sz w:val="20"/>
                <w:szCs w:val="20"/>
              </w:rPr>
            </w:pPr>
            <w:r>
              <w:rPr>
                <w:color w:val="000000"/>
                <w:sz w:val="20"/>
                <w:szCs w:val="20"/>
              </w:rPr>
              <w:t>(0.457)</w:t>
            </w:r>
          </w:p>
        </w:tc>
        <w:tc>
          <w:tcPr>
            <w:tcW w:w="1166" w:type="dxa"/>
            <w:tcBorders>
              <w:top w:val="nil"/>
              <w:left w:val="nil"/>
              <w:bottom w:val="nil"/>
              <w:right w:val="nil"/>
            </w:tcBorders>
            <w:shd w:val="clear" w:color="auto" w:fill="auto"/>
            <w:noWrap/>
            <w:vAlign w:val="bottom"/>
            <w:hideMark/>
          </w:tcPr>
          <w:p w14:paraId="1C198C9C" w14:textId="4D308B90" w:rsidR="00306EC6" w:rsidRPr="00337135" w:rsidRDefault="00306EC6" w:rsidP="00306EC6">
            <w:pPr>
              <w:jc w:val="center"/>
              <w:rPr>
                <w:rFonts w:eastAsia="Times New Roman" w:cs="Times New Roman"/>
                <w:color w:val="000000"/>
                <w:sz w:val="20"/>
                <w:szCs w:val="20"/>
              </w:rPr>
            </w:pPr>
            <w:r>
              <w:rPr>
                <w:color w:val="000000"/>
                <w:sz w:val="20"/>
                <w:szCs w:val="20"/>
              </w:rPr>
              <w:t>(0.456)</w:t>
            </w:r>
          </w:p>
        </w:tc>
        <w:tc>
          <w:tcPr>
            <w:tcW w:w="1166" w:type="dxa"/>
            <w:tcBorders>
              <w:top w:val="nil"/>
              <w:left w:val="nil"/>
              <w:bottom w:val="nil"/>
              <w:right w:val="nil"/>
            </w:tcBorders>
            <w:shd w:val="clear" w:color="auto" w:fill="auto"/>
            <w:noWrap/>
            <w:vAlign w:val="bottom"/>
            <w:hideMark/>
          </w:tcPr>
          <w:p w14:paraId="1B33EDC1"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234B79E" w14:textId="3C7082A3" w:rsidR="00306EC6" w:rsidRPr="00337135" w:rsidRDefault="00306EC6" w:rsidP="00306EC6">
            <w:pPr>
              <w:jc w:val="center"/>
              <w:rPr>
                <w:rFonts w:eastAsia="Times New Roman" w:cs="Times New Roman"/>
                <w:color w:val="000000"/>
                <w:sz w:val="20"/>
                <w:szCs w:val="20"/>
              </w:rPr>
            </w:pPr>
            <w:r>
              <w:rPr>
                <w:color w:val="000000"/>
                <w:sz w:val="20"/>
                <w:szCs w:val="20"/>
              </w:rPr>
              <w:t>(0.484)</w:t>
            </w:r>
          </w:p>
        </w:tc>
        <w:tc>
          <w:tcPr>
            <w:tcW w:w="1166" w:type="dxa"/>
            <w:tcBorders>
              <w:top w:val="nil"/>
              <w:left w:val="nil"/>
              <w:bottom w:val="nil"/>
              <w:right w:val="nil"/>
            </w:tcBorders>
            <w:shd w:val="clear" w:color="auto" w:fill="auto"/>
            <w:noWrap/>
            <w:vAlign w:val="bottom"/>
            <w:hideMark/>
          </w:tcPr>
          <w:p w14:paraId="2B74EC36" w14:textId="03D557DB" w:rsidR="00306EC6" w:rsidRPr="00337135" w:rsidRDefault="00306EC6" w:rsidP="00306EC6">
            <w:pPr>
              <w:jc w:val="center"/>
              <w:rPr>
                <w:rFonts w:eastAsia="Times New Roman" w:cs="Times New Roman"/>
                <w:color w:val="000000"/>
                <w:sz w:val="20"/>
                <w:szCs w:val="20"/>
              </w:rPr>
            </w:pPr>
            <w:r>
              <w:rPr>
                <w:color w:val="000000"/>
                <w:sz w:val="20"/>
                <w:szCs w:val="20"/>
              </w:rPr>
              <w:t>(0.483)</w:t>
            </w:r>
          </w:p>
        </w:tc>
      </w:tr>
      <w:tr w:rsidR="00306EC6" w:rsidRPr="00337135" w14:paraId="0C86D0B2" w14:textId="77777777" w:rsidTr="00306EC6">
        <w:trPr>
          <w:trHeight w:val="255"/>
        </w:trPr>
        <w:tc>
          <w:tcPr>
            <w:tcW w:w="2000" w:type="dxa"/>
            <w:tcBorders>
              <w:top w:val="nil"/>
              <w:left w:val="nil"/>
              <w:bottom w:val="nil"/>
              <w:right w:val="nil"/>
            </w:tcBorders>
            <w:shd w:val="clear" w:color="auto" w:fill="auto"/>
            <w:noWrap/>
            <w:vAlign w:val="bottom"/>
            <w:hideMark/>
          </w:tcPr>
          <w:p w14:paraId="0EFFBBEB" w14:textId="27C739D1" w:rsidR="00306EC6" w:rsidRPr="00337135" w:rsidRDefault="00306EC6" w:rsidP="00306EC6">
            <w:pPr>
              <w:rPr>
                <w:rFonts w:eastAsia="Times New Roman" w:cs="Times New Roman"/>
                <w:color w:val="000000"/>
                <w:sz w:val="20"/>
                <w:szCs w:val="20"/>
              </w:rPr>
            </w:pPr>
            <w:r>
              <w:rPr>
                <w:color w:val="000000"/>
                <w:sz w:val="20"/>
                <w:szCs w:val="20"/>
              </w:rPr>
              <w:t>School % FRPL</w:t>
            </w:r>
          </w:p>
        </w:tc>
        <w:tc>
          <w:tcPr>
            <w:tcW w:w="1166" w:type="dxa"/>
            <w:tcBorders>
              <w:top w:val="nil"/>
              <w:left w:val="nil"/>
              <w:bottom w:val="nil"/>
              <w:right w:val="nil"/>
            </w:tcBorders>
            <w:shd w:val="clear" w:color="auto" w:fill="auto"/>
            <w:noWrap/>
            <w:vAlign w:val="bottom"/>
            <w:hideMark/>
          </w:tcPr>
          <w:p w14:paraId="03D8D32F" w14:textId="77777777" w:rsidR="00306EC6" w:rsidRPr="00337135" w:rsidRDefault="00306EC6" w:rsidP="00306EC6">
            <w:pP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02A5704" w14:textId="77777777" w:rsidR="00306EC6" w:rsidRPr="00337135" w:rsidRDefault="00306EC6" w:rsidP="00306EC6">
            <w:pPr>
              <w:jc w:val="cente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6358FCFB" w14:textId="5C4FDC75" w:rsidR="00306EC6" w:rsidRPr="00337135" w:rsidRDefault="00306EC6" w:rsidP="00306EC6">
            <w:pPr>
              <w:jc w:val="center"/>
              <w:rPr>
                <w:rFonts w:eastAsia="Times New Roman" w:cs="Times New Roman"/>
                <w:color w:val="000000"/>
                <w:sz w:val="20"/>
                <w:szCs w:val="20"/>
              </w:rPr>
            </w:pPr>
            <w:r>
              <w:rPr>
                <w:color w:val="000000"/>
                <w:sz w:val="20"/>
                <w:szCs w:val="20"/>
              </w:rPr>
              <w:t>-12.343***</w:t>
            </w:r>
          </w:p>
        </w:tc>
        <w:tc>
          <w:tcPr>
            <w:tcW w:w="1166" w:type="dxa"/>
            <w:tcBorders>
              <w:top w:val="nil"/>
              <w:left w:val="nil"/>
              <w:bottom w:val="nil"/>
              <w:right w:val="nil"/>
            </w:tcBorders>
            <w:shd w:val="clear" w:color="auto" w:fill="auto"/>
            <w:noWrap/>
            <w:vAlign w:val="bottom"/>
            <w:hideMark/>
          </w:tcPr>
          <w:p w14:paraId="67EE22CA"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35B99805"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2C09BC3A" w14:textId="0CE62B19" w:rsidR="00306EC6" w:rsidRPr="00337135" w:rsidRDefault="00306EC6" w:rsidP="00306EC6">
            <w:pPr>
              <w:jc w:val="center"/>
              <w:rPr>
                <w:rFonts w:eastAsia="Times New Roman" w:cs="Times New Roman"/>
                <w:color w:val="000000"/>
                <w:sz w:val="20"/>
                <w:szCs w:val="20"/>
              </w:rPr>
            </w:pPr>
            <w:r>
              <w:rPr>
                <w:color w:val="000000"/>
                <w:sz w:val="20"/>
                <w:szCs w:val="20"/>
              </w:rPr>
              <w:t>-22.529***</w:t>
            </w:r>
          </w:p>
        </w:tc>
      </w:tr>
      <w:tr w:rsidR="00306EC6" w:rsidRPr="00337135" w14:paraId="1C0F03BE" w14:textId="77777777" w:rsidTr="00306EC6">
        <w:trPr>
          <w:trHeight w:val="255"/>
        </w:trPr>
        <w:tc>
          <w:tcPr>
            <w:tcW w:w="2000" w:type="dxa"/>
            <w:tcBorders>
              <w:top w:val="nil"/>
              <w:left w:val="nil"/>
              <w:bottom w:val="nil"/>
              <w:right w:val="nil"/>
            </w:tcBorders>
            <w:shd w:val="clear" w:color="auto" w:fill="auto"/>
            <w:noWrap/>
            <w:vAlign w:val="bottom"/>
            <w:hideMark/>
          </w:tcPr>
          <w:p w14:paraId="2B00E50D"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5C5FF9E4"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69027552" w14:textId="77777777" w:rsidR="00306EC6" w:rsidRPr="00337135" w:rsidRDefault="00306EC6" w:rsidP="00306EC6">
            <w:pPr>
              <w:jc w:val="cente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1E5BAE4C" w14:textId="07C5C6DD" w:rsidR="00306EC6" w:rsidRPr="00337135" w:rsidRDefault="00306EC6" w:rsidP="00306EC6">
            <w:pPr>
              <w:jc w:val="center"/>
              <w:rPr>
                <w:rFonts w:eastAsia="Times New Roman" w:cs="Times New Roman"/>
                <w:color w:val="000000"/>
                <w:sz w:val="20"/>
                <w:szCs w:val="20"/>
              </w:rPr>
            </w:pPr>
            <w:r>
              <w:rPr>
                <w:color w:val="000000"/>
                <w:sz w:val="20"/>
                <w:szCs w:val="20"/>
              </w:rPr>
              <w:t>(4.620)</w:t>
            </w:r>
          </w:p>
        </w:tc>
        <w:tc>
          <w:tcPr>
            <w:tcW w:w="1166" w:type="dxa"/>
            <w:tcBorders>
              <w:top w:val="nil"/>
              <w:left w:val="nil"/>
              <w:bottom w:val="nil"/>
              <w:right w:val="nil"/>
            </w:tcBorders>
            <w:shd w:val="clear" w:color="auto" w:fill="auto"/>
            <w:noWrap/>
            <w:vAlign w:val="bottom"/>
            <w:hideMark/>
          </w:tcPr>
          <w:p w14:paraId="3E3A557A"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5EEE082E"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6CBCA4E6" w14:textId="1D238658" w:rsidR="00306EC6" w:rsidRPr="00337135" w:rsidRDefault="00306EC6" w:rsidP="00306EC6">
            <w:pPr>
              <w:jc w:val="center"/>
              <w:rPr>
                <w:rFonts w:eastAsia="Times New Roman" w:cs="Times New Roman"/>
                <w:color w:val="000000"/>
                <w:sz w:val="20"/>
                <w:szCs w:val="20"/>
              </w:rPr>
            </w:pPr>
            <w:r>
              <w:rPr>
                <w:color w:val="000000"/>
                <w:sz w:val="20"/>
                <w:szCs w:val="20"/>
              </w:rPr>
              <w:t>(8.533)</w:t>
            </w:r>
          </w:p>
        </w:tc>
      </w:tr>
      <w:tr w:rsidR="00306EC6" w:rsidRPr="00337135" w14:paraId="31ABA46F" w14:textId="77777777" w:rsidTr="00306EC6">
        <w:trPr>
          <w:trHeight w:val="255"/>
        </w:trPr>
        <w:tc>
          <w:tcPr>
            <w:tcW w:w="2000" w:type="dxa"/>
            <w:tcBorders>
              <w:top w:val="nil"/>
              <w:left w:val="nil"/>
              <w:bottom w:val="nil"/>
              <w:right w:val="nil"/>
            </w:tcBorders>
            <w:shd w:val="clear" w:color="auto" w:fill="auto"/>
            <w:noWrap/>
            <w:vAlign w:val="bottom"/>
            <w:hideMark/>
          </w:tcPr>
          <w:p w14:paraId="070F50FD" w14:textId="63902B7A" w:rsidR="00306EC6" w:rsidRPr="00337135" w:rsidRDefault="00306EC6" w:rsidP="00306EC6">
            <w:pPr>
              <w:rPr>
                <w:rFonts w:eastAsia="Times New Roman" w:cs="Times New Roman"/>
                <w:color w:val="000000"/>
                <w:sz w:val="20"/>
                <w:szCs w:val="20"/>
              </w:rPr>
            </w:pPr>
            <w:r>
              <w:rPr>
                <w:color w:val="000000"/>
                <w:sz w:val="20"/>
                <w:szCs w:val="20"/>
              </w:rPr>
              <w:t>School % EL</w:t>
            </w:r>
          </w:p>
        </w:tc>
        <w:tc>
          <w:tcPr>
            <w:tcW w:w="1166" w:type="dxa"/>
            <w:tcBorders>
              <w:top w:val="nil"/>
              <w:left w:val="nil"/>
              <w:bottom w:val="nil"/>
              <w:right w:val="nil"/>
            </w:tcBorders>
            <w:shd w:val="clear" w:color="auto" w:fill="auto"/>
            <w:noWrap/>
            <w:vAlign w:val="bottom"/>
            <w:hideMark/>
          </w:tcPr>
          <w:p w14:paraId="71A2BFE4" w14:textId="77777777" w:rsidR="00306EC6" w:rsidRPr="00337135" w:rsidRDefault="00306EC6" w:rsidP="00306EC6">
            <w:pP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0BA880B2" w14:textId="77777777" w:rsidR="00306EC6" w:rsidRPr="00337135" w:rsidRDefault="00306EC6" w:rsidP="00306EC6">
            <w:pPr>
              <w:jc w:val="cente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5A5DF1AC" w14:textId="46DA827F" w:rsidR="00306EC6" w:rsidRPr="00337135" w:rsidRDefault="00306EC6" w:rsidP="00306EC6">
            <w:pPr>
              <w:jc w:val="center"/>
              <w:rPr>
                <w:rFonts w:eastAsia="Times New Roman" w:cs="Times New Roman"/>
                <w:color w:val="000000"/>
                <w:sz w:val="20"/>
                <w:szCs w:val="20"/>
              </w:rPr>
            </w:pPr>
            <w:r>
              <w:rPr>
                <w:color w:val="000000"/>
                <w:sz w:val="20"/>
                <w:szCs w:val="20"/>
              </w:rPr>
              <w:t>17.800*</w:t>
            </w:r>
          </w:p>
        </w:tc>
        <w:tc>
          <w:tcPr>
            <w:tcW w:w="1166" w:type="dxa"/>
            <w:tcBorders>
              <w:top w:val="nil"/>
              <w:left w:val="nil"/>
              <w:bottom w:val="nil"/>
              <w:right w:val="nil"/>
            </w:tcBorders>
            <w:shd w:val="clear" w:color="auto" w:fill="auto"/>
            <w:noWrap/>
            <w:vAlign w:val="bottom"/>
            <w:hideMark/>
          </w:tcPr>
          <w:p w14:paraId="610D387C"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533CE78E"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628C0BC0" w14:textId="219D642B" w:rsidR="00306EC6" w:rsidRPr="00337135" w:rsidRDefault="00306EC6" w:rsidP="00306EC6">
            <w:pPr>
              <w:jc w:val="center"/>
              <w:rPr>
                <w:rFonts w:eastAsia="Times New Roman" w:cs="Times New Roman"/>
                <w:color w:val="000000"/>
                <w:sz w:val="20"/>
                <w:szCs w:val="20"/>
              </w:rPr>
            </w:pPr>
            <w:r>
              <w:rPr>
                <w:color w:val="000000"/>
                <w:sz w:val="20"/>
                <w:szCs w:val="20"/>
              </w:rPr>
              <w:t>32.515*</w:t>
            </w:r>
          </w:p>
        </w:tc>
      </w:tr>
      <w:tr w:rsidR="00306EC6" w:rsidRPr="00337135" w14:paraId="5095ED9E" w14:textId="77777777" w:rsidTr="00306EC6">
        <w:trPr>
          <w:trHeight w:val="255"/>
        </w:trPr>
        <w:tc>
          <w:tcPr>
            <w:tcW w:w="2000" w:type="dxa"/>
            <w:tcBorders>
              <w:top w:val="nil"/>
              <w:left w:val="nil"/>
              <w:bottom w:val="nil"/>
              <w:right w:val="nil"/>
            </w:tcBorders>
            <w:shd w:val="clear" w:color="auto" w:fill="auto"/>
            <w:noWrap/>
            <w:vAlign w:val="bottom"/>
            <w:hideMark/>
          </w:tcPr>
          <w:p w14:paraId="20D00E71"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68C6CFE7"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2E22BC5E" w14:textId="77777777" w:rsidR="00306EC6" w:rsidRPr="00337135" w:rsidRDefault="00306EC6" w:rsidP="00306EC6">
            <w:pPr>
              <w:jc w:val="cente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05A127C3" w14:textId="7EE1639C" w:rsidR="00306EC6" w:rsidRPr="00337135" w:rsidRDefault="00306EC6" w:rsidP="00306EC6">
            <w:pPr>
              <w:jc w:val="center"/>
              <w:rPr>
                <w:rFonts w:eastAsia="Times New Roman" w:cs="Times New Roman"/>
                <w:color w:val="000000"/>
                <w:sz w:val="20"/>
                <w:szCs w:val="20"/>
              </w:rPr>
            </w:pPr>
            <w:r>
              <w:rPr>
                <w:color w:val="000000"/>
                <w:sz w:val="20"/>
                <w:szCs w:val="20"/>
              </w:rPr>
              <w:t>(9.837)</w:t>
            </w:r>
          </w:p>
        </w:tc>
        <w:tc>
          <w:tcPr>
            <w:tcW w:w="1166" w:type="dxa"/>
            <w:tcBorders>
              <w:top w:val="nil"/>
              <w:left w:val="nil"/>
              <w:bottom w:val="nil"/>
              <w:right w:val="nil"/>
            </w:tcBorders>
            <w:shd w:val="clear" w:color="auto" w:fill="auto"/>
            <w:noWrap/>
            <w:vAlign w:val="bottom"/>
            <w:hideMark/>
          </w:tcPr>
          <w:p w14:paraId="127F0D81" w14:textId="77777777" w:rsidR="00306EC6" w:rsidRPr="00337135" w:rsidRDefault="00306EC6" w:rsidP="00306EC6">
            <w:pPr>
              <w:jc w:val="center"/>
              <w:rPr>
                <w:rFonts w:eastAsia="Times New Roman" w:cs="Times New Roman"/>
                <w:color w:val="000000"/>
                <w:sz w:val="20"/>
                <w:szCs w:val="20"/>
              </w:rPr>
            </w:pPr>
          </w:p>
        </w:tc>
        <w:tc>
          <w:tcPr>
            <w:tcW w:w="1166" w:type="dxa"/>
            <w:tcBorders>
              <w:top w:val="nil"/>
              <w:left w:val="nil"/>
              <w:bottom w:val="nil"/>
              <w:right w:val="nil"/>
            </w:tcBorders>
            <w:shd w:val="clear" w:color="auto" w:fill="auto"/>
            <w:noWrap/>
            <w:vAlign w:val="bottom"/>
            <w:hideMark/>
          </w:tcPr>
          <w:p w14:paraId="2F35C10A" w14:textId="77777777" w:rsidR="00306EC6" w:rsidRPr="00337135" w:rsidRDefault="00306EC6" w:rsidP="00306EC6">
            <w:pPr>
              <w:rPr>
                <w:rFonts w:eastAsia="Times New Roman" w:cs="Times New Roman"/>
                <w:sz w:val="20"/>
                <w:szCs w:val="20"/>
              </w:rPr>
            </w:pPr>
          </w:p>
        </w:tc>
        <w:tc>
          <w:tcPr>
            <w:tcW w:w="1166" w:type="dxa"/>
            <w:tcBorders>
              <w:top w:val="nil"/>
              <w:left w:val="nil"/>
              <w:bottom w:val="nil"/>
              <w:right w:val="nil"/>
            </w:tcBorders>
            <w:shd w:val="clear" w:color="auto" w:fill="auto"/>
            <w:noWrap/>
            <w:vAlign w:val="bottom"/>
            <w:hideMark/>
          </w:tcPr>
          <w:p w14:paraId="3C3B78CC" w14:textId="3D90D6B2" w:rsidR="00306EC6" w:rsidRPr="00337135" w:rsidRDefault="00306EC6" w:rsidP="00306EC6">
            <w:pPr>
              <w:jc w:val="center"/>
              <w:rPr>
                <w:rFonts w:eastAsia="Times New Roman" w:cs="Times New Roman"/>
                <w:color w:val="000000"/>
                <w:sz w:val="20"/>
                <w:szCs w:val="20"/>
              </w:rPr>
            </w:pPr>
            <w:r>
              <w:rPr>
                <w:color w:val="000000"/>
                <w:sz w:val="20"/>
                <w:szCs w:val="20"/>
              </w:rPr>
              <w:t>(18.730)</w:t>
            </w:r>
          </w:p>
        </w:tc>
      </w:tr>
      <w:tr w:rsidR="00306EC6" w:rsidRPr="00337135" w14:paraId="200FC87F" w14:textId="77777777" w:rsidTr="00306EC6">
        <w:trPr>
          <w:trHeight w:val="255"/>
        </w:trPr>
        <w:tc>
          <w:tcPr>
            <w:tcW w:w="2000" w:type="dxa"/>
            <w:tcBorders>
              <w:top w:val="nil"/>
              <w:left w:val="nil"/>
              <w:bottom w:val="nil"/>
              <w:right w:val="nil"/>
            </w:tcBorders>
            <w:shd w:val="clear" w:color="auto" w:fill="auto"/>
            <w:noWrap/>
            <w:vAlign w:val="bottom"/>
            <w:hideMark/>
          </w:tcPr>
          <w:p w14:paraId="22C9B97E" w14:textId="42ABD657" w:rsidR="00306EC6" w:rsidRPr="00337135" w:rsidRDefault="00306EC6" w:rsidP="00306EC6">
            <w:pPr>
              <w:rPr>
                <w:rFonts w:eastAsia="Times New Roman" w:cs="Times New Roman"/>
                <w:color w:val="000000"/>
                <w:sz w:val="20"/>
                <w:szCs w:val="20"/>
              </w:rPr>
            </w:pPr>
            <w:r>
              <w:rPr>
                <w:color w:val="000000"/>
                <w:sz w:val="20"/>
                <w:szCs w:val="20"/>
              </w:rPr>
              <w:t>Student Covariates</w:t>
            </w:r>
          </w:p>
        </w:tc>
        <w:tc>
          <w:tcPr>
            <w:tcW w:w="1166" w:type="dxa"/>
            <w:tcBorders>
              <w:top w:val="nil"/>
              <w:left w:val="nil"/>
              <w:bottom w:val="nil"/>
              <w:right w:val="nil"/>
            </w:tcBorders>
            <w:shd w:val="clear" w:color="auto" w:fill="auto"/>
            <w:noWrap/>
            <w:vAlign w:val="bottom"/>
            <w:hideMark/>
          </w:tcPr>
          <w:p w14:paraId="2FDDCA40" w14:textId="2B9EDE66" w:rsidR="00306EC6" w:rsidRPr="00337135" w:rsidRDefault="00306EC6" w:rsidP="00306EC6">
            <w:pPr>
              <w:jc w:val="center"/>
              <w:rPr>
                <w:rFonts w:eastAsia="Times New Roman" w:cs="Times New Roman"/>
                <w:color w:val="000000"/>
                <w:sz w:val="20"/>
                <w:szCs w:val="20"/>
              </w:rPr>
            </w:pPr>
            <w:r>
              <w:rPr>
                <w:color w:val="000000"/>
                <w:sz w:val="20"/>
                <w:szCs w:val="20"/>
              </w:rPr>
              <w:t>no</w:t>
            </w:r>
          </w:p>
        </w:tc>
        <w:tc>
          <w:tcPr>
            <w:tcW w:w="1166" w:type="dxa"/>
            <w:tcBorders>
              <w:top w:val="nil"/>
              <w:left w:val="nil"/>
              <w:bottom w:val="nil"/>
              <w:right w:val="nil"/>
            </w:tcBorders>
            <w:shd w:val="clear" w:color="auto" w:fill="auto"/>
            <w:noWrap/>
            <w:vAlign w:val="bottom"/>
            <w:hideMark/>
          </w:tcPr>
          <w:p w14:paraId="6AA4CAEB" w14:textId="48D73BC0" w:rsidR="00306EC6" w:rsidRPr="00337135" w:rsidRDefault="00306EC6" w:rsidP="00306EC6">
            <w:pPr>
              <w:jc w:val="center"/>
              <w:rPr>
                <w:rFonts w:eastAsia="Times New Roman" w:cs="Times New Roman"/>
                <w:color w:val="000000"/>
                <w:sz w:val="20"/>
                <w:szCs w:val="20"/>
              </w:rPr>
            </w:pPr>
            <w:r>
              <w:rPr>
                <w:color w:val="000000"/>
                <w:sz w:val="20"/>
                <w:szCs w:val="20"/>
              </w:rPr>
              <w:t>yes</w:t>
            </w:r>
          </w:p>
        </w:tc>
        <w:tc>
          <w:tcPr>
            <w:tcW w:w="1166" w:type="dxa"/>
            <w:tcBorders>
              <w:top w:val="nil"/>
              <w:left w:val="nil"/>
              <w:bottom w:val="nil"/>
              <w:right w:val="nil"/>
            </w:tcBorders>
            <w:shd w:val="clear" w:color="auto" w:fill="auto"/>
            <w:noWrap/>
            <w:vAlign w:val="bottom"/>
            <w:hideMark/>
          </w:tcPr>
          <w:p w14:paraId="4F099920" w14:textId="4112A36D" w:rsidR="00306EC6" w:rsidRPr="00337135" w:rsidRDefault="00306EC6" w:rsidP="00306EC6">
            <w:pPr>
              <w:jc w:val="center"/>
              <w:rPr>
                <w:rFonts w:eastAsia="Times New Roman" w:cs="Times New Roman"/>
                <w:color w:val="000000"/>
                <w:sz w:val="20"/>
                <w:szCs w:val="20"/>
              </w:rPr>
            </w:pPr>
            <w:r>
              <w:rPr>
                <w:color w:val="000000"/>
                <w:sz w:val="20"/>
                <w:szCs w:val="20"/>
              </w:rPr>
              <w:t>yes</w:t>
            </w:r>
          </w:p>
        </w:tc>
        <w:tc>
          <w:tcPr>
            <w:tcW w:w="1166" w:type="dxa"/>
            <w:tcBorders>
              <w:top w:val="nil"/>
              <w:left w:val="nil"/>
              <w:bottom w:val="nil"/>
              <w:right w:val="nil"/>
            </w:tcBorders>
            <w:shd w:val="clear" w:color="auto" w:fill="auto"/>
            <w:noWrap/>
            <w:vAlign w:val="bottom"/>
            <w:hideMark/>
          </w:tcPr>
          <w:p w14:paraId="3E442EDA" w14:textId="42935260" w:rsidR="00306EC6" w:rsidRPr="00337135" w:rsidRDefault="00306EC6" w:rsidP="00306EC6">
            <w:pPr>
              <w:jc w:val="center"/>
              <w:rPr>
                <w:rFonts w:eastAsia="Times New Roman" w:cs="Times New Roman"/>
                <w:color w:val="000000"/>
                <w:sz w:val="20"/>
                <w:szCs w:val="20"/>
              </w:rPr>
            </w:pPr>
            <w:r>
              <w:rPr>
                <w:color w:val="000000"/>
                <w:sz w:val="20"/>
                <w:szCs w:val="20"/>
              </w:rPr>
              <w:t>no</w:t>
            </w:r>
          </w:p>
        </w:tc>
        <w:tc>
          <w:tcPr>
            <w:tcW w:w="1166" w:type="dxa"/>
            <w:tcBorders>
              <w:top w:val="nil"/>
              <w:left w:val="nil"/>
              <w:bottom w:val="nil"/>
              <w:right w:val="nil"/>
            </w:tcBorders>
            <w:shd w:val="clear" w:color="auto" w:fill="auto"/>
            <w:noWrap/>
            <w:vAlign w:val="bottom"/>
            <w:hideMark/>
          </w:tcPr>
          <w:p w14:paraId="58C62CF2" w14:textId="34981543" w:rsidR="00306EC6" w:rsidRPr="00337135" w:rsidRDefault="00306EC6" w:rsidP="00306EC6">
            <w:pPr>
              <w:jc w:val="center"/>
              <w:rPr>
                <w:rFonts w:eastAsia="Times New Roman" w:cs="Times New Roman"/>
                <w:color w:val="000000"/>
                <w:sz w:val="20"/>
                <w:szCs w:val="20"/>
              </w:rPr>
            </w:pPr>
            <w:r>
              <w:rPr>
                <w:color w:val="000000"/>
                <w:sz w:val="20"/>
                <w:szCs w:val="20"/>
              </w:rPr>
              <w:t>yes</w:t>
            </w:r>
          </w:p>
        </w:tc>
        <w:tc>
          <w:tcPr>
            <w:tcW w:w="1166" w:type="dxa"/>
            <w:tcBorders>
              <w:top w:val="nil"/>
              <w:left w:val="nil"/>
              <w:bottom w:val="nil"/>
              <w:right w:val="nil"/>
            </w:tcBorders>
            <w:shd w:val="clear" w:color="auto" w:fill="auto"/>
            <w:noWrap/>
            <w:vAlign w:val="bottom"/>
            <w:hideMark/>
          </w:tcPr>
          <w:p w14:paraId="45B73241" w14:textId="14F27539" w:rsidR="00306EC6" w:rsidRPr="00337135" w:rsidRDefault="00306EC6" w:rsidP="00306EC6">
            <w:pPr>
              <w:jc w:val="center"/>
              <w:rPr>
                <w:rFonts w:eastAsia="Times New Roman" w:cs="Times New Roman"/>
                <w:color w:val="000000"/>
                <w:sz w:val="20"/>
                <w:szCs w:val="20"/>
              </w:rPr>
            </w:pPr>
            <w:r>
              <w:rPr>
                <w:color w:val="000000"/>
                <w:sz w:val="20"/>
                <w:szCs w:val="20"/>
              </w:rPr>
              <w:t>yes</w:t>
            </w:r>
          </w:p>
        </w:tc>
      </w:tr>
      <w:tr w:rsidR="00306EC6" w:rsidRPr="00337135" w14:paraId="229DAF60" w14:textId="77777777" w:rsidTr="00306EC6">
        <w:trPr>
          <w:trHeight w:val="255"/>
        </w:trPr>
        <w:tc>
          <w:tcPr>
            <w:tcW w:w="2000" w:type="dxa"/>
            <w:tcBorders>
              <w:top w:val="nil"/>
              <w:left w:val="nil"/>
              <w:bottom w:val="nil"/>
              <w:right w:val="nil"/>
            </w:tcBorders>
            <w:shd w:val="clear" w:color="auto" w:fill="auto"/>
            <w:noWrap/>
            <w:vAlign w:val="bottom"/>
            <w:hideMark/>
          </w:tcPr>
          <w:p w14:paraId="188B84A9" w14:textId="59843FCD" w:rsidR="00306EC6" w:rsidRPr="00337135" w:rsidRDefault="00306EC6" w:rsidP="00306EC6">
            <w:pPr>
              <w:rPr>
                <w:rFonts w:eastAsia="Times New Roman" w:cs="Times New Roman"/>
                <w:color w:val="000000"/>
                <w:sz w:val="20"/>
                <w:szCs w:val="20"/>
              </w:rPr>
            </w:pPr>
            <w:r>
              <w:rPr>
                <w:color w:val="000000"/>
                <w:sz w:val="20"/>
                <w:szCs w:val="20"/>
              </w:rPr>
              <w:t>School Covariates</w:t>
            </w:r>
          </w:p>
        </w:tc>
        <w:tc>
          <w:tcPr>
            <w:tcW w:w="1166" w:type="dxa"/>
            <w:tcBorders>
              <w:top w:val="nil"/>
              <w:left w:val="nil"/>
              <w:bottom w:val="nil"/>
              <w:right w:val="nil"/>
            </w:tcBorders>
            <w:shd w:val="clear" w:color="auto" w:fill="auto"/>
            <w:noWrap/>
            <w:vAlign w:val="bottom"/>
            <w:hideMark/>
          </w:tcPr>
          <w:p w14:paraId="3B6CF6AD" w14:textId="608F119A" w:rsidR="00306EC6" w:rsidRPr="00337135" w:rsidRDefault="00306EC6" w:rsidP="00306EC6">
            <w:pPr>
              <w:jc w:val="center"/>
              <w:rPr>
                <w:rFonts w:eastAsia="Times New Roman" w:cs="Times New Roman"/>
                <w:color w:val="000000"/>
                <w:sz w:val="20"/>
                <w:szCs w:val="20"/>
              </w:rPr>
            </w:pPr>
            <w:r>
              <w:rPr>
                <w:color w:val="000000"/>
                <w:sz w:val="20"/>
                <w:szCs w:val="20"/>
              </w:rPr>
              <w:t>no</w:t>
            </w:r>
          </w:p>
        </w:tc>
        <w:tc>
          <w:tcPr>
            <w:tcW w:w="1166" w:type="dxa"/>
            <w:tcBorders>
              <w:top w:val="nil"/>
              <w:left w:val="nil"/>
              <w:bottom w:val="nil"/>
              <w:right w:val="nil"/>
            </w:tcBorders>
            <w:shd w:val="clear" w:color="auto" w:fill="auto"/>
            <w:noWrap/>
            <w:vAlign w:val="bottom"/>
            <w:hideMark/>
          </w:tcPr>
          <w:p w14:paraId="5E4015ED" w14:textId="6B0B0568" w:rsidR="00306EC6" w:rsidRPr="00337135" w:rsidRDefault="00306EC6" w:rsidP="00306EC6">
            <w:pPr>
              <w:jc w:val="center"/>
              <w:rPr>
                <w:rFonts w:eastAsia="Times New Roman" w:cs="Times New Roman"/>
                <w:color w:val="000000"/>
                <w:sz w:val="20"/>
                <w:szCs w:val="20"/>
              </w:rPr>
            </w:pPr>
            <w:r>
              <w:rPr>
                <w:color w:val="000000"/>
                <w:sz w:val="20"/>
                <w:szCs w:val="20"/>
              </w:rPr>
              <w:t>no</w:t>
            </w:r>
          </w:p>
        </w:tc>
        <w:tc>
          <w:tcPr>
            <w:tcW w:w="1166" w:type="dxa"/>
            <w:tcBorders>
              <w:top w:val="nil"/>
              <w:left w:val="nil"/>
              <w:bottom w:val="nil"/>
              <w:right w:val="nil"/>
            </w:tcBorders>
            <w:shd w:val="clear" w:color="auto" w:fill="auto"/>
            <w:noWrap/>
            <w:vAlign w:val="bottom"/>
            <w:hideMark/>
          </w:tcPr>
          <w:p w14:paraId="5B95FF16" w14:textId="17B51537" w:rsidR="00306EC6" w:rsidRPr="00337135" w:rsidRDefault="00306EC6" w:rsidP="00306EC6">
            <w:pPr>
              <w:jc w:val="center"/>
              <w:rPr>
                <w:rFonts w:eastAsia="Times New Roman" w:cs="Times New Roman"/>
                <w:color w:val="000000"/>
                <w:sz w:val="20"/>
                <w:szCs w:val="20"/>
              </w:rPr>
            </w:pPr>
            <w:r>
              <w:rPr>
                <w:color w:val="000000"/>
                <w:sz w:val="20"/>
                <w:szCs w:val="20"/>
              </w:rPr>
              <w:t>yes</w:t>
            </w:r>
          </w:p>
        </w:tc>
        <w:tc>
          <w:tcPr>
            <w:tcW w:w="1166" w:type="dxa"/>
            <w:tcBorders>
              <w:top w:val="nil"/>
              <w:left w:val="nil"/>
              <w:bottom w:val="nil"/>
              <w:right w:val="nil"/>
            </w:tcBorders>
            <w:shd w:val="clear" w:color="auto" w:fill="auto"/>
            <w:noWrap/>
            <w:vAlign w:val="bottom"/>
            <w:hideMark/>
          </w:tcPr>
          <w:p w14:paraId="2467CE9A" w14:textId="09D49A26" w:rsidR="00306EC6" w:rsidRPr="00337135" w:rsidRDefault="00306EC6" w:rsidP="00306EC6">
            <w:pPr>
              <w:jc w:val="center"/>
              <w:rPr>
                <w:rFonts w:eastAsia="Times New Roman" w:cs="Times New Roman"/>
                <w:color w:val="000000"/>
                <w:sz w:val="20"/>
                <w:szCs w:val="20"/>
              </w:rPr>
            </w:pPr>
            <w:r>
              <w:rPr>
                <w:color w:val="000000"/>
                <w:sz w:val="20"/>
                <w:szCs w:val="20"/>
              </w:rPr>
              <w:t>no</w:t>
            </w:r>
          </w:p>
        </w:tc>
        <w:tc>
          <w:tcPr>
            <w:tcW w:w="1166" w:type="dxa"/>
            <w:tcBorders>
              <w:top w:val="nil"/>
              <w:left w:val="nil"/>
              <w:bottom w:val="nil"/>
              <w:right w:val="nil"/>
            </w:tcBorders>
            <w:shd w:val="clear" w:color="auto" w:fill="auto"/>
            <w:noWrap/>
            <w:vAlign w:val="bottom"/>
            <w:hideMark/>
          </w:tcPr>
          <w:p w14:paraId="3D6DBB18" w14:textId="3FD351C9" w:rsidR="00306EC6" w:rsidRPr="00337135" w:rsidRDefault="00306EC6" w:rsidP="00306EC6">
            <w:pPr>
              <w:jc w:val="center"/>
              <w:rPr>
                <w:rFonts w:eastAsia="Times New Roman" w:cs="Times New Roman"/>
                <w:color w:val="000000"/>
                <w:sz w:val="20"/>
                <w:szCs w:val="20"/>
              </w:rPr>
            </w:pPr>
            <w:r>
              <w:rPr>
                <w:color w:val="000000"/>
                <w:sz w:val="20"/>
                <w:szCs w:val="20"/>
              </w:rPr>
              <w:t>no</w:t>
            </w:r>
          </w:p>
        </w:tc>
        <w:tc>
          <w:tcPr>
            <w:tcW w:w="1166" w:type="dxa"/>
            <w:tcBorders>
              <w:top w:val="nil"/>
              <w:left w:val="nil"/>
              <w:bottom w:val="nil"/>
              <w:right w:val="nil"/>
            </w:tcBorders>
            <w:shd w:val="clear" w:color="auto" w:fill="auto"/>
            <w:noWrap/>
            <w:vAlign w:val="bottom"/>
            <w:hideMark/>
          </w:tcPr>
          <w:p w14:paraId="35AF56B2" w14:textId="682967EA" w:rsidR="00306EC6" w:rsidRPr="00337135" w:rsidRDefault="00306EC6" w:rsidP="00306EC6">
            <w:pPr>
              <w:jc w:val="center"/>
              <w:rPr>
                <w:rFonts w:eastAsia="Times New Roman" w:cs="Times New Roman"/>
                <w:color w:val="000000"/>
                <w:sz w:val="20"/>
                <w:szCs w:val="20"/>
              </w:rPr>
            </w:pPr>
            <w:r>
              <w:rPr>
                <w:color w:val="000000"/>
                <w:sz w:val="20"/>
                <w:szCs w:val="20"/>
              </w:rPr>
              <w:t>yes</w:t>
            </w:r>
          </w:p>
        </w:tc>
      </w:tr>
      <w:tr w:rsidR="00306EC6" w:rsidRPr="00337135" w14:paraId="6A940E90" w14:textId="77777777" w:rsidTr="00306EC6">
        <w:trPr>
          <w:trHeight w:val="255"/>
        </w:trPr>
        <w:tc>
          <w:tcPr>
            <w:tcW w:w="2000" w:type="dxa"/>
            <w:tcBorders>
              <w:top w:val="nil"/>
              <w:left w:val="nil"/>
              <w:bottom w:val="nil"/>
              <w:right w:val="nil"/>
            </w:tcBorders>
            <w:shd w:val="clear" w:color="auto" w:fill="auto"/>
            <w:noWrap/>
            <w:vAlign w:val="bottom"/>
            <w:hideMark/>
          </w:tcPr>
          <w:p w14:paraId="165DBF02" w14:textId="4B2BD403" w:rsidR="00306EC6" w:rsidRPr="00337135" w:rsidRDefault="00306EC6" w:rsidP="00306EC6">
            <w:pPr>
              <w:rPr>
                <w:rFonts w:eastAsia="Times New Roman" w:cs="Times New Roman"/>
                <w:color w:val="000000"/>
                <w:sz w:val="20"/>
                <w:szCs w:val="20"/>
              </w:rPr>
            </w:pPr>
            <w:r>
              <w:rPr>
                <w:color w:val="000000"/>
                <w:sz w:val="20"/>
                <w:szCs w:val="20"/>
              </w:rPr>
              <w:t>Test Scores</w:t>
            </w:r>
          </w:p>
        </w:tc>
        <w:tc>
          <w:tcPr>
            <w:tcW w:w="1166" w:type="dxa"/>
            <w:tcBorders>
              <w:top w:val="nil"/>
              <w:left w:val="nil"/>
              <w:bottom w:val="nil"/>
              <w:right w:val="nil"/>
            </w:tcBorders>
            <w:shd w:val="clear" w:color="auto" w:fill="auto"/>
            <w:noWrap/>
            <w:vAlign w:val="bottom"/>
            <w:hideMark/>
          </w:tcPr>
          <w:p w14:paraId="25756DFE" w14:textId="75BBE64F" w:rsidR="00306EC6" w:rsidRPr="00337135" w:rsidRDefault="00306EC6" w:rsidP="00306EC6">
            <w:pPr>
              <w:jc w:val="center"/>
              <w:rPr>
                <w:rFonts w:eastAsia="Times New Roman" w:cs="Times New Roman"/>
                <w:color w:val="000000"/>
                <w:sz w:val="20"/>
                <w:szCs w:val="20"/>
              </w:rPr>
            </w:pPr>
            <w:r>
              <w:rPr>
                <w:color w:val="000000"/>
                <w:sz w:val="20"/>
                <w:szCs w:val="20"/>
              </w:rPr>
              <w:t>120591</w:t>
            </w:r>
          </w:p>
        </w:tc>
        <w:tc>
          <w:tcPr>
            <w:tcW w:w="1166" w:type="dxa"/>
            <w:tcBorders>
              <w:top w:val="nil"/>
              <w:left w:val="nil"/>
              <w:bottom w:val="nil"/>
              <w:right w:val="nil"/>
            </w:tcBorders>
            <w:shd w:val="clear" w:color="auto" w:fill="auto"/>
            <w:noWrap/>
            <w:vAlign w:val="bottom"/>
            <w:hideMark/>
          </w:tcPr>
          <w:p w14:paraId="250980F1" w14:textId="6734B951" w:rsidR="00306EC6" w:rsidRPr="00337135" w:rsidRDefault="00306EC6" w:rsidP="00306EC6">
            <w:pPr>
              <w:jc w:val="center"/>
              <w:rPr>
                <w:rFonts w:eastAsia="Times New Roman" w:cs="Times New Roman"/>
                <w:color w:val="000000"/>
                <w:sz w:val="20"/>
                <w:szCs w:val="20"/>
              </w:rPr>
            </w:pPr>
            <w:r>
              <w:rPr>
                <w:color w:val="000000"/>
                <w:sz w:val="20"/>
                <w:szCs w:val="20"/>
              </w:rPr>
              <w:t>120591</w:t>
            </w:r>
          </w:p>
        </w:tc>
        <w:tc>
          <w:tcPr>
            <w:tcW w:w="1166" w:type="dxa"/>
            <w:tcBorders>
              <w:top w:val="nil"/>
              <w:left w:val="nil"/>
              <w:bottom w:val="nil"/>
              <w:right w:val="nil"/>
            </w:tcBorders>
            <w:shd w:val="clear" w:color="auto" w:fill="auto"/>
            <w:noWrap/>
            <w:vAlign w:val="bottom"/>
            <w:hideMark/>
          </w:tcPr>
          <w:p w14:paraId="78A464F4" w14:textId="2803263A" w:rsidR="00306EC6" w:rsidRPr="00337135" w:rsidRDefault="00306EC6" w:rsidP="00306EC6">
            <w:pPr>
              <w:jc w:val="center"/>
              <w:rPr>
                <w:rFonts w:eastAsia="Times New Roman" w:cs="Times New Roman"/>
                <w:color w:val="000000"/>
                <w:sz w:val="20"/>
                <w:szCs w:val="20"/>
              </w:rPr>
            </w:pPr>
            <w:r>
              <w:rPr>
                <w:color w:val="000000"/>
                <w:sz w:val="20"/>
                <w:szCs w:val="20"/>
              </w:rPr>
              <w:t>120591</w:t>
            </w:r>
          </w:p>
        </w:tc>
        <w:tc>
          <w:tcPr>
            <w:tcW w:w="1166" w:type="dxa"/>
            <w:tcBorders>
              <w:top w:val="nil"/>
              <w:left w:val="nil"/>
              <w:bottom w:val="nil"/>
              <w:right w:val="nil"/>
            </w:tcBorders>
            <w:shd w:val="clear" w:color="auto" w:fill="auto"/>
            <w:noWrap/>
            <w:vAlign w:val="bottom"/>
            <w:hideMark/>
          </w:tcPr>
          <w:p w14:paraId="55C1E8D0" w14:textId="3800A29E" w:rsidR="00306EC6" w:rsidRPr="00337135" w:rsidRDefault="00306EC6" w:rsidP="00306EC6">
            <w:pPr>
              <w:jc w:val="center"/>
              <w:rPr>
                <w:rFonts w:eastAsia="Times New Roman" w:cs="Times New Roman"/>
                <w:color w:val="000000"/>
                <w:sz w:val="20"/>
                <w:szCs w:val="20"/>
              </w:rPr>
            </w:pPr>
            <w:r>
              <w:rPr>
                <w:color w:val="000000"/>
                <w:sz w:val="20"/>
                <w:szCs w:val="20"/>
              </w:rPr>
              <w:t>119877</w:t>
            </w:r>
          </w:p>
        </w:tc>
        <w:tc>
          <w:tcPr>
            <w:tcW w:w="1166" w:type="dxa"/>
            <w:tcBorders>
              <w:top w:val="nil"/>
              <w:left w:val="nil"/>
              <w:bottom w:val="nil"/>
              <w:right w:val="nil"/>
            </w:tcBorders>
            <w:shd w:val="clear" w:color="auto" w:fill="auto"/>
            <w:noWrap/>
            <w:vAlign w:val="bottom"/>
            <w:hideMark/>
          </w:tcPr>
          <w:p w14:paraId="0B0D5D4A" w14:textId="2E4DD790" w:rsidR="00306EC6" w:rsidRPr="00337135" w:rsidRDefault="00306EC6" w:rsidP="00306EC6">
            <w:pPr>
              <w:jc w:val="center"/>
              <w:rPr>
                <w:rFonts w:eastAsia="Times New Roman" w:cs="Times New Roman"/>
                <w:color w:val="000000"/>
                <w:sz w:val="20"/>
                <w:szCs w:val="20"/>
              </w:rPr>
            </w:pPr>
            <w:r>
              <w:rPr>
                <w:color w:val="000000"/>
                <w:sz w:val="20"/>
                <w:szCs w:val="20"/>
              </w:rPr>
              <w:t>119877</w:t>
            </w:r>
          </w:p>
        </w:tc>
        <w:tc>
          <w:tcPr>
            <w:tcW w:w="1166" w:type="dxa"/>
            <w:tcBorders>
              <w:top w:val="nil"/>
              <w:left w:val="nil"/>
              <w:bottom w:val="nil"/>
              <w:right w:val="nil"/>
            </w:tcBorders>
            <w:shd w:val="clear" w:color="auto" w:fill="auto"/>
            <w:noWrap/>
            <w:vAlign w:val="bottom"/>
            <w:hideMark/>
          </w:tcPr>
          <w:p w14:paraId="1AC09EAD" w14:textId="4BDBD035" w:rsidR="00306EC6" w:rsidRPr="00337135" w:rsidRDefault="00306EC6" w:rsidP="00306EC6">
            <w:pPr>
              <w:jc w:val="center"/>
              <w:rPr>
                <w:rFonts w:eastAsia="Times New Roman" w:cs="Times New Roman"/>
                <w:color w:val="000000"/>
                <w:sz w:val="20"/>
                <w:szCs w:val="20"/>
              </w:rPr>
            </w:pPr>
            <w:r>
              <w:rPr>
                <w:color w:val="000000"/>
                <w:sz w:val="20"/>
                <w:szCs w:val="20"/>
              </w:rPr>
              <w:t>119877</w:t>
            </w:r>
          </w:p>
        </w:tc>
      </w:tr>
      <w:tr w:rsidR="00306EC6" w:rsidRPr="00337135" w14:paraId="123E8463" w14:textId="77777777" w:rsidTr="00306EC6">
        <w:trPr>
          <w:trHeight w:val="255"/>
        </w:trPr>
        <w:tc>
          <w:tcPr>
            <w:tcW w:w="2000" w:type="dxa"/>
            <w:tcBorders>
              <w:top w:val="nil"/>
              <w:left w:val="nil"/>
              <w:bottom w:val="nil"/>
              <w:right w:val="nil"/>
            </w:tcBorders>
            <w:shd w:val="clear" w:color="auto" w:fill="auto"/>
            <w:noWrap/>
            <w:vAlign w:val="bottom"/>
            <w:hideMark/>
          </w:tcPr>
          <w:p w14:paraId="4CFFA199" w14:textId="0E318D0D" w:rsidR="00306EC6" w:rsidRPr="00337135" w:rsidRDefault="00306EC6" w:rsidP="00306EC6">
            <w:pPr>
              <w:rPr>
                <w:rFonts w:eastAsia="Times New Roman" w:cs="Times New Roman"/>
                <w:color w:val="000000"/>
                <w:sz w:val="20"/>
                <w:szCs w:val="20"/>
              </w:rPr>
            </w:pPr>
            <w:r>
              <w:rPr>
                <w:color w:val="000000"/>
                <w:sz w:val="20"/>
                <w:szCs w:val="20"/>
              </w:rPr>
              <w:t>Students</w:t>
            </w:r>
          </w:p>
        </w:tc>
        <w:tc>
          <w:tcPr>
            <w:tcW w:w="1166" w:type="dxa"/>
            <w:tcBorders>
              <w:top w:val="nil"/>
              <w:left w:val="nil"/>
              <w:bottom w:val="nil"/>
              <w:right w:val="nil"/>
            </w:tcBorders>
            <w:shd w:val="clear" w:color="auto" w:fill="auto"/>
            <w:noWrap/>
            <w:vAlign w:val="bottom"/>
            <w:hideMark/>
          </w:tcPr>
          <w:p w14:paraId="05E74B05" w14:textId="0ADD2441" w:rsidR="00306EC6" w:rsidRPr="00337135" w:rsidRDefault="00306EC6" w:rsidP="00306EC6">
            <w:pPr>
              <w:jc w:val="center"/>
              <w:rPr>
                <w:rFonts w:eastAsia="Times New Roman" w:cs="Times New Roman"/>
                <w:color w:val="000000"/>
                <w:sz w:val="20"/>
                <w:szCs w:val="20"/>
              </w:rPr>
            </w:pPr>
            <w:r>
              <w:rPr>
                <w:color w:val="000000"/>
                <w:sz w:val="20"/>
                <w:szCs w:val="20"/>
              </w:rPr>
              <w:t>11066</w:t>
            </w:r>
          </w:p>
        </w:tc>
        <w:tc>
          <w:tcPr>
            <w:tcW w:w="1166" w:type="dxa"/>
            <w:tcBorders>
              <w:top w:val="nil"/>
              <w:left w:val="nil"/>
              <w:bottom w:val="nil"/>
              <w:right w:val="nil"/>
            </w:tcBorders>
            <w:shd w:val="clear" w:color="auto" w:fill="auto"/>
            <w:noWrap/>
            <w:vAlign w:val="bottom"/>
            <w:hideMark/>
          </w:tcPr>
          <w:p w14:paraId="1535A987" w14:textId="6BD13071" w:rsidR="00306EC6" w:rsidRPr="00337135" w:rsidRDefault="00306EC6" w:rsidP="00306EC6">
            <w:pPr>
              <w:jc w:val="center"/>
              <w:rPr>
                <w:rFonts w:eastAsia="Times New Roman" w:cs="Times New Roman"/>
                <w:color w:val="000000"/>
                <w:sz w:val="20"/>
                <w:szCs w:val="20"/>
              </w:rPr>
            </w:pPr>
            <w:r>
              <w:rPr>
                <w:color w:val="000000"/>
                <w:sz w:val="20"/>
                <w:szCs w:val="20"/>
              </w:rPr>
              <w:t>11066</w:t>
            </w:r>
          </w:p>
        </w:tc>
        <w:tc>
          <w:tcPr>
            <w:tcW w:w="1166" w:type="dxa"/>
            <w:tcBorders>
              <w:top w:val="nil"/>
              <w:left w:val="nil"/>
              <w:bottom w:val="nil"/>
              <w:right w:val="nil"/>
            </w:tcBorders>
            <w:shd w:val="clear" w:color="auto" w:fill="auto"/>
            <w:noWrap/>
            <w:vAlign w:val="bottom"/>
            <w:hideMark/>
          </w:tcPr>
          <w:p w14:paraId="46B5680D" w14:textId="4CC06223" w:rsidR="00306EC6" w:rsidRPr="00337135" w:rsidRDefault="00306EC6" w:rsidP="00306EC6">
            <w:pPr>
              <w:jc w:val="center"/>
              <w:rPr>
                <w:rFonts w:eastAsia="Times New Roman" w:cs="Times New Roman"/>
                <w:color w:val="000000"/>
                <w:sz w:val="20"/>
                <w:szCs w:val="20"/>
              </w:rPr>
            </w:pPr>
            <w:r>
              <w:rPr>
                <w:color w:val="000000"/>
                <w:sz w:val="20"/>
                <w:szCs w:val="20"/>
              </w:rPr>
              <w:t>11066</w:t>
            </w:r>
          </w:p>
        </w:tc>
        <w:tc>
          <w:tcPr>
            <w:tcW w:w="1166" w:type="dxa"/>
            <w:tcBorders>
              <w:top w:val="nil"/>
              <w:left w:val="nil"/>
              <w:bottom w:val="nil"/>
              <w:right w:val="nil"/>
            </w:tcBorders>
            <w:shd w:val="clear" w:color="auto" w:fill="auto"/>
            <w:noWrap/>
            <w:vAlign w:val="bottom"/>
            <w:hideMark/>
          </w:tcPr>
          <w:p w14:paraId="3865838E" w14:textId="0B411107" w:rsidR="00306EC6" w:rsidRPr="00337135" w:rsidRDefault="00306EC6" w:rsidP="00306EC6">
            <w:pPr>
              <w:jc w:val="center"/>
              <w:rPr>
                <w:rFonts w:eastAsia="Times New Roman" w:cs="Times New Roman"/>
                <w:color w:val="000000"/>
                <w:sz w:val="20"/>
                <w:szCs w:val="20"/>
              </w:rPr>
            </w:pPr>
            <w:r>
              <w:rPr>
                <w:color w:val="000000"/>
                <w:sz w:val="20"/>
                <w:szCs w:val="20"/>
              </w:rPr>
              <w:t>11066</w:t>
            </w:r>
          </w:p>
        </w:tc>
        <w:tc>
          <w:tcPr>
            <w:tcW w:w="1166" w:type="dxa"/>
            <w:tcBorders>
              <w:top w:val="nil"/>
              <w:left w:val="nil"/>
              <w:bottom w:val="nil"/>
              <w:right w:val="nil"/>
            </w:tcBorders>
            <w:shd w:val="clear" w:color="auto" w:fill="auto"/>
            <w:noWrap/>
            <w:vAlign w:val="bottom"/>
            <w:hideMark/>
          </w:tcPr>
          <w:p w14:paraId="2974A758" w14:textId="0746D4F8" w:rsidR="00306EC6" w:rsidRPr="00337135" w:rsidRDefault="00306EC6" w:rsidP="00306EC6">
            <w:pPr>
              <w:jc w:val="center"/>
              <w:rPr>
                <w:rFonts w:eastAsia="Times New Roman" w:cs="Times New Roman"/>
                <w:color w:val="000000"/>
                <w:sz w:val="20"/>
                <w:szCs w:val="20"/>
              </w:rPr>
            </w:pPr>
            <w:r>
              <w:rPr>
                <w:color w:val="000000"/>
                <w:sz w:val="20"/>
                <w:szCs w:val="20"/>
              </w:rPr>
              <w:t>11066</w:t>
            </w:r>
          </w:p>
        </w:tc>
        <w:tc>
          <w:tcPr>
            <w:tcW w:w="1166" w:type="dxa"/>
            <w:tcBorders>
              <w:top w:val="nil"/>
              <w:left w:val="nil"/>
              <w:bottom w:val="nil"/>
              <w:right w:val="nil"/>
            </w:tcBorders>
            <w:shd w:val="clear" w:color="auto" w:fill="auto"/>
            <w:noWrap/>
            <w:vAlign w:val="bottom"/>
            <w:hideMark/>
          </w:tcPr>
          <w:p w14:paraId="7B449CC1" w14:textId="0E656447" w:rsidR="00306EC6" w:rsidRPr="00337135" w:rsidRDefault="00306EC6" w:rsidP="00306EC6">
            <w:pPr>
              <w:jc w:val="center"/>
              <w:rPr>
                <w:rFonts w:eastAsia="Times New Roman" w:cs="Times New Roman"/>
                <w:color w:val="000000"/>
                <w:sz w:val="20"/>
                <w:szCs w:val="20"/>
              </w:rPr>
            </w:pPr>
            <w:r>
              <w:rPr>
                <w:color w:val="000000"/>
                <w:sz w:val="20"/>
                <w:szCs w:val="20"/>
              </w:rPr>
              <w:t>11066</w:t>
            </w:r>
          </w:p>
        </w:tc>
      </w:tr>
      <w:tr w:rsidR="00306EC6" w:rsidRPr="00337135" w14:paraId="7C376E78" w14:textId="77777777" w:rsidTr="00306EC6">
        <w:trPr>
          <w:trHeight w:val="255"/>
        </w:trPr>
        <w:tc>
          <w:tcPr>
            <w:tcW w:w="2000" w:type="dxa"/>
            <w:tcBorders>
              <w:top w:val="nil"/>
              <w:left w:val="nil"/>
              <w:bottom w:val="single" w:sz="4" w:space="0" w:color="auto"/>
              <w:right w:val="nil"/>
            </w:tcBorders>
            <w:shd w:val="clear" w:color="auto" w:fill="auto"/>
            <w:noWrap/>
            <w:vAlign w:val="bottom"/>
            <w:hideMark/>
          </w:tcPr>
          <w:p w14:paraId="03698F94" w14:textId="2E4FE337" w:rsidR="00306EC6" w:rsidRPr="00337135" w:rsidRDefault="00306EC6" w:rsidP="00306EC6">
            <w:pPr>
              <w:rPr>
                <w:rFonts w:eastAsia="Times New Roman" w:cs="Times New Roman"/>
                <w:color w:val="000000"/>
                <w:sz w:val="20"/>
                <w:szCs w:val="20"/>
              </w:rPr>
            </w:pPr>
            <w:r>
              <w:rPr>
                <w:color w:val="000000"/>
                <w:sz w:val="20"/>
                <w:szCs w:val="20"/>
              </w:rPr>
              <w:t>Schools</w:t>
            </w:r>
          </w:p>
        </w:tc>
        <w:tc>
          <w:tcPr>
            <w:tcW w:w="1166" w:type="dxa"/>
            <w:tcBorders>
              <w:top w:val="nil"/>
              <w:left w:val="nil"/>
              <w:bottom w:val="single" w:sz="4" w:space="0" w:color="auto"/>
              <w:right w:val="nil"/>
            </w:tcBorders>
            <w:shd w:val="clear" w:color="auto" w:fill="auto"/>
            <w:noWrap/>
            <w:vAlign w:val="bottom"/>
            <w:hideMark/>
          </w:tcPr>
          <w:p w14:paraId="03B5CA6E" w14:textId="4320730B" w:rsidR="00306EC6" w:rsidRPr="00337135" w:rsidRDefault="00306EC6" w:rsidP="00306EC6">
            <w:pPr>
              <w:jc w:val="center"/>
              <w:rPr>
                <w:rFonts w:eastAsia="Times New Roman" w:cs="Times New Roman"/>
                <w:color w:val="000000"/>
                <w:sz w:val="20"/>
                <w:szCs w:val="20"/>
              </w:rPr>
            </w:pPr>
            <w:r>
              <w:rPr>
                <w:color w:val="000000"/>
                <w:sz w:val="20"/>
                <w:szCs w:val="20"/>
              </w:rPr>
              <w:t>50</w:t>
            </w:r>
          </w:p>
        </w:tc>
        <w:tc>
          <w:tcPr>
            <w:tcW w:w="1166" w:type="dxa"/>
            <w:tcBorders>
              <w:top w:val="nil"/>
              <w:left w:val="nil"/>
              <w:bottom w:val="single" w:sz="4" w:space="0" w:color="auto"/>
              <w:right w:val="nil"/>
            </w:tcBorders>
            <w:shd w:val="clear" w:color="auto" w:fill="auto"/>
            <w:noWrap/>
            <w:vAlign w:val="bottom"/>
            <w:hideMark/>
          </w:tcPr>
          <w:p w14:paraId="70239122" w14:textId="0F16559D" w:rsidR="00306EC6" w:rsidRPr="00337135" w:rsidRDefault="00306EC6" w:rsidP="00306EC6">
            <w:pPr>
              <w:jc w:val="center"/>
              <w:rPr>
                <w:rFonts w:eastAsia="Times New Roman" w:cs="Times New Roman"/>
                <w:color w:val="000000"/>
                <w:sz w:val="20"/>
                <w:szCs w:val="20"/>
              </w:rPr>
            </w:pPr>
            <w:r>
              <w:rPr>
                <w:color w:val="000000"/>
                <w:sz w:val="20"/>
                <w:szCs w:val="20"/>
              </w:rPr>
              <w:t>50</w:t>
            </w:r>
          </w:p>
        </w:tc>
        <w:tc>
          <w:tcPr>
            <w:tcW w:w="1166" w:type="dxa"/>
            <w:tcBorders>
              <w:top w:val="nil"/>
              <w:left w:val="nil"/>
              <w:bottom w:val="single" w:sz="4" w:space="0" w:color="auto"/>
              <w:right w:val="nil"/>
            </w:tcBorders>
            <w:shd w:val="clear" w:color="auto" w:fill="auto"/>
            <w:noWrap/>
            <w:vAlign w:val="bottom"/>
            <w:hideMark/>
          </w:tcPr>
          <w:p w14:paraId="1F83C7E1" w14:textId="17912961" w:rsidR="00306EC6" w:rsidRPr="00337135" w:rsidRDefault="00306EC6" w:rsidP="00306EC6">
            <w:pPr>
              <w:jc w:val="center"/>
              <w:rPr>
                <w:rFonts w:eastAsia="Times New Roman" w:cs="Times New Roman"/>
                <w:color w:val="000000"/>
                <w:sz w:val="20"/>
                <w:szCs w:val="20"/>
              </w:rPr>
            </w:pPr>
            <w:r>
              <w:rPr>
                <w:color w:val="000000"/>
                <w:sz w:val="20"/>
                <w:szCs w:val="20"/>
              </w:rPr>
              <w:t>50</w:t>
            </w:r>
          </w:p>
        </w:tc>
        <w:tc>
          <w:tcPr>
            <w:tcW w:w="1166" w:type="dxa"/>
            <w:tcBorders>
              <w:top w:val="nil"/>
              <w:left w:val="nil"/>
              <w:bottom w:val="single" w:sz="4" w:space="0" w:color="auto"/>
              <w:right w:val="nil"/>
            </w:tcBorders>
            <w:shd w:val="clear" w:color="auto" w:fill="auto"/>
            <w:noWrap/>
            <w:vAlign w:val="bottom"/>
            <w:hideMark/>
          </w:tcPr>
          <w:p w14:paraId="1D97C667" w14:textId="419AE202" w:rsidR="00306EC6" w:rsidRPr="00337135" w:rsidRDefault="00306EC6" w:rsidP="00306EC6">
            <w:pPr>
              <w:jc w:val="center"/>
              <w:rPr>
                <w:rFonts w:eastAsia="Times New Roman" w:cs="Times New Roman"/>
                <w:color w:val="000000"/>
                <w:sz w:val="20"/>
                <w:szCs w:val="20"/>
              </w:rPr>
            </w:pPr>
            <w:r>
              <w:rPr>
                <w:color w:val="000000"/>
                <w:sz w:val="20"/>
                <w:szCs w:val="20"/>
              </w:rPr>
              <w:t>50</w:t>
            </w:r>
          </w:p>
        </w:tc>
        <w:tc>
          <w:tcPr>
            <w:tcW w:w="1166" w:type="dxa"/>
            <w:tcBorders>
              <w:top w:val="nil"/>
              <w:left w:val="nil"/>
              <w:bottom w:val="single" w:sz="4" w:space="0" w:color="auto"/>
              <w:right w:val="nil"/>
            </w:tcBorders>
            <w:shd w:val="clear" w:color="auto" w:fill="auto"/>
            <w:noWrap/>
            <w:vAlign w:val="bottom"/>
            <w:hideMark/>
          </w:tcPr>
          <w:p w14:paraId="62A311B7" w14:textId="5A2E416D" w:rsidR="00306EC6" w:rsidRPr="00337135" w:rsidRDefault="00306EC6" w:rsidP="00306EC6">
            <w:pPr>
              <w:jc w:val="center"/>
              <w:rPr>
                <w:rFonts w:eastAsia="Times New Roman" w:cs="Times New Roman"/>
                <w:color w:val="000000"/>
                <w:sz w:val="20"/>
                <w:szCs w:val="20"/>
              </w:rPr>
            </w:pPr>
            <w:r>
              <w:rPr>
                <w:color w:val="000000"/>
                <w:sz w:val="20"/>
                <w:szCs w:val="20"/>
              </w:rPr>
              <w:t>50</w:t>
            </w:r>
          </w:p>
        </w:tc>
        <w:tc>
          <w:tcPr>
            <w:tcW w:w="1166" w:type="dxa"/>
            <w:tcBorders>
              <w:top w:val="nil"/>
              <w:left w:val="nil"/>
              <w:bottom w:val="single" w:sz="4" w:space="0" w:color="auto"/>
              <w:right w:val="nil"/>
            </w:tcBorders>
            <w:shd w:val="clear" w:color="auto" w:fill="auto"/>
            <w:noWrap/>
            <w:vAlign w:val="bottom"/>
            <w:hideMark/>
          </w:tcPr>
          <w:p w14:paraId="24EB9171" w14:textId="3FDF9541" w:rsidR="00306EC6" w:rsidRPr="00337135" w:rsidRDefault="00306EC6" w:rsidP="00306EC6">
            <w:pPr>
              <w:jc w:val="center"/>
              <w:rPr>
                <w:rFonts w:eastAsia="Times New Roman" w:cs="Times New Roman"/>
                <w:color w:val="000000"/>
                <w:sz w:val="20"/>
                <w:szCs w:val="20"/>
              </w:rPr>
            </w:pPr>
            <w:r>
              <w:rPr>
                <w:color w:val="000000"/>
                <w:sz w:val="20"/>
                <w:szCs w:val="20"/>
              </w:rPr>
              <w:t>50</w:t>
            </w:r>
          </w:p>
        </w:tc>
      </w:tr>
      <w:tr w:rsidR="00337135" w:rsidRPr="00337135" w14:paraId="134A7DCB" w14:textId="77777777" w:rsidTr="00306EC6">
        <w:trPr>
          <w:trHeight w:val="1170"/>
        </w:trPr>
        <w:tc>
          <w:tcPr>
            <w:tcW w:w="8996" w:type="dxa"/>
            <w:gridSpan w:val="7"/>
            <w:tcBorders>
              <w:top w:val="single" w:sz="4" w:space="0" w:color="auto"/>
              <w:left w:val="nil"/>
              <w:bottom w:val="nil"/>
              <w:right w:val="nil"/>
            </w:tcBorders>
            <w:shd w:val="clear" w:color="auto" w:fill="auto"/>
            <w:hideMark/>
          </w:tcPr>
          <w:p w14:paraId="7595EA4D" w14:textId="08F60DDD" w:rsidR="00337135" w:rsidRPr="00337135" w:rsidRDefault="00337135" w:rsidP="004B52F3">
            <w:pPr>
              <w:rPr>
                <w:rFonts w:eastAsia="Times New Roman" w:cs="Times New Roman"/>
                <w:color w:val="000000"/>
                <w:sz w:val="20"/>
                <w:szCs w:val="20"/>
              </w:rPr>
            </w:pPr>
            <w:r w:rsidRPr="00337135">
              <w:rPr>
                <w:rFonts w:eastAsia="Times New Roman" w:cs="Times New Roman"/>
                <w:color w:val="000000"/>
                <w:sz w:val="20"/>
                <w:szCs w:val="20"/>
              </w:rPr>
              <w:t>Standard errors in parentheses. *** p&lt;0.01, ** p&lt;0.05, * p&lt;0.1.</w:t>
            </w:r>
            <w:r w:rsidR="002510B3">
              <w:rPr>
                <w:rFonts w:eastAsia="Times New Roman" w:cs="Times New Roman"/>
                <w:color w:val="000000"/>
                <w:sz w:val="20"/>
                <w:szCs w:val="20"/>
              </w:rPr>
              <w:t xml:space="preserve"> </w:t>
            </w:r>
            <w:r w:rsidR="002510B3" w:rsidRPr="00B25343">
              <w:rPr>
                <w:rFonts w:eastAsia="Times New Roman" w:cs="Times New Roman"/>
                <w:color w:val="000000"/>
                <w:sz w:val="20"/>
                <w:szCs w:val="20"/>
              </w:rPr>
              <w:t xml:space="preserve">EL=English Learner. </w:t>
            </w:r>
            <w:r w:rsidR="002510B3">
              <w:rPr>
                <w:rFonts w:eastAsia="Times New Roman" w:cs="Times New Roman"/>
                <w:color w:val="000000"/>
                <w:sz w:val="20"/>
                <w:szCs w:val="20"/>
              </w:rPr>
              <w:t xml:space="preserve">DL = dual language. </w:t>
            </w:r>
            <w:r w:rsidR="002510B3" w:rsidRPr="00B25343">
              <w:rPr>
                <w:rFonts w:eastAsia="Times New Roman" w:cs="Times New Roman"/>
                <w:color w:val="000000"/>
                <w:sz w:val="20"/>
                <w:szCs w:val="20"/>
              </w:rPr>
              <w:t>RIT = Rasch Unit. SPED = Special Education. FRPL = Free or reduced-price lunch. Gr = grade. AY = Academic year.</w:t>
            </w:r>
            <w:r w:rsidRPr="00337135">
              <w:rPr>
                <w:rFonts w:eastAsia="Times New Roman" w:cs="Times New Roman"/>
                <w:color w:val="000000"/>
                <w:sz w:val="20"/>
                <w:szCs w:val="20"/>
              </w:rPr>
              <w:t xml:space="preserve"> </w:t>
            </w:r>
            <w:r w:rsidR="008A58BF">
              <w:rPr>
                <w:rFonts w:eastAsia="Times New Roman" w:cs="Times New Roman"/>
                <w:color w:val="000000"/>
                <w:sz w:val="20"/>
                <w:szCs w:val="20"/>
              </w:rPr>
              <w:t>Sample includes Hispanic students who were ever eligible for EL service and took MAP Growth assessments between 20</w:t>
            </w:r>
            <w:r w:rsidR="00306EC6">
              <w:rPr>
                <w:rFonts w:eastAsia="Times New Roman" w:cs="Times New Roman"/>
                <w:color w:val="000000"/>
                <w:sz w:val="20"/>
                <w:szCs w:val="20"/>
              </w:rPr>
              <w:t>11-12</w:t>
            </w:r>
            <w:r w:rsidR="008A58BF">
              <w:rPr>
                <w:rFonts w:eastAsia="Times New Roman" w:cs="Times New Roman"/>
                <w:color w:val="000000"/>
                <w:sz w:val="20"/>
                <w:szCs w:val="20"/>
              </w:rPr>
              <w:t xml:space="preserve"> and </w:t>
            </w:r>
            <w:r w:rsidR="001527A0">
              <w:rPr>
                <w:rFonts w:eastAsia="Times New Roman" w:cs="Times New Roman"/>
                <w:color w:val="000000"/>
                <w:sz w:val="20"/>
                <w:szCs w:val="20"/>
              </w:rPr>
              <w:t>winter 2020</w:t>
            </w:r>
            <w:r w:rsidR="00306EC6">
              <w:rPr>
                <w:rFonts w:eastAsia="Times New Roman" w:cs="Times New Roman"/>
                <w:color w:val="000000"/>
                <w:sz w:val="20"/>
                <w:szCs w:val="20"/>
              </w:rPr>
              <w:t xml:space="preserve"> in 2</w:t>
            </w:r>
            <w:r w:rsidR="00306EC6" w:rsidRPr="00306EC6">
              <w:rPr>
                <w:rFonts w:eastAsia="Times New Roman" w:cs="Times New Roman"/>
                <w:color w:val="000000"/>
                <w:sz w:val="20"/>
                <w:szCs w:val="20"/>
                <w:vertAlign w:val="superscript"/>
              </w:rPr>
              <w:t>nd</w:t>
            </w:r>
            <w:r w:rsidR="00306EC6">
              <w:rPr>
                <w:rFonts w:eastAsia="Times New Roman" w:cs="Times New Roman"/>
                <w:color w:val="000000"/>
                <w:sz w:val="20"/>
                <w:szCs w:val="20"/>
              </w:rPr>
              <w:t xml:space="preserve"> to 8</w:t>
            </w:r>
            <w:r w:rsidR="00306EC6" w:rsidRPr="00306EC6">
              <w:rPr>
                <w:rFonts w:eastAsia="Times New Roman" w:cs="Times New Roman"/>
                <w:color w:val="000000"/>
                <w:sz w:val="20"/>
                <w:szCs w:val="20"/>
                <w:vertAlign w:val="superscript"/>
              </w:rPr>
              <w:t>th</w:t>
            </w:r>
            <w:r w:rsidR="00306EC6">
              <w:rPr>
                <w:rFonts w:eastAsia="Times New Roman" w:cs="Times New Roman"/>
                <w:color w:val="000000"/>
                <w:sz w:val="20"/>
                <w:szCs w:val="20"/>
              </w:rPr>
              <w:t xml:space="preserve"> grade</w:t>
            </w:r>
            <w:r w:rsidR="008A58BF">
              <w:rPr>
                <w:rFonts w:eastAsia="Times New Roman" w:cs="Times New Roman"/>
                <w:color w:val="000000"/>
                <w:sz w:val="20"/>
                <w:szCs w:val="20"/>
              </w:rPr>
              <w:t>. Each column is a separate 3-level piecewise growth model regression with RIT score as the dependent variable. Starting RIT is the intercept and represents test scores on the first day of 2</w:t>
            </w:r>
            <w:r w:rsidR="008A58BF" w:rsidRPr="008A58BF">
              <w:rPr>
                <w:rFonts w:eastAsia="Times New Roman" w:cs="Times New Roman"/>
                <w:color w:val="000000"/>
                <w:sz w:val="20"/>
                <w:szCs w:val="20"/>
                <w:vertAlign w:val="superscript"/>
              </w:rPr>
              <w:t>nd</w:t>
            </w:r>
            <w:r w:rsidR="008A58BF">
              <w:rPr>
                <w:rFonts w:eastAsia="Times New Roman" w:cs="Times New Roman"/>
                <w:color w:val="000000"/>
                <w:sz w:val="20"/>
                <w:szCs w:val="20"/>
              </w:rPr>
              <w:t xml:space="preserve"> grade. Ever-DL is an indicator for ever enrolling in the dual language program. Female, Ever-FRPL, Ever-SPED, and refused EL service are student-level covariates. Refused EL service represents having refused EL service in either kindergarten or 1</w:t>
            </w:r>
            <w:r w:rsidR="008A58BF" w:rsidRPr="008A58BF">
              <w:rPr>
                <w:rFonts w:eastAsia="Times New Roman" w:cs="Times New Roman"/>
                <w:color w:val="000000"/>
                <w:sz w:val="20"/>
                <w:szCs w:val="20"/>
                <w:vertAlign w:val="superscript"/>
              </w:rPr>
              <w:t>st</w:t>
            </w:r>
            <w:r w:rsidR="008A58BF">
              <w:rPr>
                <w:rFonts w:eastAsia="Times New Roman" w:cs="Times New Roman"/>
                <w:color w:val="000000"/>
                <w:sz w:val="20"/>
                <w:szCs w:val="20"/>
              </w:rPr>
              <w:t xml:space="preserve"> grade. School % FRPL and school % EL are school-level covariates.</w:t>
            </w:r>
            <w:r w:rsidR="000E102D">
              <w:rPr>
                <w:rFonts w:eastAsia="Times New Roman" w:cs="Times New Roman"/>
                <w:color w:val="000000"/>
                <w:sz w:val="20"/>
                <w:szCs w:val="20"/>
              </w:rPr>
              <w:t xml:space="preserve"> </w:t>
            </w:r>
            <w:r w:rsidR="00911880">
              <w:rPr>
                <w:rFonts w:eastAsia="Times New Roman" w:cs="Times New Roman"/>
                <w:color w:val="000000"/>
                <w:sz w:val="20"/>
                <w:szCs w:val="20"/>
              </w:rPr>
              <w:t xml:space="preserve">Main effects represent growth estimates for non-DL students. </w:t>
            </w:r>
            <w:r w:rsidR="000E102D">
              <w:rPr>
                <w:rFonts w:eastAsia="Times New Roman" w:cs="Times New Roman"/>
                <w:color w:val="000000"/>
                <w:sz w:val="20"/>
                <w:szCs w:val="20"/>
              </w:rPr>
              <w:t>Interaction effects representing differential growth for dual language participants are bolded.</w:t>
            </w:r>
          </w:p>
        </w:tc>
      </w:tr>
    </w:tbl>
    <w:p w14:paraId="21DE4BBF" w14:textId="4D7930C8" w:rsidR="00A22DCE" w:rsidRDefault="00A22DCE" w:rsidP="004B52F3"/>
    <w:p w14:paraId="3D5152E8" w14:textId="77777777" w:rsidR="00A22DCE" w:rsidRDefault="00A22DCE" w:rsidP="004B52F3">
      <w:r>
        <w:br w:type="page"/>
      </w:r>
    </w:p>
    <w:p w14:paraId="634AF3D5" w14:textId="296D541A" w:rsidR="00261857" w:rsidRDefault="00A22DCE" w:rsidP="004B52F3">
      <w:r>
        <w:lastRenderedPageBreak/>
        <w:t xml:space="preserve">Figure 1. </w:t>
      </w:r>
      <w:r w:rsidR="00E9262B">
        <w:t xml:space="preserve">Spring Standardized </w:t>
      </w:r>
      <w:r w:rsidR="00A9468F">
        <w:t xml:space="preserve">Achievement </w:t>
      </w:r>
      <w:r w:rsidR="00E9262B">
        <w:t xml:space="preserve">Scores </w:t>
      </w:r>
      <w:r w:rsidR="00A9468F">
        <w:t>Across Grades</w:t>
      </w:r>
    </w:p>
    <w:p w14:paraId="45F53569" w14:textId="77777777" w:rsidR="00FA7DC2" w:rsidRDefault="00FA7DC2" w:rsidP="004B52F3"/>
    <w:p w14:paraId="2A6A3879" w14:textId="63461E3E" w:rsidR="00A22DCE" w:rsidRDefault="00373DA8" w:rsidP="004B52F3">
      <w:r w:rsidRPr="00373DA8">
        <w:rPr>
          <w:noProof/>
        </w:rPr>
        <w:drawing>
          <wp:inline distT="0" distB="0" distL="0" distR="0" wp14:anchorId="140315AE" wp14:editId="4AFA3857">
            <wp:extent cx="5943600" cy="427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279265"/>
                    </a:xfrm>
                    <a:prstGeom prst="rect">
                      <a:avLst/>
                    </a:prstGeom>
                  </pic:spPr>
                </pic:pic>
              </a:graphicData>
            </a:graphic>
          </wp:inline>
        </w:drawing>
      </w:r>
    </w:p>
    <w:p w14:paraId="2F92DDE7" w14:textId="089C62B8" w:rsidR="00A22DCE" w:rsidRDefault="00A22DCE" w:rsidP="004B52F3">
      <w:pPr>
        <w:rPr>
          <w:sz w:val="20"/>
          <w:szCs w:val="20"/>
        </w:rPr>
      </w:pPr>
      <w:r w:rsidRPr="00A22DCE">
        <w:rPr>
          <w:sz w:val="20"/>
          <w:szCs w:val="20"/>
        </w:rPr>
        <w:t xml:space="preserve">Notes: </w:t>
      </w:r>
      <w:r w:rsidR="00174A73">
        <w:rPr>
          <w:sz w:val="20"/>
          <w:szCs w:val="20"/>
        </w:rPr>
        <w:t xml:space="preserve">Sample includes Hispanic students who took MAP Growth assessments between 2011-12 and </w:t>
      </w:r>
      <w:r w:rsidR="001527A0">
        <w:rPr>
          <w:sz w:val="20"/>
          <w:szCs w:val="20"/>
        </w:rPr>
        <w:t>winter 2020</w:t>
      </w:r>
      <w:r w:rsidR="00174A73">
        <w:rPr>
          <w:sz w:val="20"/>
          <w:szCs w:val="20"/>
        </w:rPr>
        <w:t xml:space="preserve"> in 2</w:t>
      </w:r>
      <w:r w:rsidR="00174A73" w:rsidRPr="00174A73">
        <w:rPr>
          <w:sz w:val="20"/>
          <w:szCs w:val="20"/>
          <w:vertAlign w:val="superscript"/>
        </w:rPr>
        <w:t>nd</w:t>
      </w:r>
      <w:r w:rsidR="00174A73">
        <w:rPr>
          <w:sz w:val="20"/>
          <w:szCs w:val="20"/>
        </w:rPr>
        <w:t xml:space="preserve"> to 8</w:t>
      </w:r>
      <w:r w:rsidR="00174A73" w:rsidRPr="00174A73">
        <w:rPr>
          <w:sz w:val="20"/>
          <w:szCs w:val="20"/>
          <w:vertAlign w:val="superscript"/>
        </w:rPr>
        <w:t>th</w:t>
      </w:r>
      <w:r w:rsidR="00174A73">
        <w:rPr>
          <w:sz w:val="20"/>
          <w:szCs w:val="20"/>
        </w:rPr>
        <w:t xml:space="preserve"> grade. </w:t>
      </w:r>
      <w:r w:rsidRPr="00A22DCE">
        <w:rPr>
          <w:sz w:val="20"/>
          <w:szCs w:val="20"/>
        </w:rPr>
        <w:t>D</w:t>
      </w:r>
      <w:r w:rsidR="00FA7DC2">
        <w:rPr>
          <w:sz w:val="20"/>
          <w:szCs w:val="20"/>
        </w:rPr>
        <w:t>L</w:t>
      </w:r>
      <w:r w:rsidRPr="00A22DCE">
        <w:rPr>
          <w:sz w:val="20"/>
          <w:szCs w:val="20"/>
        </w:rPr>
        <w:t xml:space="preserve"> represents students who ever enrolled in the dual language program. Non-</w:t>
      </w:r>
      <w:r w:rsidR="00FA7DC2">
        <w:rPr>
          <w:sz w:val="20"/>
          <w:szCs w:val="20"/>
        </w:rPr>
        <w:t>DL</w:t>
      </w:r>
      <w:r w:rsidRPr="00A22DCE">
        <w:rPr>
          <w:sz w:val="20"/>
          <w:szCs w:val="20"/>
        </w:rPr>
        <w:t xml:space="preserve"> represents students who never enrolled in the dual language program. </w:t>
      </w:r>
      <w:r w:rsidR="00A9468F">
        <w:rPr>
          <w:sz w:val="20"/>
          <w:szCs w:val="20"/>
        </w:rPr>
        <w:t xml:space="preserve">Z-scores </w:t>
      </w:r>
      <w:r w:rsidRPr="00A22DCE">
        <w:rPr>
          <w:sz w:val="20"/>
          <w:szCs w:val="20"/>
        </w:rPr>
        <w:t xml:space="preserve">are calculated using spring test </w:t>
      </w:r>
      <w:r w:rsidR="00A9468F">
        <w:rPr>
          <w:sz w:val="20"/>
          <w:szCs w:val="20"/>
        </w:rPr>
        <w:t>scores</w:t>
      </w:r>
      <w:r w:rsidRPr="00A22DCE">
        <w:rPr>
          <w:sz w:val="20"/>
          <w:szCs w:val="20"/>
        </w:rPr>
        <w:t xml:space="preserve"> </w:t>
      </w:r>
      <w:r w:rsidR="00FA7DC2">
        <w:rPr>
          <w:sz w:val="20"/>
          <w:szCs w:val="20"/>
        </w:rPr>
        <w:t xml:space="preserve">and NWEA MAP Growth Norms 2020 </w:t>
      </w:r>
      <w:r w:rsidRPr="00A22DCE">
        <w:rPr>
          <w:sz w:val="20"/>
          <w:szCs w:val="20"/>
        </w:rPr>
        <w:t>for each grade</w:t>
      </w:r>
      <w:r w:rsidR="00A9468F">
        <w:rPr>
          <w:sz w:val="20"/>
          <w:szCs w:val="20"/>
        </w:rPr>
        <w:t xml:space="preserve"> and subject</w:t>
      </w:r>
      <w:r w:rsidRPr="00A22DCE">
        <w:rPr>
          <w:sz w:val="20"/>
          <w:szCs w:val="20"/>
        </w:rPr>
        <w:t>.</w:t>
      </w:r>
    </w:p>
    <w:p w14:paraId="2D772191" w14:textId="77777777" w:rsidR="00A22DCE" w:rsidRDefault="00A22DCE" w:rsidP="004B52F3">
      <w:pPr>
        <w:rPr>
          <w:sz w:val="20"/>
          <w:szCs w:val="20"/>
        </w:rPr>
      </w:pPr>
      <w:r>
        <w:rPr>
          <w:sz w:val="20"/>
          <w:szCs w:val="20"/>
        </w:rPr>
        <w:br w:type="page"/>
      </w:r>
    </w:p>
    <w:p w14:paraId="2FAC2EC7" w14:textId="41F1A425" w:rsidR="00A22DCE" w:rsidRDefault="00A22DCE" w:rsidP="004B52F3">
      <w:pPr>
        <w:rPr>
          <w:szCs w:val="24"/>
        </w:rPr>
      </w:pPr>
      <w:r w:rsidRPr="00A22DCE">
        <w:rPr>
          <w:szCs w:val="24"/>
        </w:rPr>
        <w:lastRenderedPageBreak/>
        <w:t xml:space="preserve">Figure 2. </w:t>
      </w:r>
      <w:r w:rsidR="004765EE">
        <w:rPr>
          <w:szCs w:val="24"/>
        </w:rPr>
        <w:t xml:space="preserve">Mean </w:t>
      </w:r>
      <w:r>
        <w:rPr>
          <w:szCs w:val="24"/>
        </w:rPr>
        <w:t>Achievement Scor</w:t>
      </w:r>
      <w:r w:rsidR="004765EE">
        <w:rPr>
          <w:szCs w:val="24"/>
        </w:rPr>
        <w:t>es</w:t>
      </w:r>
      <w:r w:rsidR="00C63191">
        <w:rPr>
          <w:szCs w:val="24"/>
        </w:rPr>
        <w:t xml:space="preserve"> by Dual Language Participation</w:t>
      </w:r>
    </w:p>
    <w:p w14:paraId="6E32F29C" w14:textId="77777777" w:rsidR="00C63191" w:rsidRDefault="00C63191" w:rsidP="004B52F3">
      <w:pPr>
        <w:rPr>
          <w:szCs w:val="24"/>
        </w:rPr>
      </w:pPr>
    </w:p>
    <w:p w14:paraId="30D91499" w14:textId="30A833FD" w:rsidR="00A22DCE" w:rsidRDefault="00CC1956" w:rsidP="004B52F3">
      <w:pPr>
        <w:rPr>
          <w:szCs w:val="24"/>
        </w:rPr>
      </w:pPr>
      <w:r w:rsidRPr="00CC1956">
        <w:rPr>
          <w:noProof/>
          <w:szCs w:val="24"/>
        </w:rPr>
        <w:drawing>
          <wp:inline distT="0" distB="0" distL="0" distR="0" wp14:anchorId="3FDF38EB" wp14:editId="59DFD308">
            <wp:extent cx="4430012" cy="32004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0012" cy="3200400"/>
                    </a:xfrm>
                    <a:prstGeom prst="rect">
                      <a:avLst/>
                    </a:prstGeom>
                  </pic:spPr>
                </pic:pic>
              </a:graphicData>
            </a:graphic>
          </wp:inline>
        </w:drawing>
      </w:r>
    </w:p>
    <w:p w14:paraId="62BBE056" w14:textId="77777777" w:rsidR="00C63191" w:rsidRDefault="00C63191" w:rsidP="004B52F3">
      <w:pPr>
        <w:rPr>
          <w:szCs w:val="24"/>
        </w:rPr>
      </w:pPr>
    </w:p>
    <w:p w14:paraId="217D4F57" w14:textId="3EC977EB" w:rsidR="00A22DCE" w:rsidRDefault="00CC1956" w:rsidP="004B52F3">
      <w:pPr>
        <w:rPr>
          <w:szCs w:val="24"/>
        </w:rPr>
      </w:pPr>
      <w:r w:rsidRPr="00CC1956">
        <w:rPr>
          <w:noProof/>
          <w:szCs w:val="24"/>
        </w:rPr>
        <w:drawing>
          <wp:inline distT="0" distB="0" distL="0" distR="0" wp14:anchorId="520A4910" wp14:editId="28693915">
            <wp:extent cx="4474346" cy="32004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4346" cy="3200400"/>
                    </a:xfrm>
                    <a:prstGeom prst="rect">
                      <a:avLst/>
                    </a:prstGeom>
                  </pic:spPr>
                </pic:pic>
              </a:graphicData>
            </a:graphic>
          </wp:inline>
        </w:drawing>
      </w:r>
    </w:p>
    <w:p w14:paraId="0C219E37" w14:textId="77777777" w:rsidR="00C63191" w:rsidRDefault="00C63191" w:rsidP="004B52F3">
      <w:pPr>
        <w:rPr>
          <w:sz w:val="20"/>
          <w:szCs w:val="20"/>
        </w:rPr>
      </w:pPr>
    </w:p>
    <w:p w14:paraId="61DBD279" w14:textId="33923C57" w:rsidR="0001281F" w:rsidRDefault="00A22DCE" w:rsidP="004B52F3">
      <w:pPr>
        <w:rPr>
          <w:sz w:val="20"/>
          <w:szCs w:val="20"/>
        </w:rPr>
      </w:pPr>
      <w:r w:rsidRPr="00A22DCE">
        <w:rPr>
          <w:sz w:val="20"/>
          <w:szCs w:val="20"/>
        </w:rPr>
        <w:t>Notes: D</w:t>
      </w:r>
      <w:r w:rsidR="00645837">
        <w:rPr>
          <w:sz w:val="20"/>
          <w:szCs w:val="20"/>
        </w:rPr>
        <w:t xml:space="preserve">L </w:t>
      </w:r>
      <w:r w:rsidRPr="00A22DCE">
        <w:rPr>
          <w:sz w:val="20"/>
          <w:szCs w:val="20"/>
        </w:rPr>
        <w:t>represents students who ever enrolled in the dual language program. Non-</w:t>
      </w:r>
      <w:r w:rsidR="00645837">
        <w:rPr>
          <w:sz w:val="20"/>
          <w:szCs w:val="20"/>
        </w:rPr>
        <w:t>DL</w:t>
      </w:r>
      <w:r w:rsidRPr="00A22DCE">
        <w:rPr>
          <w:sz w:val="20"/>
          <w:szCs w:val="20"/>
        </w:rPr>
        <w:t xml:space="preserve"> represents students who never enrolled in the dual language program.</w:t>
      </w:r>
      <w:r>
        <w:rPr>
          <w:sz w:val="20"/>
          <w:szCs w:val="20"/>
        </w:rPr>
        <w:t xml:space="preserve"> Trends represent unconditional means for each group of students at each test grade and term. </w:t>
      </w:r>
      <w:r w:rsidR="00911880">
        <w:rPr>
          <w:sz w:val="20"/>
          <w:szCs w:val="20"/>
        </w:rPr>
        <w:t xml:space="preserve">Trends </w:t>
      </w:r>
      <w:r w:rsidR="006634D6">
        <w:rPr>
          <w:sz w:val="20"/>
          <w:szCs w:val="20"/>
        </w:rPr>
        <w:t>include test scores from fall of 2</w:t>
      </w:r>
      <w:r w:rsidR="006634D6" w:rsidRPr="006634D6">
        <w:rPr>
          <w:sz w:val="20"/>
          <w:szCs w:val="20"/>
          <w:vertAlign w:val="superscript"/>
        </w:rPr>
        <w:t>nd</w:t>
      </w:r>
      <w:r w:rsidR="006634D6">
        <w:rPr>
          <w:sz w:val="20"/>
          <w:szCs w:val="20"/>
        </w:rPr>
        <w:t xml:space="preserve"> grade to winter of 8</w:t>
      </w:r>
      <w:r w:rsidR="006634D6" w:rsidRPr="006634D6">
        <w:rPr>
          <w:sz w:val="20"/>
          <w:szCs w:val="20"/>
          <w:vertAlign w:val="superscript"/>
        </w:rPr>
        <w:t>th</w:t>
      </w:r>
      <w:r w:rsidR="006634D6">
        <w:rPr>
          <w:sz w:val="20"/>
          <w:szCs w:val="20"/>
        </w:rPr>
        <w:t xml:space="preserve"> grade. Winter terms are labeled because the district reports winter scores for accountability.</w:t>
      </w:r>
    </w:p>
    <w:p w14:paraId="0909D323" w14:textId="77777777" w:rsidR="0001281F" w:rsidRDefault="0001281F" w:rsidP="004B52F3">
      <w:pPr>
        <w:rPr>
          <w:sz w:val="20"/>
          <w:szCs w:val="20"/>
        </w:rPr>
      </w:pPr>
      <w:r>
        <w:rPr>
          <w:sz w:val="20"/>
          <w:szCs w:val="20"/>
        </w:rPr>
        <w:br w:type="page"/>
      </w:r>
    </w:p>
    <w:p w14:paraId="710A1751" w14:textId="3376F3A2" w:rsidR="00A22DCE" w:rsidRDefault="0001281F" w:rsidP="004B52F3">
      <w:pPr>
        <w:rPr>
          <w:szCs w:val="24"/>
        </w:rPr>
      </w:pPr>
      <w:r>
        <w:rPr>
          <w:szCs w:val="24"/>
        </w:rPr>
        <w:lastRenderedPageBreak/>
        <w:t>Figure 3. Estimated</w:t>
      </w:r>
      <w:r w:rsidRPr="0001281F">
        <w:t xml:space="preserve"> </w:t>
      </w:r>
      <w:r w:rsidRPr="0001281F">
        <w:rPr>
          <w:szCs w:val="24"/>
        </w:rPr>
        <w:t>Monthly Growth Rates in School Year and Summer</w:t>
      </w:r>
    </w:p>
    <w:p w14:paraId="1F0A8EF8" w14:textId="70842232" w:rsidR="0001281F" w:rsidRPr="00A22DCE" w:rsidRDefault="004F4074" w:rsidP="004B52F3">
      <w:pPr>
        <w:rPr>
          <w:szCs w:val="24"/>
        </w:rPr>
      </w:pPr>
      <w:r>
        <w:rPr>
          <w:noProof/>
        </w:rPr>
        <w:drawing>
          <wp:inline distT="0" distB="0" distL="0" distR="0" wp14:anchorId="1820CCAE" wp14:editId="3FA2B67E">
            <wp:extent cx="4572000" cy="3219450"/>
            <wp:effectExtent l="0" t="0" r="0" b="0"/>
            <wp:docPr id="8" name="Chart 8">
              <a:extLst xmlns:a="http://schemas.openxmlformats.org/drawingml/2006/main">
                <a:ext uri="{FF2B5EF4-FFF2-40B4-BE49-F238E27FC236}">
                  <a16:creationId xmlns:a16="http://schemas.microsoft.com/office/drawing/2014/main" id="{BEECA877-BAC2-400C-B6FD-B700B1971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397412" w14:textId="76E01BD6" w:rsidR="00407A84" w:rsidRDefault="004F4074" w:rsidP="004B52F3">
      <w:r>
        <w:rPr>
          <w:noProof/>
        </w:rPr>
        <w:drawing>
          <wp:inline distT="0" distB="0" distL="0" distR="0" wp14:anchorId="0E98CD51" wp14:editId="51D623AA">
            <wp:extent cx="4572000" cy="3219450"/>
            <wp:effectExtent l="0" t="0" r="0" b="0"/>
            <wp:docPr id="9" name="Chart 9">
              <a:extLst xmlns:a="http://schemas.openxmlformats.org/drawingml/2006/main">
                <a:ext uri="{FF2B5EF4-FFF2-40B4-BE49-F238E27FC236}">
                  <a16:creationId xmlns:a16="http://schemas.microsoft.com/office/drawing/2014/main" id="{42A6A534-317F-4224-8418-C59D0812B6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ECA300" w14:textId="6B4ADCC7" w:rsidR="0001281F" w:rsidRDefault="0001281F" w:rsidP="004B52F3">
      <w:pPr>
        <w:rPr>
          <w:sz w:val="20"/>
          <w:szCs w:val="20"/>
        </w:rPr>
      </w:pPr>
      <w:r w:rsidRPr="00A22DCE">
        <w:rPr>
          <w:sz w:val="20"/>
          <w:szCs w:val="20"/>
        </w:rPr>
        <w:t>Notes: D</w:t>
      </w:r>
      <w:r>
        <w:rPr>
          <w:sz w:val="20"/>
          <w:szCs w:val="20"/>
        </w:rPr>
        <w:t>L</w:t>
      </w:r>
      <w:r w:rsidRPr="00A22DCE">
        <w:rPr>
          <w:sz w:val="20"/>
          <w:szCs w:val="20"/>
        </w:rPr>
        <w:t xml:space="preserve"> represents students who ever enrolled in the dual language program. Non-</w:t>
      </w:r>
      <w:r>
        <w:rPr>
          <w:sz w:val="20"/>
          <w:szCs w:val="20"/>
        </w:rPr>
        <w:t>DL</w:t>
      </w:r>
      <w:r w:rsidRPr="00A22DCE">
        <w:rPr>
          <w:sz w:val="20"/>
          <w:szCs w:val="20"/>
        </w:rPr>
        <w:t xml:space="preserve"> represents students who never enrolled in the dual language program.</w:t>
      </w:r>
      <w:r>
        <w:rPr>
          <w:sz w:val="20"/>
          <w:szCs w:val="20"/>
        </w:rPr>
        <w:t xml:space="preserve"> Monthly growth rates are estimated using 3-level piecewise growth models and correspond to Model (3) </w:t>
      </w:r>
      <w:r w:rsidR="004F4074">
        <w:rPr>
          <w:sz w:val="20"/>
          <w:szCs w:val="20"/>
        </w:rPr>
        <w:t xml:space="preserve">and Columns (3) and (6) </w:t>
      </w:r>
      <w:r>
        <w:rPr>
          <w:sz w:val="20"/>
          <w:szCs w:val="20"/>
        </w:rPr>
        <w:t xml:space="preserve">in Table </w:t>
      </w:r>
      <w:r w:rsidR="004F4074">
        <w:rPr>
          <w:sz w:val="20"/>
          <w:szCs w:val="20"/>
        </w:rPr>
        <w:t>3</w:t>
      </w:r>
      <w:r w:rsidR="00196AD7">
        <w:rPr>
          <w:sz w:val="20"/>
          <w:szCs w:val="20"/>
        </w:rPr>
        <w:t>. Sample includes Hispanic students who took MAP Growth assessments between 20</w:t>
      </w:r>
      <w:r w:rsidR="004F4074">
        <w:rPr>
          <w:sz w:val="20"/>
          <w:szCs w:val="20"/>
        </w:rPr>
        <w:t>11-12</w:t>
      </w:r>
      <w:r w:rsidR="00196AD7">
        <w:rPr>
          <w:sz w:val="20"/>
          <w:szCs w:val="20"/>
        </w:rPr>
        <w:t xml:space="preserve"> and </w:t>
      </w:r>
      <w:r w:rsidR="001527A0">
        <w:rPr>
          <w:sz w:val="20"/>
          <w:szCs w:val="20"/>
        </w:rPr>
        <w:t>winter 2020</w:t>
      </w:r>
      <w:r w:rsidR="004F4074">
        <w:rPr>
          <w:sz w:val="20"/>
          <w:szCs w:val="20"/>
        </w:rPr>
        <w:t xml:space="preserve"> in 2</w:t>
      </w:r>
      <w:r w:rsidR="004F4074" w:rsidRPr="004F4074">
        <w:rPr>
          <w:sz w:val="20"/>
          <w:szCs w:val="20"/>
          <w:vertAlign w:val="superscript"/>
        </w:rPr>
        <w:t>nd</w:t>
      </w:r>
      <w:r w:rsidR="004F4074">
        <w:rPr>
          <w:sz w:val="20"/>
          <w:szCs w:val="20"/>
        </w:rPr>
        <w:t xml:space="preserve"> to 8</w:t>
      </w:r>
      <w:r w:rsidR="004F4074" w:rsidRPr="004F4074">
        <w:rPr>
          <w:sz w:val="20"/>
          <w:szCs w:val="20"/>
          <w:vertAlign w:val="superscript"/>
        </w:rPr>
        <w:t>th</w:t>
      </w:r>
      <w:r w:rsidR="004F4074">
        <w:rPr>
          <w:sz w:val="20"/>
          <w:szCs w:val="20"/>
        </w:rPr>
        <w:t xml:space="preserve"> grade</w:t>
      </w:r>
      <w:r w:rsidR="00196AD7">
        <w:rPr>
          <w:sz w:val="20"/>
          <w:szCs w:val="20"/>
        </w:rPr>
        <w:t>.</w:t>
      </w:r>
    </w:p>
    <w:bookmarkEnd w:id="23"/>
    <w:p w14:paraId="736FA3EB" w14:textId="1F33FC01" w:rsidR="00B25343" w:rsidRPr="00F766FF" w:rsidRDefault="00B25343" w:rsidP="00B25343">
      <w:pPr>
        <w:rPr>
          <w:sz w:val="20"/>
          <w:szCs w:val="20"/>
        </w:rPr>
      </w:pPr>
    </w:p>
    <w:sectPr w:rsidR="00B25343" w:rsidRPr="00F766FF" w:rsidSect="0058622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4489" w14:textId="77777777" w:rsidR="00586229" w:rsidRDefault="00586229" w:rsidP="00EB14B6">
      <w:r>
        <w:separator/>
      </w:r>
    </w:p>
  </w:endnote>
  <w:endnote w:type="continuationSeparator" w:id="0">
    <w:p w14:paraId="6D9AD7AB" w14:textId="77777777" w:rsidR="00586229" w:rsidRDefault="00586229" w:rsidP="00EB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238243"/>
      <w:docPartObj>
        <w:docPartGallery w:val="Page Numbers (Bottom of Page)"/>
        <w:docPartUnique/>
      </w:docPartObj>
    </w:sdtPr>
    <w:sdtEndPr>
      <w:rPr>
        <w:noProof/>
      </w:rPr>
    </w:sdtEndPr>
    <w:sdtContent>
      <w:p w14:paraId="65D29FCF" w14:textId="10A921FF" w:rsidR="004E4B78" w:rsidRDefault="004E4B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D233C" w14:textId="77777777" w:rsidR="004E4B78" w:rsidRDefault="004E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1188" w14:textId="77777777" w:rsidR="00586229" w:rsidRDefault="00586229" w:rsidP="00EB14B6">
      <w:r>
        <w:separator/>
      </w:r>
    </w:p>
  </w:footnote>
  <w:footnote w:type="continuationSeparator" w:id="0">
    <w:p w14:paraId="6856FF62" w14:textId="77777777" w:rsidR="00586229" w:rsidRDefault="00586229" w:rsidP="00EB1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807"/>
    <w:multiLevelType w:val="hybridMultilevel"/>
    <w:tmpl w:val="4628DE7A"/>
    <w:lvl w:ilvl="0" w:tplc="15AA9F9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E2CA7"/>
    <w:multiLevelType w:val="hybridMultilevel"/>
    <w:tmpl w:val="996E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A4B45"/>
    <w:multiLevelType w:val="hybridMultilevel"/>
    <w:tmpl w:val="996E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06E56"/>
    <w:multiLevelType w:val="hybridMultilevel"/>
    <w:tmpl w:val="996E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0374D"/>
    <w:multiLevelType w:val="hybridMultilevel"/>
    <w:tmpl w:val="97C29778"/>
    <w:lvl w:ilvl="0" w:tplc="6A5CC20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525969">
    <w:abstractNumId w:val="0"/>
  </w:num>
  <w:num w:numId="2" w16cid:durableId="578710712">
    <w:abstractNumId w:val="4"/>
  </w:num>
  <w:num w:numId="3" w16cid:durableId="1623877826">
    <w:abstractNumId w:val="3"/>
  </w:num>
  <w:num w:numId="4" w16cid:durableId="1717003896">
    <w:abstractNumId w:val="2"/>
  </w:num>
  <w:num w:numId="5" w16cid:durableId="505443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A3"/>
    <w:rsid w:val="000025AC"/>
    <w:rsid w:val="000046A7"/>
    <w:rsid w:val="0000494C"/>
    <w:rsid w:val="0001281F"/>
    <w:rsid w:val="000148F2"/>
    <w:rsid w:val="0001548E"/>
    <w:rsid w:val="000200A1"/>
    <w:rsid w:val="000205E6"/>
    <w:rsid w:val="000211EC"/>
    <w:rsid w:val="000256C0"/>
    <w:rsid w:val="00031C46"/>
    <w:rsid w:val="00036B18"/>
    <w:rsid w:val="00040E91"/>
    <w:rsid w:val="000415DD"/>
    <w:rsid w:val="00042B98"/>
    <w:rsid w:val="000440AB"/>
    <w:rsid w:val="00047EE2"/>
    <w:rsid w:val="00053A29"/>
    <w:rsid w:val="000574C8"/>
    <w:rsid w:val="00063629"/>
    <w:rsid w:val="000725ED"/>
    <w:rsid w:val="000741EB"/>
    <w:rsid w:val="0007520E"/>
    <w:rsid w:val="00076EB5"/>
    <w:rsid w:val="00083BDD"/>
    <w:rsid w:val="00084E08"/>
    <w:rsid w:val="00085177"/>
    <w:rsid w:val="000872A2"/>
    <w:rsid w:val="00092D34"/>
    <w:rsid w:val="00092E4F"/>
    <w:rsid w:val="0009459F"/>
    <w:rsid w:val="000952BB"/>
    <w:rsid w:val="000A414A"/>
    <w:rsid w:val="000A55A0"/>
    <w:rsid w:val="000A5C19"/>
    <w:rsid w:val="000B2EA9"/>
    <w:rsid w:val="000B47F9"/>
    <w:rsid w:val="000B7624"/>
    <w:rsid w:val="000C1678"/>
    <w:rsid w:val="000C39ED"/>
    <w:rsid w:val="000C3D40"/>
    <w:rsid w:val="000C440F"/>
    <w:rsid w:val="000D04F5"/>
    <w:rsid w:val="000D2922"/>
    <w:rsid w:val="000D2933"/>
    <w:rsid w:val="000D2AA3"/>
    <w:rsid w:val="000D5039"/>
    <w:rsid w:val="000D7039"/>
    <w:rsid w:val="000E08CC"/>
    <w:rsid w:val="000E102D"/>
    <w:rsid w:val="000E5B78"/>
    <w:rsid w:val="000F2188"/>
    <w:rsid w:val="000F3AA1"/>
    <w:rsid w:val="000F705A"/>
    <w:rsid w:val="00102720"/>
    <w:rsid w:val="00116778"/>
    <w:rsid w:val="00116A6B"/>
    <w:rsid w:val="0012004D"/>
    <w:rsid w:val="00120908"/>
    <w:rsid w:val="00122CD3"/>
    <w:rsid w:val="00130716"/>
    <w:rsid w:val="0014758B"/>
    <w:rsid w:val="001506FE"/>
    <w:rsid w:val="00150BB6"/>
    <w:rsid w:val="001527A0"/>
    <w:rsid w:val="00152C11"/>
    <w:rsid w:val="0015760C"/>
    <w:rsid w:val="00157B99"/>
    <w:rsid w:val="00157E55"/>
    <w:rsid w:val="00161F83"/>
    <w:rsid w:val="00163298"/>
    <w:rsid w:val="0016528E"/>
    <w:rsid w:val="00165AA3"/>
    <w:rsid w:val="00170428"/>
    <w:rsid w:val="00174A73"/>
    <w:rsid w:val="001751D0"/>
    <w:rsid w:val="001823E9"/>
    <w:rsid w:val="0018361F"/>
    <w:rsid w:val="00196AD7"/>
    <w:rsid w:val="001A12D2"/>
    <w:rsid w:val="001A49C4"/>
    <w:rsid w:val="001A7413"/>
    <w:rsid w:val="001B1259"/>
    <w:rsid w:val="001C14B9"/>
    <w:rsid w:val="001C69FE"/>
    <w:rsid w:val="001E257A"/>
    <w:rsid w:val="001E42E1"/>
    <w:rsid w:val="001E733D"/>
    <w:rsid w:val="00204132"/>
    <w:rsid w:val="00204FC0"/>
    <w:rsid w:val="00205B13"/>
    <w:rsid w:val="00206086"/>
    <w:rsid w:val="00210D32"/>
    <w:rsid w:val="00211688"/>
    <w:rsid w:val="00211CA7"/>
    <w:rsid w:val="0021345A"/>
    <w:rsid w:val="00215664"/>
    <w:rsid w:val="0021622D"/>
    <w:rsid w:val="0021661C"/>
    <w:rsid w:val="00217D2B"/>
    <w:rsid w:val="002203CA"/>
    <w:rsid w:val="0022190B"/>
    <w:rsid w:val="00224EB5"/>
    <w:rsid w:val="00230334"/>
    <w:rsid w:val="002454F4"/>
    <w:rsid w:val="00247E4E"/>
    <w:rsid w:val="002510B3"/>
    <w:rsid w:val="0025309D"/>
    <w:rsid w:val="00253218"/>
    <w:rsid w:val="00254879"/>
    <w:rsid w:val="0025573E"/>
    <w:rsid w:val="00255927"/>
    <w:rsid w:val="00255C45"/>
    <w:rsid w:val="0025616E"/>
    <w:rsid w:val="002575E8"/>
    <w:rsid w:val="00261857"/>
    <w:rsid w:val="002622EB"/>
    <w:rsid w:val="00262676"/>
    <w:rsid w:val="002636BB"/>
    <w:rsid w:val="00264D19"/>
    <w:rsid w:val="00264D5D"/>
    <w:rsid w:val="002657BB"/>
    <w:rsid w:val="002723F6"/>
    <w:rsid w:val="002737B8"/>
    <w:rsid w:val="00284A28"/>
    <w:rsid w:val="0028553A"/>
    <w:rsid w:val="00285A9A"/>
    <w:rsid w:val="00285F08"/>
    <w:rsid w:val="00285F5D"/>
    <w:rsid w:val="0029235B"/>
    <w:rsid w:val="0029267B"/>
    <w:rsid w:val="0029392B"/>
    <w:rsid w:val="00293C57"/>
    <w:rsid w:val="002A04A9"/>
    <w:rsid w:val="002A20B1"/>
    <w:rsid w:val="002A2536"/>
    <w:rsid w:val="002A458B"/>
    <w:rsid w:val="002B09AD"/>
    <w:rsid w:val="002B5EC0"/>
    <w:rsid w:val="002B694E"/>
    <w:rsid w:val="002B7BDF"/>
    <w:rsid w:val="002C0E51"/>
    <w:rsid w:val="002C229F"/>
    <w:rsid w:val="002C2975"/>
    <w:rsid w:val="002C3B96"/>
    <w:rsid w:val="002D1CC6"/>
    <w:rsid w:val="002D37A9"/>
    <w:rsid w:val="002D4A6C"/>
    <w:rsid w:val="002F3ABF"/>
    <w:rsid w:val="002F4D2F"/>
    <w:rsid w:val="00300DCC"/>
    <w:rsid w:val="003062D7"/>
    <w:rsid w:val="00306EC6"/>
    <w:rsid w:val="00314B76"/>
    <w:rsid w:val="00324949"/>
    <w:rsid w:val="0032716F"/>
    <w:rsid w:val="00337135"/>
    <w:rsid w:val="00343701"/>
    <w:rsid w:val="00347AA3"/>
    <w:rsid w:val="00347D38"/>
    <w:rsid w:val="003506C5"/>
    <w:rsid w:val="00352A78"/>
    <w:rsid w:val="00354A09"/>
    <w:rsid w:val="00357ABF"/>
    <w:rsid w:val="003602E0"/>
    <w:rsid w:val="00363223"/>
    <w:rsid w:val="0036776C"/>
    <w:rsid w:val="00370527"/>
    <w:rsid w:val="00372E46"/>
    <w:rsid w:val="00373DA8"/>
    <w:rsid w:val="0037469A"/>
    <w:rsid w:val="0038471B"/>
    <w:rsid w:val="003868B0"/>
    <w:rsid w:val="00394215"/>
    <w:rsid w:val="003946B4"/>
    <w:rsid w:val="00395960"/>
    <w:rsid w:val="003A3899"/>
    <w:rsid w:val="003B160B"/>
    <w:rsid w:val="003B69E5"/>
    <w:rsid w:val="003C4B2D"/>
    <w:rsid w:val="003D3CF6"/>
    <w:rsid w:val="003E42C4"/>
    <w:rsid w:val="003E6906"/>
    <w:rsid w:val="003E6FFA"/>
    <w:rsid w:val="003F0873"/>
    <w:rsid w:val="003F0F1F"/>
    <w:rsid w:val="003F23B4"/>
    <w:rsid w:val="003F6AC7"/>
    <w:rsid w:val="004009F1"/>
    <w:rsid w:val="00406DA3"/>
    <w:rsid w:val="00407A84"/>
    <w:rsid w:val="00421DA7"/>
    <w:rsid w:val="00422BB2"/>
    <w:rsid w:val="00426CDF"/>
    <w:rsid w:val="004317BA"/>
    <w:rsid w:val="004447D1"/>
    <w:rsid w:val="004464F8"/>
    <w:rsid w:val="00446781"/>
    <w:rsid w:val="004525FC"/>
    <w:rsid w:val="004526EA"/>
    <w:rsid w:val="00457961"/>
    <w:rsid w:val="00460D5A"/>
    <w:rsid w:val="00461263"/>
    <w:rsid w:val="00462319"/>
    <w:rsid w:val="004651C4"/>
    <w:rsid w:val="00466071"/>
    <w:rsid w:val="00470210"/>
    <w:rsid w:val="00473D1F"/>
    <w:rsid w:val="00473D3F"/>
    <w:rsid w:val="004765EE"/>
    <w:rsid w:val="00477B61"/>
    <w:rsid w:val="00482C3F"/>
    <w:rsid w:val="00483708"/>
    <w:rsid w:val="004A412C"/>
    <w:rsid w:val="004A6129"/>
    <w:rsid w:val="004B5214"/>
    <w:rsid w:val="004B52F3"/>
    <w:rsid w:val="004C060C"/>
    <w:rsid w:val="004C2061"/>
    <w:rsid w:val="004C4973"/>
    <w:rsid w:val="004C4E76"/>
    <w:rsid w:val="004C6AAA"/>
    <w:rsid w:val="004D02EF"/>
    <w:rsid w:val="004D09AC"/>
    <w:rsid w:val="004D7435"/>
    <w:rsid w:val="004E1853"/>
    <w:rsid w:val="004E18C9"/>
    <w:rsid w:val="004E2813"/>
    <w:rsid w:val="004E3D11"/>
    <w:rsid w:val="004E47F2"/>
    <w:rsid w:val="004E4B78"/>
    <w:rsid w:val="004F2CC3"/>
    <w:rsid w:val="004F3F62"/>
    <w:rsid w:val="004F4074"/>
    <w:rsid w:val="005016CB"/>
    <w:rsid w:val="00502363"/>
    <w:rsid w:val="00502549"/>
    <w:rsid w:val="00503389"/>
    <w:rsid w:val="0050599B"/>
    <w:rsid w:val="005063F8"/>
    <w:rsid w:val="00506A41"/>
    <w:rsid w:val="00512E4B"/>
    <w:rsid w:val="00513600"/>
    <w:rsid w:val="0051649A"/>
    <w:rsid w:val="005235DA"/>
    <w:rsid w:val="00527A67"/>
    <w:rsid w:val="00535359"/>
    <w:rsid w:val="00536722"/>
    <w:rsid w:val="00542C69"/>
    <w:rsid w:val="00546DFA"/>
    <w:rsid w:val="00553AB8"/>
    <w:rsid w:val="0055596F"/>
    <w:rsid w:val="00557E18"/>
    <w:rsid w:val="0056119C"/>
    <w:rsid w:val="00567571"/>
    <w:rsid w:val="00573D78"/>
    <w:rsid w:val="005767A3"/>
    <w:rsid w:val="00583340"/>
    <w:rsid w:val="00584531"/>
    <w:rsid w:val="00586229"/>
    <w:rsid w:val="0058626C"/>
    <w:rsid w:val="0059023C"/>
    <w:rsid w:val="005932AF"/>
    <w:rsid w:val="005964C8"/>
    <w:rsid w:val="005A2A8B"/>
    <w:rsid w:val="005A74B7"/>
    <w:rsid w:val="005B0CD0"/>
    <w:rsid w:val="005B3EC7"/>
    <w:rsid w:val="005C02C2"/>
    <w:rsid w:val="005C1B34"/>
    <w:rsid w:val="005C1FAB"/>
    <w:rsid w:val="005C4BF1"/>
    <w:rsid w:val="005C6D05"/>
    <w:rsid w:val="005D0753"/>
    <w:rsid w:val="005D1810"/>
    <w:rsid w:val="005E0D8A"/>
    <w:rsid w:val="005E13A2"/>
    <w:rsid w:val="005E3A59"/>
    <w:rsid w:val="005E4782"/>
    <w:rsid w:val="005E7CF2"/>
    <w:rsid w:val="005F38CE"/>
    <w:rsid w:val="005F6C94"/>
    <w:rsid w:val="00604501"/>
    <w:rsid w:val="0061127D"/>
    <w:rsid w:val="00614617"/>
    <w:rsid w:val="00615A80"/>
    <w:rsid w:val="00616DED"/>
    <w:rsid w:val="006226E8"/>
    <w:rsid w:val="00623D72"/>
    <w:rsid w:val="00626704"/>
    <w:rsid w:val="00626722"/>
    <w:rsid w:val="00634723"/>
    <w:rsid w:val="00634E1F"/>
    <w:rsid w:val="00635D7C"/>
    <w:rsid w:val="00636311"/>
    <w:rsid w:val="00636828"/>
    <w:rsid w:val="00637031"/>
    <w:rsid w:val="00637A2C"/>
    <w:rsid w:val="00641C43"/>
    <w:rsid w:val="006427E0"/>
    <w:rsid w:val="00645479"/>
    <w:rsid w:val="00645837"/>
    <w:rsid w:val="00647297"/>
    <w:rsid w:val="006611C4"/>
    <w:rsid w:val="006634D6"/>
    <w:rsid w:val="00672242"/>
    <w:rsid w:val="0067514E"/>
    <w:rsid w:val="00676FDD"/>
    <w:rsid w:val="00681D94"/>
    <w:rsid w:val="006863CD"/>
    <w:rsid w:val="00687005"/>
    <w:rsid w:val="00687E12"/>
    <w:rsid w:val="0069115D"/>
    <w:rsid w:val="0069129F"/>
    <w:rsid w:val="00693227"/>
    <w:rsid w:val="006943D6"/>
    <w:rsid w:val="00694F1B"/>
    <w:rsid w:val="006A04A6"/>
    <w:rsid w:val="006A38FA"/>
    <w:rsid w:val="006A58F4"/>
    <w:rsid w:val="006A7698"/>
    <w:rsid w:val="006B2077"/>
    <w:rsid w:val="006B497F"/>
    <w:rsid w:val="006B6304"/>
    <w:rsid w:val="006C0067"/>
    <w:rsid w:val="006C05EB"/>
    <w:rsid w:val="006C3759"/>
    <w:rsid w:val="006C7C13"/>
    <w:rsid w:val="006D7613"/>
    <w:rsid w:val="006E286F"/>
    <w:rsid w:val="006E480D"/>
    <w:rsid w:val="006E4E05"/>
    <w:rsid w:val="006E7520"/>
    <w:rsid w:val="006E7D44"/>
    <w:rsid w:val="006F39EB"/>
    <w:rsid w:val="006F4D96"/>
    <w:rsid w:val="00702561"/>
    <w:rsid w:val="00704F0F"/>
    <w:rsid w:val="007060C8"/>
    <w:rsid w:val="00706103"/>
    <w:rsid w:val="00706303"/>
    <w:rsid w:val="007100BC"/>
    <w:rsid w:val="007106D6"/>
    <w:rsid w:val="00710828"/>
    <w:rsid w:val="00711A73"/>
    <w:rsid w:val="007137D1"/>
    <w:rsid w:val="007146B2"/>
    <w:rsid w:val="00714C79"/>
    <w:rsid w:val="00717101"/>
    <w:rsid w:val="00723FD7"/>
    <w:rsid w:val="007248FC"/>
    <w:rsid w:val="00726AD5"/>
    <w:rsid w:val="00734BD6"/>
    <w:rsid w:val="0073783E"/>
    <w:rsid w:val="007435B3"/>
    <w:rsid w:val="00753E80"/>
    <w:rsid w:val="00757CE8"/>
    <w:rsid w:val="00761BDE"/>
    <w:rsid w:val="0076285B"/>
    <w:rsid w:val="00771055"/>
    <w:rsid w:val="00773363"/>
    <w:rsid w:val="007736B1"/>
    <w:rsid w:val="00776A90"/>
    <w:rsid w:val="00776E3E"/>
    <w:rsid w:val="00785B0E"/>
    <w:rsid w:val="00787FA6"/>
    <w:rsid w:val="007954F8"/>
    <w:rsid w:val="007A1FDD"/>
    <w:rsid w:val="007A2E0D"/>
    <w:rsid w:val="007B505C"/>
    <w:rsid w:val="007B6984"/>
    <w:rsid w:val="007B7495"/>
    <w:rsid w:val="007C293B"/>
    <w:rsid w:val="007D01C8"/>
    <w:rsid w:val="007D1FB7"/>
    <w:rsid w:val="007D2FBF"/>
    <w:rsid w:val="007D3959"/>
    <w:rsid w:val="007D5E7F"/>
    <w:rsid w:val="007E0CDE"/>
    <w:rsid w:val="007E1493"/>
    <w:rsid w:val="007E38D8"/>
    <w:rsid w:val="007E3BBC"/>
    <w:rsid w:val="007E48EE"/>
    <w:rsid w:val="007E6DB0"/>
    <w:rsid w:val="007F4A3F"/>
    <w:rsid w:val="008008D5"/>
    <w:rsid w:val="008011DE"/>
    <w:rsid w:val="00802046"/>
    <w:rsid w:val="00804A05"/>
    <w:rsid w:val="00805979"/>
    <w:rsid w:val="0081400B"/>
    <w:rsid w:val="00814CA9"/>
    <w:rsid w:val="00815C20"/>
    <w:rsid w:val="00823A60"/>
    <w:rsid w:val="00825363"/>
    <w:rsid w:val="00825DF5"/>
    <w:rsid w:val="00830543"/>
    <w:rsid w:val="008306BA"/>
    <w:rsid w:val="00833779"/>
    <w:rsid w:val="00833FE8"/>
    <w:rsid w:val="00843519"/>
    <w:rsid w:val="00845BA7"/>
    <w:rsid w:val="00847C68"/>
    <w:rsid w:val="008508DE"/>
    <w:rsid w:val="00852718"/>
    <w:rsid w:val="00856876"/>
    <w:rsid w:val="00856E0C"/>
    <w:rsid w:val="00861F57"/>
    <w:rsid w:val="008651FF"/>
    <w:rsid w:val="00865A45"/>
    <w:rsid w:val="008664A2"/>
    <w:rsid w:val="00874B31"/>
    <w:rsid w:val="008750E2"/>
    <w:rsid w:val="00876F19"/>
    <w:rsid w:val="00880C36"/>
    <w:rsid w:val="00886956"/>
    <w:rsid w:val="00887409"/>
    <w:rsid w:val="0089046F"/>
    <w:rsid w:val="00892059"/>
    <w:rsid w:val="0089626B"/>
    <w:rsid w:val="0089712F"/>
    <w:rsid w:val="008A372C"/>
    <w:rsid w:val="008A5234"/>
    <w:rsid w:val="008A52F4"/>
    <w:rsid w:val="008A58BF"/>
    <w:rsid w:val="008A7227"/>
    <w:rsid w:val="008A7EE1"/>
    <w:rsid w:val="008B1B63"/>
    <w:rsid w:val="008C416E"/>
    <w:rsid w:val="008C5423"/>
    <w:rsid w:val="008C763D"/>
    <w:rsid w:val="008D2FBD"/>
    <w:rsid w:val="008F4E19"/>
    <w:rsid w:val="008F62A8"/>
    <w:rsid w:val="00900460"/>
    <w:rsid w:val="009016B7"/>
    <w:rsid w:val="00905D23"/>
    <w:rsid w:val="009071BD"/>
    <w:rsid w:val="00910221"/>
    <w:rsid w:val="00910F6F"/>
    <w:rsid w:val="00911880"/>
    <w:rsid w:val="00923C7F"/>
    <w:rsid w:val="00923CC2"/>
    <w:rsid w:val="00923E7D"/>
    <w:rsid w:val="00927369"/>
    <w:rsid w:val="00940146"/>
    <w:rsid w:val="00941DF1"/>
    <w:rsid w:val="00945CA5"/>
    <w:rsid w:val="00946523"/>
    <w:rsid w:val="009543D0"/>
    <w:rsid w:val="009600EC"/>
    <w:rsid w:val="009670A7"/>
    <w:rsid w:val="00981E21"/>
    <w:rsid w:val="00985961"/>
    <w:rsid w:val="00986453"/>
    <w:rsid w:val="00993207"/>
    <w:rsid w:val="009939B2"/>
    <w:rsid w:val="00994C15"/>
    <w:rsid w:val="00994CAB"/>
    <w:rsid w:val="009A3A66"/>
    <w:rsid w:val="009A3D21"/>
    <w:rsid w:val="009B05B8"/>
    <w:rsid w:val="009B1294"/>
    <w:rsid w:val="009B48E9"/>
    <w:rsid w:val="009B7901"/>
    <w:rsid w:val="009D3560"/>
    <w:rsid w:val="009D49C5"/>
    <w:rsid w:val="009E399A"/>
    <w:rsid w:val="009E621E"/>
    <w:rsid w:val="009E6E4C"/>
    <w:rsid w:val="009E7204"/>
    <w:rsid w:val="009F31D9"/>
    <w:rsid w:val="009F6BD2"/>
    <w:rsid w:val="009F7CA3"/>
    <w:rsid w:val="00A02581"/>
    <w:rsid w:val="00A0505B"/>
    <w:rsid w:val="00A07D08"/>
    <w:rsid w:val="00A105E6"/>
    <w:rsid w:val="00A1559D"/>
    <w:rsid w:val="00A16CE2"/>
    <w:rsid w:val="00A17341"/>
    <w:rsid w:val="00A21620"/>
    <w:rsid w:val="00A22DCE"/>
    <w:rsid w:val="00A23D0C"/>
    <w:rsid w:val="00A25F32"/>
    <w:rsid w:val="00A43368"/>
    <w:rsid w:val="00A4548E"/>
    <w:rsid w:val="00A54FD4"/>
    <w:rsid w:val="00A55126"/>
    <w:rsid w:val="00A64891"/>
    <w:rsid w:val="00A65DC8"/>
    <w:rsid w:val="00A70757"/>
    <w:rsid w:val="00A71791"/>
    <w:rsid w:val="00A801AE"/>
    <w:rsid w:val="00A80D7C"/>
    <w:rsid w:val="00A81A8A"/>
    <w:rsid w:val="00A85204"/>
    <w:rsid w:val="00A87A38"/>
    <w:rsid w:val="00A931B6"/>
    <w:rsid w:val="00A9468F"/>
    <w:rsid w:val="00A95F6D"/>
    <w:rsid w:val="00A967DA"/>
    <w:rsid w:val="00AA0615"/>
    <w:rsid w:val="00AA1DB7"/>
    <w:rsid w:val="00AB01FD"/>
    <w:rsid w:val="00AB55F3"/>
    <w:rsid w:val="00AB6426"/>
    <w:rsid w:val="00AC0018"/>
    <w:rsid w:val="00AC544A"/>
    <w:rsid w:val="00AD00AB"/>
    <w:rsid w:val="00AD03E5"/>
    <w:rsid w:val="00AD1606"/>
    <w:rsid w:val="00AE1790"/>
    <w:rsid w:val="00B01F2E"/>
    <w:rsid w:val="00B0551D"/>
    <w:rsid w:val="00B068FE"/>
    <w:rsid w:val="00B11320"/>
    <w:rsid w:val="00B1186D"/>
    <w:rsid w:val="00B1190D"/>
    <w:rsid w:val="00B1259A"/>
    <w:rsid w:val="00B15543"/>
    <w:rsid w:val="00B17FFE"/>
    <w:rsid w:val="00B25343"/>
    <w:rsid w:val="00B255AD"/>
    <w:rsid w:val="00B25ACD"/>
    <w:rsid w:val="00B26530"/>
    <w:rsid w:val="00B2693A"/>
    <w:rsid w:val="00B301DC"/>
    <w:rsid w:val="00B33E4D"/>
    <w:rsid w:val="00B34503"/>
    <w:rsid w:val="00B35FB8"/>
    <w:rsid w:val="00B361B4"/>
    <w:rsid w:val="00B41C96"/>
    <w:rsid w:val="00B41D7C"/>
    <w:rsid w:val="00B4379F"/>
    <w:rsid w:val="00B46E35"/>
    <w:rsid w:val="00B5033B"/>
    <w:rsid w:val="00B5113B"/>
    <w:rsid w:val="00B54FEB"/>
    <w:rsid w:val="00B577C0"/>
    <w:rsid w:val="00B57E09"/>
    <w:rsid w:val="00B61053"/>
    <w:rsid w:val="00B6351D"/>
    <w:rsid w:val="00B76568"/>
    <w:rsid w:val="00B766FA"/>
    <w:rsid w:val="00B769D0"/>
    <w:rsid w:val="00B818A7"/>
    <w:rsid w:val="00B85F10"/>
    <w:rsid w:val="00B872A9"/>
    <w:rsid w:val="00B932D5"/>
    <w:rsid w:val="00B95383"/>
    <w:rsid w:val="00B971EE"/>
    <w:rsid w:val="00BA1093"/>
    <w:rsid w:val="00BA21E8"/>
    <w:rsid w:val="00BA4449"/>
    <w:rsid w:val="00BB2250"/>
    <w:rsid w:val="00BB5CA5"/>
    <w:rsid w:val="00BC740C"/>
    <w:rsid w:val="00BD22E5"/>
    <w:rsid w:val="00BE0602"/>
    <w:rsid w:val="00BE6ACE"/>
    <w:rsid w:val="00BF03BD"/>
    <w:rsid w:val="00BF22DD"/>
    <w:rsid w:val="00BF238A"/>
    <w:rsid w:val="00BF3346"/>
    <w:rsid w:val="00BF4EB6"/>
    <w:rsid w:val="00BF5838"/>
    <w:rsid w:val="00C03632"/>
    <w:rsid w:val="00C03EA3"/>
    <w:rsid w:val="00C05247"/>
    <w:rsid w:val="00C06243"/>
    <w:rsid w:val="00C076B1"/>
    <w:rsid w:val="00C11F01"/>
    <w:rsid w:val="00C12737"/>
    <w:rsid w:val="00C17FF7"/>
    <w:rsid w:val="00C2553E"/>
    <w:rsid w:val="00C33475"/>
    <w:rsid w:val="00C4092A"/>
    <w:rsid w:val="00C42CE6"/>
    <w:rsid w:val="00C52D4D"/>
    <w:rsid w:val="00C54323"/>
    <w:rsid w:val="00C573F9"/>
    <w:rsid w:val="00C61E84"/>
    <w:rsid w:val="00C63191"/>
    <w:rsid w:val="00C63B21"/>
    <w:rsid w:val="00C646B5"/>
    <w:rsid w:val="00C652FD"/>
    <w:rsid w:val="00C73F6F"/>
    <w:rsid w:val="00C7485E"/>
    <w:rsid w:val="00C77476"/>
    <w:rsid w:val="00C778AD"/>
    <w:rsid w:val="00C8452B"/>
    <w:rsid w:val="00C858E3"/>
    <w:rsid w:val="00C8680D"/>
    <w:rsid w:val="00C909FB"/>
    <w:rsid w:val="00C91371"/>
    <w:rsid w:val="00C92080"/>
    <w:rsid w:val="00C93854"/>
    <w:rsid w:val="00C9440B"/>
    <w:rsid w:val="00C95A52"/>
    <w:rsid w:val="00C97799"/>
    <w:rsid w:val="00CB122C"/>
    <w:rsid w:val="00CB2C9C"/>
    <w:rsid w:val="00CB31F1"/>
    <w:rsid w:val="00CB7AD8"/>
    <w:rsid w:val="00CC1956"/>
    <w:rsid w:val="00CC5126"/>
    <w:rsid w:val="00CD074F"/>
    <w:rsid w:val="00CD3078"/>
    <w:rsid w:val="00CD34AE"/>
    <w:rsid w:val="00CD627D"/>
    <w:rsid w:val="00CF784A"/>
    <w:rsid w:val="00D04B67"/>
    <w:rsid w:val="00D076E2"/>
    <w:rsid w:val="00D1291C"/>
    <w:rsid w:val="00D17AD4"/>
    <w:rsid w:val="00D21B0F"/>
    <w:rsid w:val="00D31068"/>
    <w:rsid w:val="00D334B2"/>
    <w:rsid w:val="00D41A27"/>
    <w:rsid w:val="00D462F2"/>
    <w:rsid w:val="00D5488F"/>
    <w:rsid w:val="00D559F8"/>
    <w:rsid w:val="00D576A0"/>
    <w:rsid w:val="00D60706"/>
    <w:rsid w:val="00D62F21"/>
    <w:rsid w:val="00D65FF8"/>
    <w:rsid w:val="00D660DA"/>
    <w:rsid w:val="00D709EC"/>
    <w:rsid w:val="00D72C2D"/>
    <w:rsid w:val="00D74FB3"/>
    <w:rsid w:val="00D80F31"/>
    <w:rsid w:val="00D8183F"/>
    <w:rsid w:val="00D9073C"/>
    <w:rsid w:val="00D924F9"/>
    <w:rsid w:val="00D95B7A"/>
    <w:rsid w:val="00D966C2"/>
    <w:rsid w:val="00D97C2B"/>
    <w:rsid w:val="00DA17A3"/>
    <w:rsid w:val="00DA6EC5"/>
    <w:rsid w:val="00DB0471"/>
    <w:rsid w:val="00DB17CB"/>
    <w:rsid w:val="00DB31F5"/>
    <w:rsid w:val="00DB4453"/>
    <w:rsid w:val="00DB61B1"/>
    <w:rsid w:val="00DB7561"/>
    <w:rsid w:val="00DC04E1"/>
    <w:rsid w:val="00DC07AD"/>
    <w:rsid w:val="00DC334F"/>
    <w:rsid w:val="00DC5EBD"/>
    <w:rsid w:val="00DC7146"/>
    <w:rsid w:val="00DD121E"/>
    <w:rsid w:val="00DD1F0D"/>
    <w:rsid w:val="00DD3E38"/>
    <w:rsid w:val="00DD4518"/>
    <w:rsid w:val="00DE02D6"/>
    <w:rsid w:val="00DE0BA5"/>
    <w:rsid w:val="00DE2B0C"/>
    <w:rsid w:val="00DE47C7"/>
    <w:rsid w:val="00DE65D6"/>
    <w:rsid w:val="00DF14A9"/>
    <w:rsid w:val="00DF616A"/>
    <w:rsid w:val="00E011F4"/>
    <w:rsid w:val="00E04E3C"/>
    <w:rsid w:val="00E0660F"/>
    <w:rsid w:val="00E16A0C"/>
    <w:rsid w:val="00E205FA"/>
    <w:rsid w:val="00E21394"/>
    <w:rsid w:val="00E2198E"/>
    <w:rsid w:val="00E229BF"/>
    <w:rsid w:val="00E278D7"/>
    <w:rsid w:val="00E317B4"/>
    <w:rsid w:val="00E31E39"/>
    <w:rsid w:val="00E32CBB"/>
    <w:rsid w:val="00E3334B"/>
    <w:rsid w:val="00E3531C"/>
    <w:rsid w:val="00E40866"/>
    <w:rsid w:val="00E41A96"/>
    <w:rsid w:val="00E46FA9"/>
    <w:rsid w:val="00E54E46"/>
    <w:rsid w:val="00E56B55"/>
    <w:rsid w:val="00E66C2F"/>
    <w:rsid w:val="00E67397"/>
    <w:rsid w:val="00E6755C"/>
    <w:rsid w:val="00E67E0A"/>
    <w:rsid w:val="00E709A9"/>
    <w:rsid w:val="00E71EF3"/>
    <w:rsid w:val="00E72C3E"/>
    <w:rsid w:val="00E74894"/>
    <w:rsid w:val="00E7541A"/>
    <w:rsid w:val="00E8090D"/>
    <w:rsid w:val="00E84248"/>
    <w:rsid w:val="00E91AB0"/>
    <w:rsid w:val="00E9262B"/>
    <w:rsid w:val="00EA1D77"/>
    <w:rsid w:val="00EA2023"/>
    <w:rsid w:val="00EA2850"/>
    <w:rsid w:val="00EA40C2"/>
    <w:rsid w:val="00EA4493"/>
    <w:rsid w:val="00EB14B6"/>
    <w:rsid w:val="00EB1F7D"/>
    <w:rsid w:val="00EB2318"/>
    <w:rsid w:val="00EB4B5C"/>
    <w:rsid w:val="00EB6CDF"/>
    <w:rsid w:val="00EC2D04"/>
    <w:rsid w:val="00EC36C9"/>
    <w:rsid w:val="00EC4C2F"/>
    <w:rsid w:val="00ED14BE"/>
    <w:rsid w:val="00ED198C"/>
    <w:rsid w:val="00ED7564"/>
    <w:rsid w:val="00EE0D65"/>
    <w:rsid w:val="00EE766A"/>
    <w:rsid w:val="00EF1181"/>
    <w:rsid w:val="00EF70B5"/>
    <w:rsid w:val="00F01975"/>
    <w:rsid w:val="00F0467D"/>
    <w:rsid w:val="00F04870"/>
    <w:rsid w:val="00F05767"/>
    <w:rsid w:val="00F0747A"/>
    <w:rsid w:val="00F13591"/>
    <w:rsid w:val="00F17C70"/>
    <w:rsid w:val="00F20120"/>
    <w:rsid w:val="00F2338F"/>
    <w:rsid w:val="00F23895"/>
    <w:rsid w:val="00F30083"/>
    <w:rsid w:val="00F318A5"/>
    <w:rsid w:val="00F42B57"/>
    <w:rsid w:val="00F45CFB"/>
    <w:rsid w:val="00F47AE8"/>
    <w:rsid w:val="00F5244B"/>
    <w:rsid w:val="00F528B4"/>
    <w:rsid w:val="00F53B11"/>
    <w:rsid w:val="00F53E5D"/>
    <w:rsid w:val="00F5470B"/>
    <w:rsid w:val="00F55E38"/>
    <w:rsid w:val="00F5650A"/>
    <w:rsid w:val="00F57857"/>
    <w:rsid w:val="00F66CAB"/>
    <w:rsid w:val="00F7059A"/>
    <w:rsid w:val="00F71E98"/>
    <w:rsid w:val="00F766FF"/>
    <w:rsid w:val="00F81EA4"/>
    <w:rsid w:val="00F8306C"/>
    <w:rsid w:val="00F856FD"/>
    <w:rsid w:val="00F858C8"/>
    <w:rsid w:val="00F85B93"/>
    <w:rsid w:val="00F90480"/>
    <w:rsid w:val="00F92E46"/>
    <w:rsid w:val="00F93297"/>
    <w:rsid w:val="00FA7DC2"/>
    <w:rsid w:val="00FB1BE5"/>
    <w:rsid w:val="00FB1E52"/>
    <w:rsid w:val="00FB7A9E"/>
    <w:rsid w:val="00FB7E3D"/>
    <w:rsid w:val="00FC03D2"/>
    <w:rsid w:val="00FC0893"/>
    <w:rsid w:val="00FC3AED"/>
    <w:rsid w:val="00FD0F9C"/>
    <w:rsid w:val="00FD39D6"/>
    <w:rsid w:val="00FD3B9C"/>
    <w:rsid w:val="00FD51A6"/>
    <w:rsid w:val="00FD7956"/>
    <w:rsid w:val="00FE3BF2"/>
    <w:rsid w:val="00FE4F4E"/>
    <w:rsid w:val="00FE7B08"/>
    <w:rsid w:val="00FF0615"/>
    <w:rsid w:val="00FF3576"/>
    <w:rsid w:val="00FF570C"/>
    <w:rsid w:val="00FF654F"/>
    <w:rsid w:val="00FF6F9C"/>
    <w:rsid w:val="00FF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9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7A3"/>
    <w:pPr>
      <w:ind w:left="720"/>
      <w:contextualSpacing/>
    </w:pPr>
  </w:style>
  <w:style w:type="paragraph" w:styleId="NoSpacing">
    <w:name w:val="No Spacing"/>
    <w:uiPriority w:val="1"/>
    <w:qFormat/>
    <w:rsid w:val="000D2933"/>
    <w:rPr>
      <w:rFonts w:asciiTheme="minorHAnsi" w:hAnsiTheme="minorHAnsi"/>
      <w:sz w:val="22"/>
    </w:rPr>
  </w:style>
  <w:style w:type="table" w:styleId="TableGrid">
    <w:name w:val="Table Grid"/>
    <w:basedOn w:val="TableNormal"/>
    <w:uiPriority w:val="59"/>
    <w:rsid w:val="00E3531C"/>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1D0"/>
    <w:rPr>
      <w:rFonts w:ascii="Segoe UI" w:hAnsi="Segoe UI" w:cs="Segoe UI"/>
      <w:sz w:val="18"/>
      <w:szCs w:val="18"/>
    </w:rPr>
  </w:style>
  <w:style w:type="character" w:styleId="CommentReference">
    <w:name w:val="annotation reference"/>
    <w:basedOn w:val="DefaultParagraphFont"/>
    <w:uiPriority w:val="99"/>
    <w:semiHidden/>
    <w:unhideWhenUsed/>
    <w:rsid w:val="008508DE"/>
    <w:rPr>
      <w:sz w:val="16"/>
      <w:szCs w:val="16"/>
    </w:rPr>
  </w:style>
  <w:style w:type="paragraph" w:styleId="CommentText">
    <w:name w:val="annotation text"/>
    <w:basedOn w:val="Normal"/>
    <w:link w:val="CommentTextChar"/>
    <w:uiPriority w:val="99"/>
    <w:unhideWhenUsed/>
    <w:rsid w:val="008508DE"/>
    <w:rPr>
      <w:sz w:val="20"/>
      <w:szCs w:val="20"/>
    </w:rPr>
  </w:style>
  <w:style w:type="character" w:customStyle="1" w:styleId="CommentTextChar">
    <w:name w:val="Comment Text Char"/>
    <w:basedOn w:val="DefaultParagraphFont"/>
    <w:link w:val="CommentText"/>
    <w:uiPriority w:val="99"/>
    <w:rsid w:val="008508DE"/>
    <w:rPr>
      <w:sz w:val="20"/>
      <w:szCs w:val="20"/>
    </w:rPr>
  </w:style>
  <w:style w:type="paragraph" w:styleId="CommentSubject">
    <w:name w:val="annotation subject"/>
    <w:basedOn w:val="CommentText"/>
    <w:next w:val="CommentText"/>
    <w:link w:val="CommentSubjectChar"/>
    <w:uiPriority w:val="99"/>
    <w:semiHidden/>
    <w:unhideWhenUsed/>
    <w:rsid w:val="008508DE"/>
    <w:rPr>
      <w:b/>
      <w:bCs/>
    </w:rPr>
  </w:style>
  <w:style w:type="character" w:customStyle="1" w:styleId="CommentSubjectChar">
    <w:name w:val="Comment Subject Char"/>
    <w:basedOn w:val="CommentTextChar"/>
    <w:link w:val="CommentSubject"/>
    <w:uiPriority w:val="99"/>
    <w:semiHidden/>
    <w:rsid w:val="008508DE"/>
    <w:rPr>
      <w:b/>
      <w:bCs/>
      <w:sz w:val="20"/>
      <w:szCs w:val="20"/>
    </w:rPr>
  </w:style>
  <w:style w:type="character" w:styleId="Hyperlink">
    <w:name w:val="Hyperlink"/>
    <w:basedOn w:val="DefaultParagraphFont"/>
    <w:uiPriority w:val="99"/>
    <w:unhideWhenUsed/>
    <w:rsid w:val="004D02EF"/>
    <w:rPr>
      <w:color w:val="0000FF"/>
      <w:u w:val="single"/>
    </w:rPr>
  </w:style>
  <w:style w:type="character" w:styleId="Emphasis">
    <w:name w:val="Emphasis"/>
    <w:basedOn w:val="DefaultParagraphFont"/>
    <w:uiPriority w:val="20"/>
    <w:qFormat/>
    <w:rsid w:val="00D31068"/>
    <w:rPr>
      <w:i/>
      <w:iCs/>
    </w:rPr>
  </w:style>
  <w:style w:type="character" w:customStyle="1" w:styleId="apple-converted-space">
    <w:name w:val="apple-converted-space"/>
    <w:basedOn w:val="DefaultParagraphFont"/>
    <w:rsid w:val="00D31068"/>
  </w:style>
  <w:style w:type="character" w:styleId="Strong">
    <w:name w:val="Strong"/>
    <w:basedOn w:val="DefaultParagraphFont"/>
    <w:uiPriority w:val="22"/>
    <w:qFormat/>
    <w:rsid w:val="00D31068"/>
    <w:rPr>
      <w:b/>
      <w:bCs/>
    </w:rPr>
  </w:style>
  <w:style w:type="character" w:styleId="HTMLCite">
    <w:name w:val="HTML Cite"/>
    <w:basedOn w:val="DefaultParagraphFont"/>
    <w:uiPriority w:val="99"/>
    <w:semiHidden/>
    <w:unhideWhenUsed/>
    <w:rsid w:val="00845BA7"/>
    <w:rPr>
      <w:i/>
      <w:iCs/>
    </w:rPr>
  </w:style>
  <w:style w:type="paragraph" w:styleId="Header">
    <w:name w:val="header"/>
    <w:basedOn w:val="Normal"/>
    <w:link w:val="HeaderChar"/>
    <w:uiPriority w:val="99"/>
    <w:unhideWhenUsed/>
    <w:rsid w:val="00EB14B6"/>
    <w:pPr>
      <w:tabs>
        <w:tab w:val="center" w:pos="4680"/>
        <w:tab w:val="right" w:pos="9360"/>
      </w:tabs>
    </w:pPr>
  </w:style>
  <w:style w:type="character" w:customStyle="1" w:styleId="HeaderChar">
    <w:name w:val="Header Char"/>
    <w:basedOn w:val="DefaultParagraphFont"/>
    <w:link w:val="Header"/>
    <w:uiPriority w:val="99"/>
    <w:rsid w:val="00EB14B6"/>
  </w:style>
  <w:style w:type="paragraph" w:styleId="Footer">
    <w:name w:val="footer"/>
    <w:basedOn w:val="Normal"/>
    <w:link w:val="FooterChar"/>
    <w:uiPriority w:val="99"/>
    <w:unhideWhenUsed/>
    <w:rsid w:val="00EB14B6"/>
    <w:pPr>
      <w:tabs>
        <w:tab w:val="center" w:pos="4680"/>
        <w:tab w:val="right" w:pos="9360"/>
      </w:tabs>
    </w:pPr>
  </w:style>
  <w:style w:type="character" w:customStyle="1" w:styleId="FooterChar">
    <w:name w:val="Footer Char"/>
    <w:basedOn w:val="DefaultParagraphFont"/>
    <w:link w:val="Footer"/>
    <w:uiPriority w:val="99"/>
    <w:rsid w:val="00EB14B6"/>
  </w:style>
  <w:style w:type="character" w:styleId="PlaceholderText">
    <w:name w:val="Placeholder Text"/>
    <w:basedOn w:val="DefaultParagraphFont"/>
    <w:uiPriority w:val="99"/>
    <w:semiHidden/>
    <w:rsid w:val="00E3334B"/>
    <w:rPr>
      <w:color w:val="808080"/>
    </w:rPr>
  </w:style>
  <w:style w:type="paragraph" w:styleId="PlainText">
    <w:name w:val="Plain Text"/>
    <w:basedOn w:val="Normal"/>
    <w:link w:val="PlainTextChar"/>
    <w:uiPriority w:val="99"/>
    <w:unhideWhenUsed/>
    <w:rsid w:val="00B5033B"/>
    <w:rPr>
      <w:rFonts w:ascii="Calibri" w:hAnsi="Calibri"/>
      <w:sz w:val="22"/>
      <w:szCs w:val="21"/>
    </w:rPr>
  </w:style>
  <w:style w:type="character" w:customStyle="1" w:styleId="PlainTextChar">
    <w:name w:val="Plain Text Char"/>
    <w:basedOn w:val="DefaultParagraphFont"/>
    <w:link w:val="PlainText"/>
    <w:uiPriority w:val="99"/>
    <w:rsid w:val="00B5033B"/>
    <w:rPr>
      <w:rFonts w:ascii="Calibri" w:hAnsi="Calibri"/>
      <w:sz w:val="22"/>
      <w:szCs w:val="21"/>
    </w:rPr>
  </w:style>
  <w:style w:type="character" w:customStyle="1" w:styleId="authors">
    <w:name w:val="authors"/>
    <w:basedOn w:val="DefaultParagraphFont"/>
    <w:rsid w:val="00634723"/>
  </w:style>
  <w:style w:type="character" w:customStyle="1" w:styleId="Date1">
    <w:name w:val="Date1"/>
    <w:basedOn w:val="DefaultParagraphFont"/>
    <w:rsid w:val="00634723"/>
  </w:style>
  <w:style w:type="character" w:customStyle="1" w:styleId="arttitle">
    <w:name w:val="art_title"/>
    <w:basedOn w:val="DefaultParagraphFont"/>
    <w:rsid w:val="00634723"/>
  </w:style>
  <w:style w:type="character" w:customStyle="1" w:styleId="serialtitle">
    <w:name w:val="serial_title"/>
    <w:basedOn w:val="DefaultParagraphFont"/>
    <w:rsid w:val="00634723"/>
  </w:style>
  <w:style w:type="character" w:customStyle="1" w:styleId="volumeissue">
    <w:name w:val="volume_issue"/>
    <w:basedOn w:val="DefaultParagraphFont"/>
    <w:rsid w:val="00634723"/>
  </w:style>
  <w:style w:type="character" w:customStyle="1" w:styleId="pagerange">
    <w:name w:val="page_range"/>
    <w:basedOn w:val="DefaultParagraphFont"/>
    <w:rsid w:val="00634723"/>
  </w:style>
  <w:style w:type="character" w:customStyle="1" w:styleId="doilink">
    <w:name w:val="doi_link"/>
    <w:basedOn w:val="DefaultParagraphFont"/>
    <w:rsid w:val="00634723"/>
  </w:style>
  <w:style w:type="character" w:customStyle="1" w:styleId="nlmyear">
    <w:name w:val="nlm_year"/>
    <w:basedOn w:val="DefaultParagraphFont"/>
    <w:rsid w:val="00940146"/>
  </w:style>
  <w:style w:type="character" w:customStyle="1" w:styleId="nlmarticle-title">
    <w:name w:val="nlm_article-title"/>
    <w:basedOn w:val="DefaultParagraphFont"/>
    <w:rsid w:val="00940146"/>
  </w:style>
  <w:style w:type="character" w:customStyle="1" w:styleId="nlmfpage">
    <w:name w:val="nlm_fpage"/>
    <w:basedOn w:val="DefaultParagraphFont"/>
    <w:rsid w:val="00940146"/>
  </w:style>
  <w:style w:type="character" w:customStyle="1" w:styleId="nlmlpage">
    <w:name w:val="nlm_lpage"/>
    <w:basedOn w:val="DefaultParagraphFont"/>
    <w:rsid w:val="00940146"/>
  </w:style>
  <w:style w:type="character" w:customStyle="1" w:styleId="nlmpublisher-loc">
    <w:name w:val="nlm_publisher-loc"/>
    <w:basedOn w:val="DefaultParagraphFont"/>
    <w:rsid w:val="00940146"/>
  </w:style>
  <w:style w:type="character" w:customStyle="1" w:styleId="nlmpublisher-name">
    <w:name w:val="nlm_publisher-name"/>
    <w:basedOn w:val="DefaultParagraphFont"/>
    <w:rsid w:val="00940146"/>
  </w:style>
  <w:style w:type="character" w:styleId="FootnoteReference">
    <w:name w:val="footnote reference"/>
    <w:basedOn w:val="DefaultParagraphFont"/>
    <w:uiPriority w:val="99"/>
    <w:semiHidden/>
    <w:unhideWhenUsed/>
    <w:rsid w:val="00B1186D"/>
    <w:rPr>
      <w:vertAlign w:val="superscript"/>
    </w:rPr>
  </w:style>
  <w:style w:type="character" w:styleId="UnresolvedMention">
    <w:name w:val="Unresolved Mention"/>
    <w:basedOn w:val="DefaultParagraphFont"/>
    <w:uiPriority w:val="99"/>
    <w:semiHidden/>
    <w:unhideWhenUsed/>
    <w:rsid w:val="003F2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6886">
      <w:bodyDiv w:val="1"/>
      <w:marLeft w:val="0"/>
      <w:marRight w:val="0"/>
      <w:marTop w:val="0"/>
      <w:marBottom w:val="0"/>
      <w:divBdr>
        <w:top w:val="none" w:sz="0" w:space="0" w:color="auto"/>
        <w:left w:val="none" w:sz="0" w:space="0" w:color="auto"/>
        <w:bottom w:val="none" w:sz="0" w:space="0" w:color="auto"/>
        <w:right w:val="none" w:sz="0" w:space="0" w:color="auto"/>
      </w:divBdr>
    </w:div>
    <w:div w:id="965698238">
      <w:bodyDiv w:val="1"/>
      <w:marLeft w:val="0"/>
      <w:marRight w:val="0"/>
      <w:marTop w:val="0"/>
      <w:marBottom w:val="0"/>
      <w:divBdr>
        <w:top w:val="none" w:sz="0" w:space="0" w:color="auto"/>
        <w:left w:val="none" w:sz="0" w:space="0" w:color="auto"/>
        <w:bottom w:val="none" w:sz="0" w:space="0" w:color="auto"/>
        <w:right w:val="none" w:sz="0" w:space="0" w:color="auto"/>
      </w:divBdr>
    </w:div>
    <w:div w:id="1025790816">
      <w:bodyDiv w:val="1"/>
      <w:marLeft w:val="0"/>
      <w:marRight w:val="0"/>
      <w:marTop w:val="0"/>
      <w:marBottom w:val="0"/>
      <w:divBdr>
        <w:top w:val="none" w:sz="0" w:space="0" w:color="auto"/>
        <w:left w:val="none" w:sz="0" w:space="0" w:color="auto"/>
        <w:bottom w:val="none" w:sz="0" w:space="0" w:color="auto"/>
        <w:right w:val="none" w:sz="0" w:space="0" w:color="auto"/>
      </w:divBdr>
    </w:div>
    <w:div w:id="1241793392">
      <w:bodyDiv w:val="1"/>
      <w:marLeft w:val="0"/>
      <w:marRight w:val="0"/>
      <w:marTop w:val="0"/>
      <w:marBottom w:val="0"/>
      <w:divBdr>
        <w:top w:val="none" w:sz="0" w:space="0" w:color="auto"/>
        <w:left w:val="none" w:sz="0" w:space="0" w:color="auto"/>
        <w:bottom w:val="none" w:sz="0" w:space="0" w:color="auto"/>
        <w:right w:val="none" w:sz="0" w:space="0" w:color="auto"/>
      </w:divBdr>
    </w:div>
    <w:div w:id="1360545786">
      <w:bodyDiv w:val="1"/>
      <w:marLeft w:val="0"/>
      <w:marRight w:val="0"/>
      <w:marTop w:val="0"/>
      <w:marBottom w:val="0"/>
      <w:divBdr>
        <w:top w:val="none" w:sz="0" w:space="0" w:color="auto"/>
        <w:left w:val="none" w:sz="0" w:space="0" w:color="auto"/>
        <w:bottom w:val="none" w:sz="0" w:space="0" w:color="auto"/>
        <w:right w:val="none" w:sz="0" w:space="0" w:color="auto"/>
      </w:divBdr>
    </w:div>
    <w:div w:id="1429349276">
      <w:bodyDiv w:val="1"/>
      <w:marLeft w:val="0"/>
      <w:marRight w:val="0"/>
      <w:marTop w:val="0"/>
      <w:marBottom w:val="0"/>
      <w:divBdr>
        <w:top w:val="none" w:sz="0" w:space="0" w:color="auto"/>
        <w:left w:val="none" w:sz="0" w:space="0" w:color="auto"/>
        <w:bottom w:val="none" w:sz="0" w:space="0" w:color="auto"/>
        <w:right w:val="none" w:sz="0" w:space="0" w:color="auto"/>
      </w:divBdr>
    </w:div>
    <w:div w:id="1433163565">
      <w:bodyDiv w:val="1"/>
      <w:marLeft w:val="0"/>
      <w:marRight w:val="0"/>
      <w:marTop w:val="0"/>
      <w:marBottom w:val="0"/>
      <w:divBdr>
        <w:top w:val="none" w:sz="0" w:space="0" w:color="auto"/>
        <w:left w:val="none" w:sz="0" w:space="0" w:color="auto"/>
        <w:bottom w:val="none" w:sz="0" w:space="0" w:color="auto"/>
        <w:right w:val="none" w:sz="0" w:space="0" w:color="auto"/>
      </w:divBdr>
      <w:divsChild>
        <w:div w:id="1011109243">
          <w:marLeft w:val="0"/>
          <w:marRight w:val="0"/>
          <w:marTop w:val="0"/>
          <w:marBottom w:val="0"/>
          <w:divBdr>
            <w:top w:val="none" w:sz="0" w:space="0" w:color="auto"/>
            <w:left w:val="none" w:sz="0" w:space="0" w:color="auto"/>
            <w:bottom w:val="none" w:sz="0" w:space="0" w:color="auto"/>
            <w:right w:val="none" w:sz="0" w:space="0" w:color="auto"/>
          </w:divBdr>
          <w:divsChild>
            <w:div w:id="267736108">
              <w:marLeft w:val="0"/>
              <w:marRight w:val="0"/>
              <w:marTop w:val="0"/>
              <w:marBottom w:val="0"/>
              <w:divBdr>
                <w:top w:val="none" w:sz="0" w:space="0" w:color="auto"/>
                <w:left w:val="none" w:sz="0" w:space="0" w:color="auto"/>
                <w:bottom w:val="none" w:sz="0" w:space="0" w:color="auto"/>
                <w:right w:val="none" w:sz="0" w:space="0" w:color="auto"/>
              </w:divBdr>
              <w:divsChild>
                <w:div w:id="1115950184">
                  <w:marLeft w:val="0"/>
                  <w:marRight w:val="0"/>
                  <w:marTop w:val="0"/>
                  <w:marBottom w:val="0"/>
                  <w:divBdr>
                    <w:top w:val="none" w:sz="0" w:space="0" w:color="auto"/>
                    <w:left w:val="none" w:sz="0" w:space="0" w:color="auto"/>
                    <w:bottom w:val="none" w:sz="0" w:space="0" w:color="auto"/>
                    <w:right w:val="none" w:sz="0" w:space="0" w:color="auto"/>
                  </w:divBdr>
                  <w:divsChild>
                    <w:div w:id="1314873246">
                      <w:marLeft w:val="0"/>
                      <w:marRight w:val="0"/>
                      <w:marTop w:val="0"/>
                      <w:marBottom w:val="0"/>
                      <w:divBdr>
                        <w:top w:val="none" w:sz="0" w:space="0" w:color="auto"/>
                        <w:left w:val="none" w:sz="0" w:space="0" w:color="auto"/>
                        <w:bottom w:val="none" w:sz="0" w:space="0" w:color="auto"/>
                        <w:right w:val="none" w:sz="0" w:space="0" w:color="auto"/>
                      </w:divBdr>
                      <w:divsChild>
                        <w:div w:id="2093115371">
                          <w:marLeft w:val="0"/>
                          <w:marRight w:val="0"/>
                          <w:marTop w:val="0"/>
                          <w:marBottom w:val="0"/>
                          <w:divBdr>
                            <w:top w:val="none" w:sz="0" w:space="0" w:color="auto"/>
                            <w:left w:val="none" w:sz="0" w:space="0" w:color="auto"/>
                            <w:bottom w:val="none" w:sz="0" w:space="0" w:color="auto"/>
                            <w:right w:val="none" w:sz="0" w:space="0" w:color="auto"/>
                          </w:divBdr>
                          <w:divsChild>
                            <w:div w:id="1195581779">
                              <w:marLeft w:val="0"/>
                              <w:marRight w:val="0"/>
                              <w:marTop w:val="0"/>
                              <w:marBottom w:val="0"/>
                              <w:divBdr>
                                <w:top w:val="none" w:sz="0" w:space="0" w:color="auto"/>
                                <w:left w:val="none" w:sz="0" w:space="0" w:color="auto"/>
                                <w:bottom w:val="none" w:sz="0" w:space="0" w:color="auto"/>
                                <w:right w:val="none" w:sz="0" w:space="0" w:color="auto"/>
                              </w:divBdr>
                              <w:divsChild>
                                <w:div w:id="18653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344159">
      <w:bodyDiv w:val="1"/>
      <w:marLeft w:val="0"/>
      <w:marRight w:val="0"/>
      <w:marTop w:val="0"/>
      <w:marBottom w:val="0"/>
      <w:divBdr>
        <w:top w:val="none" w:sz="0" w:space="0" w:color="auto"/>
        <w:left w:val="none" w:sz="0" w:space="0" w:color="auto"/>
        <w:bottom w:val="none" w:sz="0" w:space="0" w:color="auto"/>
        <w:right w:val="none" w:sz="0" w:space="0" w:color="auto"/>
      </w:divBdr>
    </w:div>
    <w:div w:id="1595632041">
      <w:bodyDiv w:val="1"/>
      <w:marLeft w:val="0"/>
      <w:marRight w:val="0"/>
      <w:marTop w:val="0"/>
      <w:marBottom w:val="0"/>
      <w:divBdr>
        <w:top w:val="none" w:sz="0" w:space="0" w:color="auto"/>
        <w:left w:val="none" w:sz="0" w:space="0" w:color="auto"/>
        <w:bottom w:val="none" w:sz="0" w:space="0" w:color="auto"/>
        <w:right w:val="none" w:sz="0" w:space="0" w:color="auto"/>
      </w:divBdr>
    </w:div>
    <w:div w:id="1641881771">
      <w:bodyDiv w:val="1"/>
      <w:marLeft w:val="0"/>
      <w:marRight w:val="0"/>
      <w:marTop w:val="0"/>
      <w:marBottom w:val="0"/>
      <w:divBdr>
        <w:top w:val="none" w:sz="0" w:space="0" w:color="auto"/>
        <w:left w:val="none" w:sz="0" w:space="0" w:color="auto"/>
        <w:bottom w:val="none" w:sz="0" w:space="0" w:color="auto"/>
        <w:right w:val="none" w:sz="0" w:space="0" w:color="auto"/>
      </w:divBdr>
    </w:div>
    <w:div w:id="1813986418">
      <w:bodyDiv w:val="1"/>
      <w:marLeft w:val="0"/>
      <w:marRight w:val="0"/>
      <w:marTop w:val="0"/>
      <w:marBottom w:val="0"/>
      <w:divBdr>
        <w:top w:val="none" w:sz="0" w:space="0" w:color="auto"/>
        <w:left w:val="none" w:sz="0" w:space="0" w:color="auto"/>
        <w:bottom w:val="none" w:sz="0" w:space="0" w:color="auto"/>
        <w:right w:val="none" w:sz="0" w:space="0" w:color="auto"/>
      </w:divBdr>
    </w:div>
    <w:div w:id="1855533064">
      <w:bodyDiv w:val="1"/>
      <w:marLeft w:val="0"/>
      <w:marRight w:val="0"/>
      <w:marTop w:val="0"/>
      <w:marBottom w:val="0"/>
      <w:divBdr>
        <w:top w:val="none" w:sz="0" w:space="0" w:color="auto"/>
        <w:left w:val="none" w:sz="0" w:space="0" w:color="auto"/>
        <w:bottom w:val="none" w:sz="0" w:space="0" w:color="auto"/>
        <w:right w:val="none" w:sz="0" w:space="0" w:color="auto"/>
      </w:divBdr>
    </w:div>
    <w:div w:id="2062358816">
      <w:bodyDiv w:val="1"/>
      <w:marLeft w:val="0"/>
      <w:marRight w:val="0"/>
      <w:marTop w:val="0"/>
      <w:marBottom w:val="0"/>
      <w:divBdr>
        <w:top w:val="none" w:sz="0" w:space="0" w:color="auto"/>
        <w:left w:val="none" w:sz="0" w:space="0" w:color="auto"/>
        <w:bottom w:val="none" w:sz="0" w:space="0" w:color="auto"/>
        <w:right w:val="none" w:sz="0" w:space="0" w:color="auto"/>
      </w:divBdr>
    </w:div>
    <w:div w:id="2072070529">
      <w:bodyDiv w:val="1"/>
      <w:marLeft w:val="0"/>
      <w:marRight w:val="0"/>
      <w:marTop w:val="0"/>
      <w:marBottom w:val="0"/>
      <w:divBdr>
        <w:top w:val="none" w:sz="0" w:space="0" w:color="auto"/>
        <w:left w:val="none" w:sz="0" w:space="0" w:color="auto"/>
        <w:bottom w:val="none" w:sz="0" w:space="0" w:color="auto"/>
        <w:right w:val="none" w:sz="0" w:space="0" w:color="auto"/>
      </w:divBdr>
    </w:div>
    <w:div w:id="21347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02831218800986" TargetMode="External"/><Relationship Id="rId13" Type="http://schemas.openxmlformats.org/officeDocument/2006/relationships/hyperlink" Target="https://doi.org/10.1080/08855072.1984.10668464"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77/08959048211049419"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penn.edu/gse_pubs/476"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fountasandpinnell.com/assess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62/edfp_a_00320"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gela.johnson\Dropbox\Elgin\drafts\JREE%20submission\R1\R1%20tables%20and%20figures\tables%20and%20figures%20v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gela.johnson\Dropbox\Elgin\drafts\JREE%20submission\R1\R1%20tables%20and%20figures\tables%20and%20figures%20v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Math</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'C:\Users\angela.johnson\Dropbox\Elgin\results\JREE R1\[math_dl_ndl_estimates_for_bar_graph.xlsx]DL vs nonDL graph'!$B$1</c:f>
              <c:strCache>
                <c:ptCount val="1"/>
                <c:pt idx="0">
                  <c:v>DL</c:v>
                </c:pt>
              </c:strCache>
            </c:strRef>
          </c:tx>
          <c:spPr>
            <a:solidFill>
              <a:srgbClr val="C00000"/>
            </a:solidFill>
            <a:ln>
              <a:noFill/>
            </a:ln>
            <a:effectLst/>
          </c:spPr>
          <c:invertIfNegative val="0"/>
          <c:errBars>
            <c:errBarType val="both"/>
            <c:errValType val="cust"/>
            <c:noEndCap val="1"/>
            <c:plus>
              <c:numRef>
                <c:f>'[1]DL vs nonDL graph'!$F$2:$F$14</c:f>
                <c:numCache>
                  <c:formatCode>General</c:formatCode>
                  <c:ptCount val="13"/>
                  <c:pt idx="0">
                    <c:v>0.120720908</c:v>
                  </c:pt>
                  <c:pt idx="1">
                    <c:v>0.22007017199999998</c:v>
                  </c:pt>
                  <c:pt idx="2">
                    <c:v>5.9150055999999999E-2</c:v>
                  </c:pt>
                  <c:pt idx="3">
                    <c:v>0.147074872</c:v>
                  </c:pt>
                  <c:pt idx="4">
                    <c:v>5.8029131999999997E-2</c:v>
                  </c:pt>
                  <c:pt idx="5">
                    <c:v>0.15030652</c:v>
                  </c:pt>
                  <c:pt idx="6">
                    <c:v>6.758236799999999E-2</c:v>
                  </c:pt>
                  <c:pt idx="7">
                    <c:v>0.16130819599999999</c:v>
                  </c:pt>
                  <c:pt idx="8">
                    <c:v>4.7257559999999997E-2</c:v>
                  </c:pt>
                  <c:pt idx="9">
                    <c:v>0.15570357600000001</c:v>
                  </c:pt>
                  <c:pt idx="10">
                    <c:v>3.3775896E-2</c:v>
                  </c:pt>
                  <c:pt idx="11">
                    <c:v>0.110570264</c:v>
                  </c:pt>
                  <c:pt idx="12">
                    <c:v>9.7075272000000004E-2</c:v>
                  </c:pt>
                </c:numCache>
              </c:numRef>
            </c:plus>
            <c:minus>
              <c:numRef>
                <c:f>'[1]DL vs nonDL graph'!$F$2:$F$14</c:f>
                <c:numCache>
                  <c:formatCode>General</c:formatCode>
                  <c:ptCount val="13"/>
                  <c:pt idx="0">
                    <c:v>0.120720908</c:v>
                  </c:pt>
                  <c:pt idx="1">
                    <c:v>0.22007017199999998</c:v>
                  </c:pt>
                  <c:pt idx="2">
                    <c:v>5.9150055999999999E-2</c:v>
                  </c:pt>
                  <c:pt idx="3">
                    <c:v>0.147074872</c:v>
                  </c:pt>
                  <c:pt idx="4">
                    <c:v>5.8029131999999997E-2</c:v>
                  </c:pt>
                  <c:pt idx="5">
                    <c:v>0.15030652</c:v>
                  </c:pt>
                  <c:pt idx="6">
                    <c:v>6.758236799999999E-2</c:v>
                  </c:pt>
                  <c:pt idx="7">
                    <c:v>0.16130819599999999</c:v>
                  </c:pt>
                  <c:pt idx="8">
                    <c:v>4.7257559999999997E-2</c:v>
                  </c:pt>
                  <c:pt idx="9">
                    <c:v>0.15570357600000001</c:v>
                  </c:pt>
                  <c:pt idx="10">
                    <c:v>3.3775896E-2</c:v>
                  </c:pt>
                  <c:pt idx="11">
                    <c:v>0.110570264</c:v>
                  </c:pt>
                  <c:pt idx="12">
                    <c:v>9.7075272000000004E-2</c:v>
                  </c:pt>
                </c:numCache>
              </c:numRef>
            </c:minus>
            <c:spPr>
              <a:noFill/>
              <a:ln w="9525" cap="flat" cmpd="sng" algn="ctr">
                <a:solidFill>
                  <a:schemeClr val="tx1">
                    <a:lumMod val="65000"/>
                    <a:lumOff val="35000"/>
                  </a:schemeClr>
                </a:solidFill>
                <a:round/>
              </a:ln>
              <a:effectLst/>
            </c:spPr>
          </c:errBars>
          <c:cat>
            <c:strRef>
              <c:f>'[1]DL vs nonDL graph'!$A$2:$A$14</c:f>
              <c:strCache>
                <c:ptCount val="13"/>
                <c:pt idx="0">
                  <c:v>y2</c:v>
                </c:pt>
                <c:pt idx="1">
                  <c:v>s2</c:v>
                </c:pt>
                <c:pt idx="2">
                  <c:v>y3</c:v>
                </c:pt>
                <c:pt idx="3">
                  <c:v>s3</c:v>
                </c:pt>
                <c:pt idx="4">
                  <c:v>y4</c:v>
                </c:pt>
                <c:pt idx="5">
                  <c:v>s4</c:v>
                </c:pt>
                <c:pt idx="6">
                  <c:v>y5</c:v>
                </c:pt>
                <c:pt idx="7">
                  <c:v>s5</c:v>
                </c:pt>
                <c:pt idx="8">
                  <c:v>y6</c:v>
                </c:pt>
                <c:pt idx="9">
                  <c:v>s6</c:v>
                </c:pt>
                <c:pt idx="10">
                  <c:v>y7</c:v>
                </c:pt>
                <c:pt idx="11">
                  <c:v>s7</c:v>
                </c:pt>
                <c:pt idx="12">
                  <c:v>y8</c:v>
                </c:pt>
              </c:strCache>
            </c:strRef>
          </c:cat>
          <c:val>
            <c:numRef>
              <c:f>'[1]DL vs nonDL graph'!$B$2:$B$14</c:f>
              <c:numCache>
                <c:formatCode>General</c:formatCode>
                <c:ptCount val="13"/>
                <c:pt idx="0">
                  <c:v>1.968734</c:v>
                </c:pt>
                <c:pt idx="1">
                  <c:v>-1.599105</c:v>
                </c:pt>
                <c:pt idx="2">
                  <c:v>1.6178060000000001</c:v>
                </c:pt>
                <c:pt idx="3">
                  <c:v>-1.4036120000000001</c:v>
                </c:pt>
                <c:pt idx="4">
                  <c:v>1.384587</c:v>
                </c:pt>
                <c:pt idx="5">
                  <c:v>-1.4020649999999999</c:v>
                </c:pt>
                <c:pt idx="6">
                  <c:v>1.173508</c:v>
                </c:pt>
                <c:pt idx="7">
                  <c:v>-2.04657</c:v>
                </c:pt>
                <c:pt idx="8">
                  <c:v>0.91248050000000003</c:v>
                </c:pt>
                <c:pt idx="9">
                  <c:v>-1.2666280000000001</c:v>
                </c:pt>
                <c:pt idx="10">
                  <c:v>0.55839209999999995</c:v>
                </c:pt>
                <c:pt idx="11">
                  <c:v>-0.26942169999999999</c:v>
                </c:pt>
                <c:pt idx="12">
                  <c:v>0.62965499999999996</c:v>
                </c:pt>
              </c:numCache>
            </c:numRef>
          </c:val>
          <c:extLst>
            <c:ext xmlns:c16="http://schemas.microsoft.com/office/drawing/2014/chart" uri="{C3380CC4-5D6E-409C-BE32-E72D297353CC}">
              <c16:uniqueId val="{00000000-41E3-410F-BBFE-7F29E5529022}"/>
            </c:ext>
          </c:extLst>
        </c:ser>
        <c:ser>
          <c:idx val="1"/>
          <c:order val="1"/>
          <c:tx>
            <c:strRef>
              <c:f>'C:\Users\angela.johnson\Dropbox\Elgin\results\JREE R1\[math_dl_ndl_estimates_for_bar_graph.xlsx]DL vs nonDL graph'!$C$1</c:f>
              <c:strCache>
                <c:ptCount val="1"/>
                <c:pt idx="0">
                  <c:v>non-DL</c:v>
                </c:pt>
              </c:strCache>
            </c:strRef>
          </c:tx>
          <c:spPr>
            <a:solidFill>
              <a:schemeClr val="bg1">
                <a:lumMod val="75000"/>
              </a:schemeClr>
            </a:solidFill>
            <a:ln>
              <a:noFill/>
            </a:ln>
            <a:effectLst/>
          </c:spPr>
          <c:invertIfNegative val="0"/>
          <c:errBars>
            <c:errBarType val="both"/>
            <c:errValType val="cust"/>
            <c:noEndCap val="1"/>
            <c:plus>
              <c:numRef>
                <c:f>'[1]DL vs nonDL graph'!$G$2:$G$14</c:f>
                <c:numCache>
                  <c:formatCode>General</c:formatCode>
                  <c:ptCount val="13"/>
                  <c:pt idx="0">
                    <c:v>6.5550239999999996E-2</c:v>
                  </c:pt>
                  <c:pt idx="1">
                    <c:v>0.206579492</c:v>
                  </c:pt>
                  <c:pt idx="2">
                    <c:v>6.3327207999999996E-2</c:v>
                  </c:pt>
                  <c:pt idx="3">
                    <c:v>0.18479252400000001</c:v>
                  </c:pt>
                  <c:pt idx="4">
                    <c:v>6.0250204000000002E-2</c:v>
                  </c:pt>
                  <c:pt idx="5">
                    <c:v>0.147344372</c:v>
                  </c:pt>
                  <c:pt idx="6">
                    <c:v>5.4636567999999996E-2</c:v>
                  </c:pt>
                  <c:pt idx="7">
                    <c:v>0.16104477199999997</c:v>
                  </c:pt>
                  <c:pt idx="8">
                    <c:v>5.7087744000000003E-2</c:v>
                  </c:pt>
                  <c:pt idx="9">
                    <c:v>0.15559224800000002</c:v>
                  </c:pt>
                  <c:pt idx="10">
                    <c:v>6.8669384E-2</c:v>
                  </c:pt>
                  <c:pt idx="11">
                    <c:v>0.17526261200000001</c:v>
                  </c:pt>
                  <c:pt idx="12">
                    <c:v>0.11923542399999999</c:v>
                  </c:pt>
                </c:numCache>
              </c:numRef>
            </c:plus>
            <c:minus>
              <c:numRef>
                <c:f>'[1]DL vs nonDL graph'!$G$2:$G$14</c:f>
                <c:numCache>
                  <c:formatCode>General</c:formatCode>
                  <c:ptCount val="13"/>
                  <c:pt idx="0">
                    <c:v>6.5550239999999996E-2</c:v>
                  </c:pt>
                  <c:pt idx="1">
                    <c:v>0.206579492</c:v>
                  </c:pt>
                  <c:pt idx="2">
                    <c:v>6.3327207999999996E-2</c:v>
                  </c:pt>
                  <c:pt idx="3">
                    <c:v>0.18479252400000001</c:v>
                  </c:pt>
                  <c:pt idx="4">
                    <c:v>6.0250204000000002E-2</c:v>
                  </c:pt>
                  <c:pt idx="5">
                    <c:v>0.147344372</c:v>
                  </c:pt>
                  <c:pt idx="6">
                    <c:v>5.4636567999999996E-2</c:v>
                  </c:pt>
                  <c:pt idx="7">
                    <c:v>0.16104477199999997</c:v>
                  </c:pt>
                  <c:pt idx="8">
                    <c:v>5.7087744000000003E-2</c:v>
                  </c:pt>
                  <c:pt idx="9">
                    <c:v>0.15559224800000002</c:v>
                  </c:pt>
                  <c:pt idx="10">
                    <c:v>6.8669384E-2</c:v>
                  </c:pt>
                  <c:pt idx="11">
                    <c:v>0.17526261200000001</c:v>
                  </c:pt>
                  <c:pt idx="12">
                    <c:v>0.11923542399999999</c:v>
                  </c:pt>
                </c:numCache>
              </c:numRef>
            </c:minus>
            <c:spPr>
              <a:noFill/>
              <a:ln w="9525" cap="flat" cmpd="sng" algn="ctr">
                <a:solidFill>
                  <a:schemeClr val="tx1">
                    <a:lumMod val="65000"/>
                    <a:lumOff val="35000"/>
                  </a:schemeClr>
                </a:solidFill>
                <a:round/>
              </a:ln>
              <a:effectLst/>
            </c:spPr>
          </c:errBars>
          <c:cat>
            <c:strRef>
              <c:f>'[1]DL vs nonDL graph'!$A$2:$A$14</c:f>
              <c:strCache>
                <c:ptCount val="13"/>
                <c:pt idx="0">
                  <c:v>y2</c:v>
                </c:pt>
                <c:pt idx="1">
                  <c:v>s2</c:v>
                </c:pt>
                <c:pt idx="2">
                  <c:v>y3</c:v>
                </c:pt>
                <c:pt idx="3">
                  <c:v>s3</c:v>
                </c:pt>
                <c:pt idx="4">
                  <c:v>y4</c:v>
                </c:pt>
                <c:pt idx="5">
                  <c:v>s4</c:v>
                </c:pt>
                <c:pt idx="6">
                  <c:v>y5</c:v>
                </c:pt>
                <c:pt idx="7">
                  <c:v>s5</c:v>
                </c:pt>
                <c:pt idx="8">
                  <c:v>y6</c:v>
                </c:pt>
                <c:pt idx="9">
                  <c:v>s6</c:v>
                </c:pt>
                <c:pt idx="10">
                  <c:v>y7</c:v>
                </c:pt>
                <c:pt idx="11">
                  <c:v>s7</c:v>
                </c:pt>
                <c:pt idx="12">
                  <c:v>y8</c:v>
                </c:pt>
              </c:strCache>
            </c:strRef>
          </c:cat>
          <c:val>
            <c:numRef>
              <c:f>'[1]DL vs nonDL graph'!$C$2:$C$14</c:f>
              <c:numCache>
                <c:formatCode>General</c:formatCode>
                <c:ptCount val="13"/>
                <c:pt idx="0">
                  <c:v>1.7845569999999999</c:v>
                </c:pt>
                <c:pt idx="1">
                  <c:v>-0.47230329999999998</c:v>
                </c:pt>
                <c:pt idx="2">
                  <c:v>1.4385950000000001</c:v>
                </c:pt>
                <c:pt idx="3">
                  <c:v>-0.86313850000000003</c:v>
                </c:pt>
                <c:pt idx="4">
                  <c:v>1.122878</c:v>
                </c:pt>
                <c:pt idx="5">
                  <c:v>-0.75191640000000004</c:v>
                </c:pt>
                <c:pt idx="6">
                  <c:v>0.88964160000000003</c:v>
                </c:pt>
                <c:pt idx="7">
                  <c:v>-1.428393</c:v>
                </c:pt>
                <c:pt idx="8">
                  <c:v>0.87707550000000001</c:v>
                </c:pt>
                <c:pt idx="9">
                  <c:v>-0.96323259999999999</c:v>
                </c:pt>
                <c:pt idx="10">
                  <c:v>0.61332929999999997</c:v>
                </c:pt>
                <c:pt idx="11">
                  <c:v>-0.41697099999999998</c:v>
                </c:pt>
                <c:pt idx="12">
                  <c:v>0.73586949999999995</c:v>
                </c:pt>
              </c:numCache>
            </c:numRef>
          </c:val>
          <c:extLst>
            <c:ext xmlns:c16="http://schemas.microsoft.com/office/drawing/2014/chart" uri="{C3380CC4-5D6E-409C-BE32-E72D297353CC}">
              <c16:uniqueId val="{00000001-41E3-410F-BBFE-7F29E5529022}"/>
            </c:ext>
          </c:extLst>
        </c:ser>
        <c:ser>
          <c:idx val="2"/>
          <c:order val="2"/>
          <c:tx>
            <c:v>nation</c:v>
          </c:tx>
          <c:spPr>
            <a:solidFill>
              <a:schemeClr val="accent5"/>
            </a:solidFill>
            <a:ln>
              <a:noFill/>
            </a:ln>
            <a:effectLst/>
          </c:spPr>
          <c:invertIfNegative val="0"/>
          <c:val>
            <c:numRef>
              <c:f>'[1]DL vs nonDL graph'!$I$2:$I$14</c:f>
              <c:numCache>
                <c:formatCode>General</c:formatCode>
                <c:ptCount val="13"/>
                <c:pt idx="0">
                  <c:v>1.7819079133192386</c:v>
                </c:pt>
                <c:pt idx="1">
                  <c:v>-0.94178964226415096</c:v>
                </c:pt>
                <c:pt idx="2">
                  <c:v>1.4144138744186046</c:v>
                </c:pt>
                <c:pt idx="3">
                  <c:v>-1.1306149494339623</c:v>
                </c:pt>
                <c:pt idx="4">
                  <c:v>1.0977469044397461</c:v>
                </c:pt>
                <c:pt idx="5">
                  <c:v>-0.7833291773584905</c:v>
                </c:pt>
                <c:pt idx="6">
                  <c:v>0.87502579492600419</c:v>
                </c:pt>
                <c:pt idx="7">
                  <c:v>-0.83864756075471691</c:v>
                </c:pt>
                <c:pt idx="8">
                  <c:v>0.6992842004228329</c:v>
                </c:pt>
                <c:pt idx="9">
                  <c:v>-0.32523240452830149</c:v>
                </c:pt>
                <c:pt idx="10">
                  <c:v>0.56006882367864685</c:v>
                </c:pt>
                <c:pt idx="11">
                  <c:v>-0.18772910188679248</c:v>
                </c:pt>
                <c:pt idx="12">
                  <c:v>0.49156465327695553</c:v>
                </c:pt>
              </c:numCache>
            </c:numRef>
          </c:val>
          <c:extLst>
            <c:ext xmlns:c16="http://schemas.microsoft.com/office/drawing/2014/chart" uri="{C3380CC4-5D6E-409C-BE32-E72D297353CC}">
              <c16:uniqueId val="{00000002-41E3-410F-BBFE-7F29E5529022}"/>
            </c:ext>
          </c:extLst>
        </c:ser>
        <c:dLbls>
          <c:showLegendKey val="0"/>
          <c:showVal val="0"/>
          <c:showCatName val="0"/>
          <c:showSerName val="0"/>
          <c:showPercent val="0"/>
          <c:showBubbleSize val="0"/>
        </c:dLbls>
        <c:gapWidth val="219"/>
        <c:overlap val="-27"/>
        <c:axId val="356506816"/>
        <c:axId val="356502880"/>
      </c:barChart>
      <c:catAx>
        <c:axId val="356506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Academic</a:t>
                </a:r>
                <a:r>
                  <a:rPr lang="en-US" baseline="0"/>
                  <a:t> Years and Summers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502880"/>
        <c:crosses val="autoZero"/>
        <c:auto val="1"/>
        <c:lblAlgn val="ctr"/>
        <c:lblOffset val="100"/>
        <c:noMultiLvlLbl val="0"/>
      </c:catAx>
      <c:valAx>
        <c:axId val="356502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RIT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50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'C:\Users\angela.johnson\Dropbox\Elgin\results\JREE R1\[reading_dl_ndl_estimates_for_bar_graph.xlsx]DL vs nonDL graph'!$B$1</c:f>
              <c:strCache>
                <c:ptCount val="1"/>
                <c:pt idx="0">
                  <c:v>DL</c:v>
                </c:pt>
              </c:strCache>
            </c:strRef>
          </c:tx>
          <c:spPr>
            <a:solidFill>
              <a:srgbClr val="C00000"/>
            </a:solidFill>
            <a:ln>
              <a:noFill/>
            </a:ln>
            <a:effectLst/>
          </c:spPr>
          <c:invertIfNegative val="0"/>
          <c:errBars>
            <c:errBarType val="both"/>
            <c:errValType val="cust"/>
            <c:noEndCap val="1"/>
            <c:plus>
              <c:numRef>
                <c:f>'[2]DL vs nonDL graph'!$F$2:$F$14</c:f>
                <c:numCache>
                  <c:formatCode>General</c:formatCode>
                  <c:ptCount val="13"/>
                  <c:pt idx="0">
                    <c:v>7.4636995999999997E-2</c:v>
                  </c:pt>
                  <c:pt idx="1">
                    <c:v>0.12832512000000001</c:v>
                  </c:pt>
                  <c:pt idx="2">
                    <c:v>5.7614591999999999E-2</c:v>
                  </c:pt>
                  <c:pt idx="3">
                    <c:v>0.16459021599999998</c:v>
                  </c:pt>
                  <c:pt idx="4">
                    <c:v>5.1170307999999998E-2</c:v>
                  </c:pt>
                  <c:pt idx="5">
                    <c:v>0.13970527199999999</c:v>
                  </c:pt>
                  <c:pt idx="6">
                    <c:v>5.2466260000000001E-2</c:v>
                  </c:pt>
                  <c:pt idx="7">
                    <c:v>0.13912903199999999</c:v>
                  </c:pt>
                  <c:pt idx="8">
                    <c:v>4.356198E-2</c:v>
                  </c:pt>
                  <c:pt idx="9">
                    <c:v>0.179813536</c:v>
                  </c:pt>
                  <c:pt idx="10">
                    <c:v>4.6824596000000003E-2</c:v>
                  </c:pt>
                  <c:pt idx="11">
                    <c:v>0.13569883600000002</c:v>
                  </c:pt>
                  <c:pt idx="12">
                    <c:v>0.14931887600000002</c:v>
                  </c:pt>
                </c:numCache>
              </c:numRef>
            </c:plus>
            <c:minus>
              <c:numRef>
                <c:f>'[2]DL vs nonDL graph'!$F$2:$F$14</c:f>
                <c:numCache>
                  <c:formatCode>General</c:formatCode>
                  <c:ptCount val="13"/>
                  <c:pt idx="0">
                    <c:v>7.4636995999999997E-2</c:v>
                  </c:pt>
                  <c:pt idx="1">
                    <c:v>0.12832512000000001</c:v>
                  </c:pt>
                  <c:pt idx="2">
                    <c:v>5.7614591999999999E-2</c:v>
                  </c:pt>
                  <c:pt idx="3">
                    <c:v>0.16459021599999998</c:v>
                  </c:pt>
                  <c:pt idx="4">
                    <c:v>5.1170307999999998E-2</c:v>
                  </c:pt>
                  <c:pt idx="5">
                    <c:v>0.13970527199999999</c:v>
                  </c:pt>
                  <c:pt idx="6">
                    <c:v>5.2466260000000001E-2</c:v>
                  </c:pt>
                  <c:pt idx="7">
                    <c:v>0.13912903199999999</c:v>
                  </c:pt>
                  <c:pt idx="8">
                    <c:v>4.356198E-2</c:v>
                  </c:pt>
                  <c:pt idx="9">
                    <c:v>0.179813536</c:v>
                  </c:pt>
                  <c:pt idx="10">
                    <c:v>4.6824596000000003E-2</c:v>
                  </c:pt>
                  <c:pt idx="11">
                    <c:v>0.13569883600000002</c:v>
                  </c:pt>
                  <c:pt idx="12">
                    <c:v>0.14931887600000002</c:v>
                  </c:pt>
                </c:numCache>
              </c:numRef>
            </c:minus>
            <c:spPr>
              <a:noFill/>
              <a:ln w="9525" cap="flat" cmpd="sng" algn="ctr">
                <a:solidFill>
                  <a:schemeClr val="tx1">
                    <a:lumMod val="65000"/>
                    <a:lumOff val="35000"/>
                  </a:schemeClr>
                </a:solidFill>
                <a:round/>
              </a:ln>
              <a:effectLst/>
            </c:spPr>
          </c:errBars>
          <c:cat>
            <c:strRef>
              <c:f>'[2]DL vs nonDL graph'!$A$2:$A$14</c:f>
              <c:strCache>
                <c:ptCount val="13"/>
                <c:pt idx="0">
                  <c:v>y2</c:v>
                </c:pt>
                <c:pt idx="1">
                  <c:v>s2</c:v>
                </c:pt>
                <c:pt idx="2">
                  <c:v>y3</c:v>
                </c:pt>
                <c:pt idx="3">
                  <c:v>s3</c:v>
                </c:pt>
                <c:pt idx="4">
                  <c:v>y4</c:v>
                </c:pt>
                <c:pt idx="5">
                  <c:v>s4</c:v>
                </c:pt>
                <c:pt idx="6">
                  <c:v>y5</c:v>
                </c:pt>
                <c:pt idx="7">
                  <c:v>s5</c:v>
                </c:pt>
                <c:pt idx="8">
                  <c:v>y6</c:v>
                </c:pt>
                <c:pt idx="9">
                  <c:v>s6</c:v>
                </c:pt>
                <c:pt idx="10">
                  <c:v>y7</c:v>
                </c:pt>
                <c:pt idx="11">
                  <c:v>s7</c:v>
                </c:pt>
                <c:pt idx="12">
                  <c:v>y8</c:v>
                </c:pt>
              </c:strCache>
            </c:strRef>
          </c:cat>
          <c:val>
            <c:numRef>
              <c:f>'[2]DL vs nonDL graph'!$B$2:$B$14</c:f>
              <c:numCache>
                <c:formatCode>General</c:formatCode>
                <c:ptCount val="13"/>
                <c:pt idx="0">
                  <c:v>1.9261919999999999</c:v>
                </c:pt>
                <c:pt idx="1">
                  <c:v>-0.47184700000000002</c:v>
                </c:pt>
                <c:pt idx="2">
                  <c:v>1.206088</c:v>
                </c:pt>
                <c:pt idx="3">
                  <c:v>-7.5172699999999995E-2</c:v>
                </c:pt>
                <c:pt idx="4">
                  <c:v>0.92401929999999999</c:v>
                </c:pt>
                <c:pt idx="5">
                  <c:v>-6.5589499999999995E-2</c:v>
                </c:pt>
                <c:pt idx="6">
                  <c:v>0.70267389999999996</c:v>
                </c:pt>
                <c:pt idx="7">
                  <c:v>0.19869439999999999</c:v>
                </c:pt>
                <c:pt idx="8">
                  <c:v>0.53279989999999999</c:v>
                </c:pt>
                <c:pt idx="9">
                  <c:v>-0.3580758</c:v>
                </c:pt>
                <c:pt idx="10">
                  <c:v>0.40045720000000001</c:v>
                </c:pt>
                <c:pt idx="11">
                  <c:v>-1.6207699999999998E-2</c:v>
                </c:pt>
                <c:pt idx="12">
                  <c:v>0.74552879999999999</c:v>
                </c:pt>
              </c:numCache>
            </c:numRef>
          </c:val>
          <c:extLst>
            <c:ext xmlns:c16="http://schemas.microsoft.com/office/drawing/2014/chart" uri="{C3380CC4-5D6E-409C-BE32-E72D297353CC}">
              <c16:uniqueId val="{00000000-E32B-4317-8A7C-E6F49406719C}"/>
            </c:ext>
          </c:extLst>
        </c:ser>
        <c:ser>
          <c:idx val="1"/>
          <c:order val="1"/>
          <c:tx>
            <c:strRef>
              <c:f>'C:\Users\angela.johnson\Dropbox\Elgin\results\JREE R1\[reading_dl_ndl_estimates_for_bar_graph.xlsx]DL vs nonDL graph'!$C$1</c:f>
              <c:strCache>
                <c:ptCount val="1"/>
                <c:pt idx="0">
                  <c:v>non-DL</c:v>
                </c:pt>
              </c:strCache>
            </c:strRef>
          </c:tx>
          <c:spPr>
            <a:solidFill>
              <a:schemeClr val="bg1">
                <a:lumMod val="75000"/>
              </a:schemeClr>
            </a:solidFill>
            <a:ln>
              <a:noFill/>
            </a:ln>
            <a:effectLst/>
          </c:spPr>
          <c:invertIfNegative val="0"/>
          <c:errBars>
            <c:errBarType val="both"/>
            <c:errValType val="cust"/>
            <c:noEndCap val="1"/>
            <c:plus>
              <c:numRef>
                <c:f>'[2]DL vs nonDL graph'!$G$2:$G$14</c:f>
                <c:numCache>
                  <c:formatCode>General</c:formatCode>
                  <c:ptCount val="13"/>
                  <c:pt idx="0">
                    <c:v>5.3498199999999996E-2</c:v>
                  </c:pt>
                  <c:pt idx="1">
                    <c:v>0.17158231999999998</c:v>
                  </c:pt>
                  <c:pt idx="2">
                    <c:v>6.2286055999999992E-2</c:v>
                  </c:pt>
                  <c:pt idx="3">
                    <c:v>0.18409927200000001</c:v>
                  </c:pt>
                  <c:pt idx="4">
                    <c:v>4.8187384E-2</c:v>
                  </c:pt>
                  <c:pt idx="5">
                    <c:v>0.16713802</c:v>
                  </c:pt>
                  <c:pt idx="6">
                    <c:v>6.0533816000000004E-2</c:v>
                  </c:pt>
                  <c:pt idx="7">
                    <c:v>0.18660787600000001</c:v>
                  </c:pt>
                  <c:pt idx="8">
                    <c:v>4.5866939999999995E-2</c:v>
                  </c:pt>
                  <c:pt idx="9">
                    <c:v>0.126429604</c:v>
                  </c:pt>
                  <c:pt idx="10">
                    <c:v>5.0022923999999996E-2</c:v>
                  </c:pt>
                  <c:pt idx="11">
                    <c:v>0.19849586399999999</c:v>
                  </c:pt>
                  <c:pt idx="12">
                    <c:v>0.156142224</c:v>
                  </c:pt>
                </c:numCache>
              </c:numRef>
            </c:plus>
            <c:minus>
              <c:numRef>
                <c:f>'[2]DL vs nonDL graph'!$G$2:$G$14</c:f>
                <c:numCache>
                  <c:formatCode>General</c:formatCode>
                  <c:ptCount val="13"/>
                  <c:pt idx="0">
                    <c:v>5.3498199999999996E-2</c:v>
                  </c:pt>
                  <c:pt idx="1">
                    <c:v>0.17158231999999998</c:v>
                  </c:pt>
                  <c:pt idx="2">
                    <c:v>6.2286055999999992E-2</c:v>
                  </c:pt>
                  <c:pt idx="3">
                    <c:v>0.18409927200000001</c:v>
                  </c:pt>
                  <c:pt idx="4">
                    <c:v>4.8187384E-2</c:v>
                  </c:pt>
                  <c:pt idx="5">
                    <c:v>0.16713802</c:v>
                  </c:pt>
                  <c:pt idx="6">
                    <c:v>6.0533816000000004E-2</c:v>
                  </c:pt>
                  <c:pt idx="7">
                    <c:v>0.18660787600000001</c:v>
                  </c:pt>
                  <c:pt idx="8">
                    <c:v>4.5866939999999995E-2</c:v>
                  </c:pt>
                  <c:pt idx="9">
                    <c:v>0.126429604</c:v>
                  </c:pt>
                  <c:pt idx="10">
                    <c:v>5.0022923999999996E-2</c:v>
                  </c:pt>
                  <c:pt idx="11">
                    <c:v>0.19849586399999999</c:v>
                  </c:pt>
                  <c:pt idx="12">
                    <c:v>0.156142224</c:v>
                  </c:pt>
                </c:numCache>
              </c:numRef>
            </c:minus>
            <c:spPr>
              <a:noFill/>
              <a:ln w="9525" cap="flat" cmpd="sng" algn="ctr">
                <a:solidFill>
                  <a:schemeClr val="tx1">
                    <a:lumMod val="65000"/>
                    <a:lumOff val="35000"/>
                  </a:schemeClr>
                </a:solidFill>
                <a:round/>
              </a:ln>
              <a:effectLst/>
            </c:spPr>
          </c:errBars>
          <c:cat>
            <c:strRef>
              <c:f>'[2]DL vs nonDL graph'!$A$2:$A$14</c:f>
              <c:strCache>
                <c:ptCount val="13"/>
                <c:pt idx="0">
                  <c:v>y2</c:v>
                </c:pt>
                <c:pt idx="1">
                  <c:v>s2</c:v>
                </c:pt>
                <c:pt idx="2">
                  <c:v>y3</c:v>
                </c:pt>
                <c:pt idx="3">
                  <c:v>s3</c:v>
                </c:pt>
                <c:pt idx="4">
                  <c:v>y4</c:v>
                </c:pt>
                <c:pt idx="5">
                  <c:v>s4</c:v>
                </c:pt>
                <c:pt idx="6">
                  <c:v>y5</c:v>
                </c:pt>
                <c:pt idx="7">
                  <c:v>s5</c:v>
                </c:pt>
                <c:pt idx="8">
                  <c:v>y6</c:v>
                </c:pt>
                <c:pt idx="9">
                  <c:v>s6</c:v>
                </c:pt>
                <c:pt idx="10">
                  <c:v>y7</c:v>
                </c:pt>
                <c:pt idx="11">
                  <c:v>s7</c:v>
                </c:pt>
                <c:pt idx="12">
                  <c:v>y8</c:v>
                </c:pt>
              </c:strCache>
            </c:strRef>
          </c:cat>
          <c:val>
            <c:numRef>
              <c:f>'[2]DL vs nonDL graph'!$C$2:$C$14</c:f>
              <c:numCache>
                <c:formatCode>General</c:formatCode>
                <c:ptCount val="13"/>
                <c:pt idx="0">
                  <c:v>1.833242</c:v>
                </c:pt>
                <c:pt idx="1">
                  <c:v>-0.15929960000000001</c:v>
                </c:pt>
                <c:pt idx="2">
                  <c:v>1.1454709999999999</c:v>
                </c:pt>
                <c:pt idx="3">
                  <c:v>-0.13134299999999999</c:v>
                </c:pt>
                <c:pt idx="4">
                  <c:v>0.83703760000000005</c:v>
                </c:pt>
                <c:pt idx="5">
                  <c:v>-0.17078389999999999</c:v>
                </c:pt>
                <c:pt idx="6">
                  <c:v>0.6121432</c:v>
                </c:pt>
                <c:pt idx="7">
                  <c:v>0.2482076</c:v>
                </c:pt>
                <c:pt idx="8">
                  <c:v>0.48899749999999997</c:v>
                </c:pt>
                <c:pt idx="9">
                  <c:v>-0.36817739999999999</c:v>
                </c:pt>
                <c:pt idx="10">
                  <c:v>0.316556</c:v>
                </c:pt>
                <c:pt idx="11">
                  <c:v>0.2282343</c:v>
                </c:pt>
                <c:pt idx="12">
                  <c:v>0.65158649999999996</c:v>
                </c:pt>
              </c:numCache>
            </c:numRef>
          </c:val>
          <c:extLst>
            <c:ext xmlns:c16="http://schemas.microsoft.com/office/drawing/2014/chart" uri="{C3380CC4-5D6E-409C-BE32-E72D297353CC}">
              <c16:uniqueId val="{00000001-E32B-4317-8A7C-E6F49406719C}"/>
            </c:ext>
          </c:extLst>
        </c:ser>
        <c:ser>
          <c:idx val="2"/>
          <c:order val="2"/>
          <c:tx>
            <c:v>nation</c:v>
          </c:tx>
          <c:spPr>
            <a:solidFill>
              <a:schemeClr val="accent5"/>
            </a:solidFill>
            <a:ln>
              <a:noFill/>
            </a:ln>
            <a:effectLst/>
          </c:spPr>
          <c:invertIfNegative val="0"/>
          <c:val>
            <c:numRef>
              <c:f>'[2]DL vs nonDL graph'!$I$2:$I$14</c:f>
              <c:numCache>
                <c:formatCode>General</c:formatCode>
                <c:ptCount val="13"/>
                <c:pt idx="0">
                  <c:v>1.7819079133192386</c:v>
                </c:pt>
                <c:pt idx="1">
                  <c:v>-0.94178964226415096</c:v>
                </c:pt>
                <c:pt idx="2">
                  <c:v>1.4144138744186046</c:v>
                </c:pt>
                <c:pt idx="3">
                  <c:v>-1.1306149494339623</c:v>
                </c:pt>
                <c:pt idx="4">
                  <c:v>1.0977469044397461</c:v>
                </c:pt>
                <c:pt idx="5">
                  <c:v>-0.7833291773584905</c:v>
                </c:pt>
                <c:pt idx="6">
                  <c:v>0.87502579492600419</c:v>
                </c:pt>
                <c:pt idx="7">
                  <c:v>-0.83864756075471691</c:v>
                </c:pt>
                <c:pt idx="8">
                  <c:v>0.6992842004228329</c:v>
                </c:pt>
                <c:pt idx="9">
                  <c:v>-0.32523240452830149</c:v>
                </c:pt>
                <c:pt idx="10">
                  <c:v>0.56006882367864685</c:v>
                </c:pt>
                <c:pt idx="11">
                  <c:v>-0.18772910188679248</c:v>
                </c:pt>
                <c:pt idx="12">
                  <c:v>0.49156465327695553</c:v>
                </c:pt>
              </c:numCache>
            </c:numRef>
          </c:val>
          <c:extLst>
            <c:ext xmlns:c16="http://schemas.microsoft.com/office/drawing/2014/chart" uri="{C3380CC4-5D6E-409C-BE32-E72D297353CC}">
              <c16:uniqueId val="{00000002-E32B-4317-8A7C-E6F49406719C}"/>
            </c:ext>
          </c:extLst>
        </c:ser>
        <c:dLbls>
          <c:showLegendKey val="0"/>
          <c:showVal val="0"/>
          <c:showCatName val="0"/>
          <c:showSerName val="0"/>
          <c:showPercent val="0"/>
          <c:showBubbleSize val="0"/>
        </c:dLbls>
        <c:gapWidth val="219"/>
        <c:overlap val="-27"/>
        <c:axId val="356506816"/>
        <c:axId val="356502880"/>
      </c:barChart>
      <c:catAx>
        <c:axId val="356506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Academic</a:t>
                </a:r>
                <a:r>
                  <a:rPr lang="en-US" baseline="0"/>
                  <a:t> Years and Summers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502880"/>
        <c:crosses val="autoZero"/>
        <c:auto val="1"/>
        <c:lblAlgn val="ctr"/>
        <c:lblOffset val="100"/>
        <c:noMultiLvlLbl val="0"/>
      </c:catAx>
      <c:valAx>
        <c:axId val="356502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RIT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50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AC9C-7D5A-4DAA-BA2F-C2F4E4E5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12767</Words>
  <Characters>72775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2024-03-06T15:44:00Z</dcterms:created>
  <dcterms:modified xsi:type="dcterms:W3CDTF">2024-04-13T19:57:00Z</dcterms:modified>
  <cp:category/>
</cp:coreProperties>
</file>