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9AF6" w14:textId="3BA60CBA" w:rsidR="00B403EA" w:rsidRDefault="00B403EA" w:rsidP="00B403EA">
      <w:pPr>
        <w:spacing w:line="480" w:lineRule="auto"/>
        <w:jc w:val="center"/>
        <w:rPr>
          <w:b/>
        </w:rPr>
      </w:pPr>
      <w:r w:rsidRPr="0046475B">
        <w:rPr>
          <w:b/>
        </w:rPr>
        <w:t>The Effects of Early College Opportunities on English Learners</w:t>
      </w:r>
    </w:p>
    <w:p w14:paraId="6C43005A" w14:textId="214785B4" w:rsidR="000625E0" w:rsidRPr="000625E0" w:rsidRDefault="000625E0" w:rsidP="000625E0">
      <w:pPr>
        <w:jc w:val="center"/>
        <w:rPr>
          <w:bCs/>
        </w:rPr>
      </w:pPr>
      <w:r w:rsidRPr="000625E0">
        <w:rPr>
          <w:bCs/>
        </w:rPr>
        <w:t>Angela Johnson</w:t>
      </w:r>
      <w:r w:rsidRPr="000625E0">
        <w:rPr>
          <w:bCs/>
        </w:rPr>
        <w:tab/>
      </w:r>
      <w:r w:rsidRPr="000625E0">
        <w:rPr>
          <w:bCs/>
        </w:rPr>
        <w:tab/>
        <w:t>Diana Mercado-Garcia</w:t>
      </w:r>
    </w:p>
    <w:p w14:paraId="4FE10595" w14:textId="290239EA" w:rsidR="000625E0" w:rsidRPr="000625E0" w:rsidRDefault="000625E0" w:rsidP="000625E0">
      <w:pPr>
        <w:rPr>
          <w:bCs/>
        </w:rPr>
      </w:pPr>
      <w:r w:rsidRPr="000625E0">
        <w:rPr>
          <w:bCs/>
        </w:rPr>
        <w:tab/>
      </w:r>
      <w:r w:rsidRPr="000625E0">
        <w:rPr>
          <w:bCs/>
        </w:rPr>
        <w:tab/>
      </w:r>
      <w:r w:rsidRPr="000625E0">
        <w:rPr>
          <w:bCs/>
        </w:rPr>
        <w:tab/>
      </w:r>
      <w:r>
        <w:rPr>
          <w:bCs/>
        </w:rPr>
        <w:t xml:space="preserve">   </w:t>
      </w:r>
      <w:r w:rsidRPr="000625E0">
        <w:rPr>
          <w:bCs/>
        </w:rPr>
        <w:t>NWEA</w:t>
      </w:r>
      <w:r w:rsidRPr="000625E0">
        <w:rPr>
          <w:bCs/>
        </w:rPr>
        <w:tab/>
      </w:r>
      <w:proofErr w:type="gramStart"/>
      <w:r w:rsidRPr="000625E0">
        <w:rPr>
          <w:bCs/>
        </w:rPr>
        <w:tab/>
        <w:t xml:space="preserve">  University</w:t>
      </w:r>
      <w:proofErr w:type="gramEnd"/>
      <w:r w:rsidRPr="000625E0">
        <w:rPr>
          <w:bCs/>
        </w:rPr>
        <w:t xml:space="preserve"> of California, San Diego</w:t>
      </w:r>
    </w:p>
    <w:p w14:paraId="3D991D0D" w14:textId="77777777" w:rsidR="000625E0" w:rsidRPr="0046475B" w:rsidRDefault="000625E0" w:rsidP="000625E0">
      <w:pPr>
        <w:rPr>
          <w:b/>
        </w:rPr>
      </w:pPr>
    </w:p>
    <w:p w14:paraId="0BCC9F0F" w14:textId="2075894A" w:rsidR="000625E0" w:rsidRDefault="000625E0" w:rsidP="000625E0">
      <w:pPr>
        <w:rPr>
          <w:color w:val="000000" w:themeColor="text1"/>
        </w:rPr>
      </w:pPr>
      <w:r>
        <w:rPr>
          <w:color w:val="000000" w:themeColor="text1"/>
        </w:rPr>
        <w:t xml:space="preserve">Abstract </w:t>
      </w:r>
    </w:p>
    <w:p w14:paraId="43FEB1CE" w14:textId="77777777" w:rsidR="000625E0" w:rsidRDefault="000625E0" w:rsidP="000625E0">
      <w:pPr>
        <w:ind w:firstLine="720"/>
      </w:pPr>
    </w:p>
    <w:p w14:paraId="1CF7FDE3" w14:textId="77777777" w:rsidR="000625E0" w:rsidRDefault="000625E0" w:rsidP="000625E0">
      <w:pPr>
        <w:ind w:firstLine="720"/>
      </w:pPr>
      <w:r w:rsidRPr="004329D7">
        <w:t xml:space="preserve">Research shows that Early College high schools have a significant impact on high school and college outcomes for students from low income and racial/ethnic minority backgrounds, but how similar opportunities extend to English Learners (ELs) remains unknown. We examine a program that offers Early College opportunities in high schools serving large EL populations in California. Leveraging an exogenous policy change and rich administrative records, we look at the outcomes of pre- and post-program cohorts of ELs (N=15,090) in treated and untreated high schools. We find large, significant </w:t>
      </w:r>
      <w:r>
        <w:t>estimated effects</w:t>
      </w:r>
      <w:r w:rsidRPr="004329D7">
        <w:t xml:space="preserve"> on college credits earned in 12th grade but no effect on immediate college attendance after high school. The probability of attending a four-year college decreased.</w:t>
      </w:r>
    </w:p>
    <w:p w14:paraId="09F80B0D" w14:textId="70D39CF7" w:rsidR="000625E0" w:rsidRDefault="000625E0">
      <w:pPr>
        <w:spacing w:after="160" w:line="259" w:lineRule="auto"/>
      </w:pPr>
    </w:p>
    <w:p w14:paraId="540284FC" w14:textId="77777777" w:rsidR="000625E0" w:rsidRDefault="000625E0" w:rsidP="000625E0">
      <w:r>
        <w:t>Acknowledgements</w:t>
      </w:r>
    </w:p>
    <w:p w14:paraId="7FB4986D" w14:textId="77777777" w:rsidR="000625E0" w:rsidRDefault="000625E0" w:rsidP="000625E0"/>
    <w:p w14:paraId="4E48887B" w14:textId="77777777" w:rsidR="000625E0" w:rsidRDefault="000625E0" w:rsidP="000625E0">
      <w:r>
        <w:tab/>
        <w:t xml:space="preserve">This research is funded by the Stanford Graduate School of Education Incentive Funds, the Stanford Diversity Dissertation Research Opportunity, the Stanford Enhancing Diversity in Graduate Education Fellowship, and the Stanford Haas Center for Public Service Education Partnerships Small Grant. We are grateful for continued support from the anonymous district and helpful feedback from Eric Bettinger, Tom Dee, Mark Murphy, participants of the Center for Education Policy Analysis Seminar and the Association for Public Policy Analysis and Management and AERA Conferences. </w:t>
      </w:r>
    </w:p>
    <w:p w14:paraId="4FA8AC53" w14:textId="77777777" w:rsidR="000625E0" w:rsidRDefault="000625E0" w:rsidP="000625E0"/>
    <w:p w14:paraId="77041D2D" w14:textId="77777777" w:rsidR="000625E0" w:rsidRDefault="000625E0">
      <w:pPr>
        <w:spacing w:after="160" w:line="259" w:lineRule="auto"/>
      </w:pPr>
      <w:r>
        <w:br w:type="page"/>
      </w:r>
    </w:p>
    <w:p w14:paraId="1A26214C" w14:textId="5820A26D" w:rsidR="00F62C40" w:rsidRDefault="00851DF2" w:rsidP="00F62C40">
      <w:pPr>
        <w:spacing w:line="480" w:lineRule="auto"/>
        <w:ind w:firstLine="720"/>
      </w:pPr>
      <w:r w:rsidRPr="00F82D72">
        <w:lastRenderedPageBreak/>
        <w:t>English Learners (ELs) are</w:t>
      </w:r>
      <w:r w:rsidR="004F5E2A">
        <w:t xml:space="preserve"> a</w:t>
      </w:r>
      <w:r w:rsidRPr="00F82D72">
        <w:t xml:space="preserve"> growing </w:t>
      </w:r>
      <w:r w:rsidR="004F5E2A">
        <w:t xml:space="preserve">student </w:t>
      </w:r>
      <w:r w:rsidRPr="00F82D72">
        <w:t xml:space="preserve">population, comprising </w:t>
      </w:r>
      <w:r w:rsidRPr="00D45266">
        <w:t>10% of student</w:t>
      </w:r>
      <w:r w:rsidRPr="00667496">
        <w:t xml:space="preserve">s nationwide </w:t>
      </w:r>
      <w:r w:rsidR="00C939B2">
        <w:t>who</w:t>
      </w:r>
      <w:r w:rsidRPr="00381788">
        <w:t xml:space="preserve"> </w:t>
      </w:r>
      <w:r w:rsidR="00376C50">
        <w:t>come from</w:t>
      </w:r>
      <w:r w:rsidR="009236B4">
        <w:t xml:space="preserve"> a </w:t>
      </w:r>
      <w:r w:rsidR="006B6806">
        <w:t>wide variety</w:t>
      </w:r>
      <w:r w:rsidR="009236B4">
        <w:t xml:space="preserve"> of cultural and linguistic backgrounds </w:t>
      </w:r>
      <w:r w:rsidRPr="008E2E86">
        <w:t>(NCES, 2020</w:t>
      </w:r>
      <w:r w:rsidR="009236B4">
        <w:t>; Santos et al., 2018</w:t>
      </w:r>
      <w:r w:rsidRPr="008E2E86">
        <w:t>).</w:t>
      </w:r>
      <w:r w:rsidR="00DE7A75">
        <w:t xml:space="preserve"> </w:t>
      </w:r>
      <w:r w:rsidR="009236B4">
        <w:t>W</w:t>
      </w:r>
      <w:r w:rsidR="009236B4" w:rsidRPr="008E2E86">
        <w:t>hen it comes to college access and postsecondary attainment</w:t>
      </w:r>
      <w:r w:rsidR="009236B4">
        <w:t>,</w:t>
      </w:r>
      <w:r w:rsidR="009236B4" w:rsidRPr="008E2E86">
        <w:t xml:space="preserve"> ELs </w:t>
      </w:r>
      <w:r w:rsidR="009236B4" w:rsidRPr="00D45266">
        <w:t xml:space="preserve">face multiple dimensions of disadvantage </w:t>
      </w:r>
      <w:r w:rsidR="009236B4">
        <w:t xml:space="preserve">and </w:t>
      </w:r>
      <w:r w:rsidR="009236B4" w:rsidRPr="008E2E86">
        <w:t>lag significantly behind their English-</w:t>
      </w:r>
      <w:r w:rsidR="0043762C">
        <w:t>monolingual</w:t>
      </w:r>
      <w:r w:rsidR="009236B4" w:rsidRPr="008E2E86">
        <w:t xml:space="preserve"> peers</w:t>
      </w:r>
      <w:r w:rsidR="009236B4">
        <w:t>.</w:t>
      </w:r>
      <w:r w:rsidR="00852C61">
        <w:t xml:space="preserve"> </w:t>
      </w:r>
      <w:r w:rsidR="009236B4">
        <w:t>T</w:t>
      </w:r>
      <w:r w:rsidR="009236B4" w:rsidRPr="008E2E86">
        <w:t>hey drop out of high school at higher rates (</w:t>
      </w:r>
      <w:r w:rsidR="009236B4" w:rsidRPr="00C11D37">
        <w:t xml:space="preserve">Kanno &amp; Cromley, 2013) and are less likely to have access to rigorous academic coursework while in high school (Callahan, 2005). Additionally, ELs are more likely to enroll in two-year colleges or not go to college at all (Kanno &amp; Cromley, 2013; Kanno &amp; Cromley, 2015; Núñez &amp; Sparks, 2012). Offering improved </w:t>
      </w:r>
      <w:r w:rsidR="009236B4" w:rsidRPr="00D45266">
        <w:t>postsecondary opportunities for ELs is an increasingly pressing concern but figuring out how to best serve the</w:t>
      </w:r>
      <w:r w:rsidR="007E6331">
        <w:t xml:space="preserve">ir diverse </w:t>
      </w:r>
      <w:r w:rsidR="009236B4" w:rsidRPr="00D45266">
        <w:t xml:space="preserve">needs is complex. </w:t>
      </w:r>
      <w:r w:rsidR="007720A7">
        <w:t xml:space="preserve">Few college interventions targeted at ELs have been documented or researched. </w:t>
      </w:r>
      <w:r w:rsidR="003163B4" w:rsidRPr="00960335">
        <w:t>W</w:t>
      </w:r>
      <w:r w:rsidR="00EA64DB" w:rsidRPr="00960335">
        <w:t>ith the rise of new federal accountability policies (Every Student Succeeds Act, 2015) and state guidance (English Learner Roadmap, 2017) that place an increasing focus on the postsecondary trajectories of ELs, practitioners and policymakers are searching for college access solutions that may extend benefits to ELs</w:t>
      </w:r>
      <w:r w:rsidR="00FD4119">
        <w:t>.</w:t>
      </w:r>
      <w:r w:rsidR="00EA64DB" w:rsidRPr="00960335">
        <w:t xml:space="preserve"> </w:t>
      </w:r>
    </w:p>
    <w:p w14:paraId="474E967B" w14:textId="137992D9" w:rsidR="00B403EA" w:rsidRPr="009A74D1" w:rsidRDefault="00B403EA" w:rsidP="00F62C40">
      <w:pPr>
        <w:spacing w:line="480" w:lineRule="auto"/>
        <w:ind w:firstLine="720"/>
      </w:pPr>
      <w:r w:rsidRPr="00547D94">
        <w:t>Early College (EC), a special form of dual enrollment, has emerged as a possible response. Although EC models can vary in design, they tend to incorporate strategies specifically aimed at improving postsecondary outcomes for traditionally underrepresented students (Berger</w:t>
      </w:r>
      <w:r w:rsidR="00AE6EE3">
        <w:t xml:space="preserve"> et al.</w:t>
      </w:r>
      <w:r w:rsidRPr="00547D94">
        <w:t>, 2010). For example, a key characteristic of EC is to enroll whole high schools of students in college courses</w:t>
      </w:r>
      <w:r w:rsidRPr="00C557AA">
        <w:t>. Additionally, EC models tend to provide intensive academic and social supports via advisories, mentoring, and tutoring (Born, 2006)</w:t>
      </w:r>
      <w:r w:rsidRPr="00946E09">
        <w:t>.</w:t>
      </w:r>
      <w:r w:rsidRPr="00F82D72">
        <w:t xml:space="preserve"> Depending on the program model, EC can also offer students the opportunity to earn a certif</w:t>
      </w:r>
      <w:r w:rsidRPr="00D45266">
        <w:t>icate or A</w:t>
      </w:r>
      <w:r w:rsidR="00014075">
        <w:t>A</w:t>
      </w:r>
      <w:r w:rsidRPr="00D45266">
        <w:t xml:space="preserve"> (Associate in Arts) degree. Taken together, the key elements of EC aim to expose students to college-level coursework, </w:t>
      </w:r>
      <w:r w:rsidRPr="00D45266">
        <w:lastRenderedPageBreak/>
        <w:t>while simultaneously integrating comprehensive support systems to help underrepresented student</w:t>
      </w:r>
      <w:r w:rsidRPr="00547D94">
        <w:t>s transition to college (Edmunds, 2016; Edmunds et al., 2017).</w:t>
      </w:r>
    </w:p>
    <w:p w14:paraId="2CEFD7AF" w14:textId="6AA13E6A" w:rsidR="00B403EA" w:rsidRPr="00C557AA" w:rsidRDefault="00B403EA" w:rsidP="00B403EA">
      <w:pPr>
        <w:spacing w:line="480" w:lineRule="auto"/>
        <w:ind w:firstLine="720"/>
      </w:pPr>
      <w:r w:rsidRPr="007A3A54">
        <w:t xml:space="preserve">Although </w:t>
      </w:r>
      <w:r w:rsidR="00326EE9" w:rsidRPr="007A3A54">
        <w:t>several</w:t>
      </w:r>
      <w:r w:rsidRPr="007A3A54">
        <w:t xml:space="preserve"> quantitative and qualitative studies have investigated the ways in which EC programs affect students’ academic outcomes and experiences (Berger et al., 2013; Haxton et al., 2016; Kaniuka &amp; Vickers, 2010; Ongaga, 2010; Song &amp; Zeiser, 2019), none have examined </w:t>
      </w:r>
      <w:r w:rsidR="004E5311">
        <w:t>whether effects are similar for ELs</w:t>
      </w:r>
      <w:r w:rsidRPr="007A3A54">
        <w:t xml:space="preserve">. </w:t>
      </w:r>
      <w:r w:rsidRPr="00F82D72">
        <w:t xml:space="preserve">EC’s approach to </w:t>
      </w:r>
      <w:r w:rsidR="00AA1D8D">
        <w:t>college access</w:t>
      </w:r>
      <w:r w:rsidRPr="00F82D72">
        <w:t>, with its additional supports and whole-cohort enrollment, is well-positioned to addre</w:t>
      </w:r>
      <w:r w:rsidRPr="00D45266">
        <w:t xml:space="preserve">ss </w:t>
      </w:r>
      <w:r w:rsidR="00A86C7D">
        <w:t>such</w:t>
      </w:r>
      <w:r w:rsidRPr="00D45266">
        <w:t xml:space="preserve"> issues</w:t>
      </w:r>
      <w:r w:rsidR="007720A7">
        <w:t xml:space="preserve"> and </w:t>
      </w:r>
      <w:r w:rsidRPr="00D45266">
        <w:t>presents an exciting possibility for improv</w:t>
      </w:r>
      <w:r w:rsidR="007720A7">
        <w:t>ing</w:t>
      </w:r>
      <w:r w:rsidRPr="00D45266">
        <w:t xml:space="preserve"> EL postsecondary outcomes. ELs may benefit from this type of college exposure</w:t>
      </w:r>
      <w:r w:rsidR="0043762C">
        <w:t xml:space="preserve">, or they may require </w:t>
      </w:r>
      <w:r w:rsidRPr="00D45266">
        <w:t>more intensive or different types of suppor</w:t>
      </w:r>
      <w:r w:rsidRPr="00547D94">
        <w:t xml:space="preserve">t than </w:t>
      </w:r>
      <w:r w:rsidR="0043762C">
        <w:t xml:space="preserve">those provided by </w:t>
      </w:r>
      <w:r w:rsidRPr="00547D94">
        <w:t xml:space="preserve">EC </w:t>
      </w:r>
      <w:r w:rsidR="0043762C">
        <w:t>programs designed for English-monolingual students</w:t>
      </w:r>
      <w:r w:rsidRPr="00547D94">
        <w:t>.</w:t>
      </w:r>
    </w:p>
    <w:p w14:paraId="0FDB3180" w14:textId="6BA4CE2D" w:rsidR="002576F2" w:rsidRDefault="00FA55C0" w:rsidP="008A76F2">
      <w:pPr>
        <w:spacing w:line="480" w:lineRule="auto"/>
        <w:ind w:firstLine="720"/>
      </w:pPr>
      <w:bookmarkStart w:id="0" w:name="_Hlk65582815"/>
      <w:r>
        <w:t>T</w:t>
      </w:r>
      <w:r w:rsidR="00D43C02">
        <w:t>his</w:t>
      </w:r>
      <w:r w:rsidR="00B403EA" w:rsidRPr="00CB72DF">
        <w:t xml:space="preserve"> paper investigates the effects of a program that provides E</w:t>
      </w:r>
      <w:r w:rsidR="00161903">
        <w:t xml:space="preserve">C </w:t>
      </w:r>
      <w:r w:rsidR="00B403EA" w:rsidRPr="00CB72DF">
        <w:t xml:space="preserve">opportunities in an urban district that serves a large EL population. </w:t>
      </w:r>
      <w:r w:rsidR="002576F2">
        <w:t>Our research question is:</w:t>
      </w:r>
      <w:r w:rsidR="008A76F2">
        <w:t xml:space="preserve"> </w:t>
      </w:r>
      <w:r w:rsidR="002576F2">
        <w:t xml:space="preserve">What are the effects of a high school program that provides EC opportunities on EL students’ 1) college credits earned; 2) </w:t>
      </w:r>
      <w:r w:rsidR="000B51C4">
        <w:t xml:space="preserve">probability of </w:t>
      </w:r>
      <w:r w:rsidR="002576F2">
        <w:t xml:space="preserve">immediate college attendance; 3) probability of attending a </w:t>
      </w:r>
      <w:r w:rsidR="000B51C4">
        <w:t>four-year college; and 4) on-time high school graduation?</w:t>
      </w:r>
    </w:p>
    <w:bookmarkEnd w:id="0"/>
    <w:p w14:paraId="7773D210" w14:textId="6076A604" w:rsidR="00B403EA" w:rsidRPr="00CB72DF" w:rsidRDefault="00B403EA" w:rsidP="00292B82">
      <w:pPr>
        <w:spacing w:line="480" w:lineRule="auto"/>
        <w:ind w:firstLine="720"/>
        <w:rPr>
          <w:b/>
        </w:rPr>
      </w:pPr>
      <w:r w:rsidRPr="00CB72DF">
        <w:t xml:space="preserve">The </w:t>
      </w:r>
      <w:r w:rsidR="000B51C4">
        <w:t xml:space="preserve">EC </w:t>
      </w:r>
      <w:r w:rsidRPr="00CB72DF">
        <w:t xml:space="preserve">program </w:t>
      </w:r>
      <w:r w:rsidR="000B51C4">
        <w:t xml:space="preserve">in the district </w:t>
      </w:r>
      <w:r w:rsidRPr="00CB72DF">
        <w:t xml:space="preserve">offers opportunities to take </w:t>
      </w:r>
      <w:r w:rsidR="00B64EA2">
        <w:t xml:space="preserve">community college </w:t>
      </w:r>
      <w:r w:rsidRPr="00CB72DF">
        <w:t xml:space="preserve">courses in one of several pathways designed to </w:t>
      </w:r>
      <w:r w:rsidR="00906052">
        <w:t>be an onramp to</w:t>
      </w:r>
      <w:r w:rsidRPr="00CB72DF">
        <w:t xml:space="preserve"> a certificate or two-year degree. Unlike other studies of EC, </w:t>
      </w:r>
      <w:proofErr w:type="gramStart"/>
      <w:r w:rsidRPr="00CB72DF">
        <w:t>the majority of</w:t>
      </w:r>
      <w:proofErr w:type="gramEnd"/>
      <w:r w:rsidRPr="00CB72DF">
        <w:t xml:space="preserve"> participants in this study are ELs</w:t>
      </w:r>
      <w:r w:rsidR="0039610B">
        <w:t>; additionally, the program was designed with ELs in mind.</w:t>
      </w:r>
      <w:r w:rsidRPr="00CB72DF">
        <w:t xml:space="preserve"> Leveraging rich longitudinal administrative data from the district, we </w:t>
      </w:r>
      <w:r w:rsidR="002C4F48">
        <w:t>estimate</w:t>
      </w:r>
      <w:r w:rsidRPr="00CB72DF">
        <w:t xml:space="preserve"> the effects of </w:t>
      </w:r>
      <w:r w:rsidR="00531C95">
        <w:t>EC</w:t>
      </w:r>
      <w:r w:rsidRPr="00CB72DF">
        <w:t xml:space="preserve"> opportunities on ELs’ high school and college outcomes. We </w:t>
      </w:r>
      <w:r w:rsidR="002C4F48">
        <w:t>use</w:t>
      </w:r>
      <w:r w:rsidRPr="00CB72DF">
        <w:t xml:space="preserve"> a difference-in-differences design, which improves upon propensity score matching methods employed by earlier dual enrollment studies that report</w:t>
      </w:r>
      <w:r w:rsidR="00A26956">
        <w:t>ed</w:t>
      </w:r>
      <w:r w:rsidRPr="00CB72DF">
        <w:t xml:space="preserve"> EL outcomes. In addition, this study contributes to the burgeoning literature on EL college access by providing the first effect </w:t>
      </w:r>
      <w:r w:rsidRPr="00CB72DF">
        <w:lastRenderedPageBreak/>
        <w:t xml:space="preserve">estimates from </w:t>
      </w:r>
      <w:r w:rsidRPr="006A653A">
        <w:t xml:space="preserve">California, which </w:t>
      </w:r>
      <w:r w:rsidR="00075D0E" w:rsidRPr="00CB1DBD">
        <w:rPr>
          <w:color w:val="0070C0"/>
        </w:rPr>
        <w:t>could</w:t>
      </w:r>
      <w:r w:rsidR="00075D0E" w:rsidRPr="006A653A">
        <w:t xml:space="preserve"> </w:t>
      </w:r>
      <w:r w:rsidRPr="006A653A">
        <w:t xml:space="preserve">inform </w:t>
      </w:r>
      <w:r w:rsidRPr="00CB72DF">
        <w:t>policy and practice in other states and districts with high concentrations and growing rates of EL enrollment.</w:t>
      </w:r>
    </w:p>
    <w:p w14:paraId="188D6F8F" w14:textId="77777777" w:rsidR="006E2186" w:rsidRPr="00CB72DF" w:rsidRDefault="006E2186" w:rsidP="006E2186">
      <w:pPr>
        <w:spacing w:line="480" w:lineRule="auto"/>
        <w:jc w:val="center"/>
        <w:rPr>
          <w:b/>
          <w:bCs/>
        </w:rPr>
      </w:pPr>
      <w:r w:rsidRPr="00CB72DF">
        <w:rPr>
          <w:b/>
          <w:bCs/>
        </w:rPr>
        <w:t>Literature Review</w:t>
      </w:r>
    </w:p>
    <w:p w14:paraId="04FD8523" w14:textId="77777777" w:rsidR="006E2186" w:rsidRPr="00CB72DF" w:rsidRDefault="006E2186" w:rsidP="006E2186">
      <w:pPr>
        <w:spacing w:line="480" w:lineRule="auto"/>
        <w:rPr>
          <w:b/>
        </w:rPr>
      </w:pPr>
      <w:r w:rsidRPr="00CB72DF">
        <w:rPr>
          <w:b/>
        </w:rPr>
        <w:t>EL College Access and Attainment</w:t>
      </w:r>
    </w:p>
    <w:p w14:paraId="30D3CEA2" w14:textId="51BE07D4" w:rsidR="004352B8" w:rsidRDefault="00A74B25" w:rsidP="004352B8">
      <w:pPr>
        <w:spacing w:line="480" w:lineRule="auto"/>
        <w:ind w:firstLine="720"/>
      </w:pPr>
      <w:r>
        <w:t>Research on EL college access and attainment is only emerging</w:t>
      </w:r>
      <w:r w:rsidR="00BA6A8C">
        <w:t xml:space="preserve">, but it </w:t>
      </w:r>
      <w:r w:rsidR="004279FB">
        <w:t xml:space="preserve">clearly </w:t>
      </w:r>
      <w:r w:rsidR="00BA6A8C">
        <w:t xml:space="preserve">showcases </w:t>
      </w:r>
      <w:r w:rsidR="00645CA1">
        <w:t xml:space="preserve">the </w:t>
      </w:r>
      <w:r w:rsidR="00A26956">
        <w:t xml:space="preserve">opportunity </w:t>
      </w:r>
      <w:r w:rsidR="006A3775">
        <w:t>disparities between ELs and non-ELs</w:t>
      </w:r>
      <w:r>
        <w:t xml:space="preserve">. </w:t>
      </w:r>
      <w:r w:rsidR="0067579E">
        <w:t>D</w:t>
      </w:r>
      <w:r w:rsidR="00F6702F" w:rsidRPr="00001C34">
        <w:t>escriptive evidence</w:t>
      </w:r>
      <w:r w:rsidR="00645CA1">
        <w:t xml:space="preserve">, for example, </w:t>
      </w:r>
      <w:r w:rsidR="00F6702F" w:rsidRPr="00001C34">
        <w:t xml:space="preserve">has demonstrated that ELs are </w:t>
      </w:r>
      <w:r w:rsidR="00D214CB">
        <w:t>underrepresented in four-year postsecondary institutions compared to English</w:t>
      </w:r>
      <w:r w:rsidR="00176FC3">
        <w:t>-</w:t>
      </w:r>
      <w:r w:rsidR="00D214CB">
        <w:t>proficient or English</w:t>
      </w:r>
      <w:r w:rsidR="00176FC3">
        <w:t>-</w:t>
      </w:r>
      <w:r w:rsidR="00D214CB">
        <w:t xml:space="preserve">monolingual students </w:t>
      </w:r>
      <w:r w:rsidR="00F6702F" w:rsidRPr="00001C34">
        <w:t>(</w:t>
      </w:r>
      <w:r w:rsidR="00E7194F">
        <w:t xml:space="preserve">Kanno &amp; Cromley, 2013; </w:t>
      </w:r>
      <w:r w:rsidR="00F6702F" w:rsidRPr="00001C34">
        <w:t>Rodriguez &amp; Cruz, 2009), and ELs</w:t>
      </w:r>
      <w:r w:rsidR="00727C61">
        <w:t xml:space="preserve"> </w:t>
      </w:r>
      <w:r w:rsidR="00F6702F" w:rsidRPr="00001C34">
        <w:t>are less likely to complete any college degree eight years after high school than</w:t>
      </w:r>
      <w:r w:rsidR="004A1F33">
        <w:t xml:space="preserve"> self-identified</w:t>
      </w:r>
      <w:r w:rsidR="008E10FC">
        <w:t xml:space="preserve"> English-proficient or</w:t>
      </w:r>
      <w:r w:rsidR="004A1F33">
        <w:t xml:space="preserve"> English-monolingual </w:t>
      </w:r>
      <w:r w:rsidR="00116B8A">
        <w:t>students</w:t>
      </w:r>
      <w:r w:rsidR="00DE460A">
        <w:t xml:space="preserve"> </w:t>
      </w:r>
      <w:r w:rsidR="00F6702F" w:rsidRPr="00001C34">
        <w:t>(Kanno &amp; Cromley</w:t>
      </w:r>
      <w:r w:rsidR="007D5FCC">
        <w:t>, 201</w:t>
      </w:r>
      <w:r w:rsidR="00DD1781">
        <w:t>3</w:t>
      </w:r>
      <w:r w:rsidR="00F6702F" w:rsidRPr="00001C34">
        <w:t xml:space="preserve">). </w:t>
      </w:r>
      <w:r w:rsidR="00F6702F">
        <w:t xml:space="preserve">Even </w:t>
      </w:r>
      <w:r w:rsidR="00F6702F" w:rsidRPr="00907F47">
        <w:t xml:space="preserve">EL students who </w:t>
      </w:r>
      <w:r w:rsidR="00F6702F">
        <w:t xml:space="preserve">do </w:t>
      </w:r>
      <w:r w:rsidR="00F6702F" w:rsidRPr="00907F47">
        <w:t xml:space="preserve">reach major </w:t>
      </w:r>
      <w:r w:rsidR="00F6702F">
        <w:t xml:space="preserve">college access </w:t>
      </w:r>
      <w:r w:rsidR="00F6702F" w:rsidRPr="00907F47">
        <w:t xml:space="preserve">milestones, such as </w:t>
      </w:r>
      <w:r w:rsidR="00477B54">
        <w:t>aspiring to attend</w:t>
      </w:r>
      <w:r w:rsidR="00F6702F" w:rsidRPr="00907F47">
        <w:t xml:space="preserve"> a </w:t>
      </w:r>
      <w:r w:rsidR="00F6702F">
        <w:t>four</w:t>
      </w:r>
      <w:r w:rsidR="00F6702F" w:rsidRPr="00907F47">
        <w:t xml:space="preserve">-year college, </w:t>
      </w:r>
      <w:r w:rsidR="007B4499">
        <w:t>meeting college coursework pre-requisites</w:t>
      </w:r>
      <w:r w:rsidR="00F6702F" w:rsidRPr="00907F47">
        <w:t xml:space="preserve">, and </w:t>
      </w:r>
      <w:r w:rsidR="00F6702F">
        <w:t>receiving a high school diploma</w:t>
      </w:r>
      <w:r w:rsidR="006C633C">
        <w:t>,</w:t>
      </w:r>
      <w:r w:rsidR="00F6702F" w:rsidRPr="00907F47">
        <w:t xml:space="preserve"> </w:t>
      </w:r>
      <w:r w:rsidR="00CA4E83">
        <w:t xml:space="preserve">are less likely to </w:t>
      </w:r>
      <w:r w:rsidR="00F6702F">
        <w:t xml:space="preserve">enroll in college </w:t>
      </w:r>
      <w:r w:rsidR="00CA4E83">
        <w:t xml:space="preserve">than </w:t>
      </w:r>
      <w:r w:rsidR="00C01FAF">
        <w:t xml:space="preserve">self-identified </w:t>
      </w:r>
      <w:r w:rsidR="00676A3A">
        <w:t>English-proficient or English-</w:t>
      </w:r>
      <w:r w:rsidR="0002717A">
        <w:t xml:space="preserve">monolingual </w:t>
      </w:r>
      <w:r w:rsidR="00A92A8F">
        <w:t>students</w:t>
      </w:r>
      <w:r w:rsidR="006C633C">
        <w:t xml:space="preserve"> </w:t>
      </w:r>
      <w:r w:rsidR="006C633C" w:rsidRPr="00907F47">
        <w:t>(Kanno &amp; Cromley, 2015)</w:t>
      </w:r>
      <w:r w:rsidR="00F6702F">
        <w:t xml:space="preserve">. </w:t>
      </w:r>
      <w:r w:rsidR="00C77A5F">
        <w:t>EL</w:t>
      </w:r>
      <w:r w:rsidR="000A62BF">
        <w:t>s</w:t>
      </w:r>
      <w:r w:rsidR="00C77A5F">
        <w:t xml:space="preserve"> </w:t>
      </w:r>
      <w:r w:rsidR="00F6702F" w:rsidRPr="00B0765F">
        <w:t>are also more likely to enroll in college on a part-time bas</w:t>
      </w:r>
      <w:r w:rsidR="00422798">
        <w:t>i</w:t>
      </w:r>
      <w:r w:rsidR="00F6702F" w:rsidRPr="00B0765F">
        <w:t xml:space="preserve">s, delay their entrance to college, or complete only a small number of courses (Almon, 2014)—factors that put </w:t>
      </w:r>
      <w:r w:rsidR="00F6702F">
        <w:t xml:space="preserve">their postsecondary completion at risk. </w:t>
      </w:r>
    </w:p>
    <w:p w14:paraId="6100E1B2" w14:textId="223A09C1" w:rsidR="00C96B23" w:rsidRDefault="00CA4E83" w:rsidP="003845A2">
      <w:pPr>
        <w:spacing w:line="480" w:lineRule="auto"/>
        <w:ind w:firstLine="720"/>
      </w:pPr>
      <w:r>
        <w:t xml:space="preserve">The lack of detailed national </w:t>
      </w:r>
      <w:r w:rsidR="00D813B9">
        <w:t>and</w:t>
      </w:r>
      <w:r>
        <w:t xml:space="preserve"> state data on ELs has limited the advancement of theory on how </w:t>
      </w:r>
      <w:r w:rsidR="004352B8">
        <w:t>EL postsecondary transitions</w:t>
      </w:r>
      <w:r w:rsidR="003F2E04">
        <w:t xml:space="preserve"> may be </w:t>
      </w:r>
      <w:r w:rsidR="000F7F25">
        <w:t>similar or different</w:t>
      </w:r>
      <w:r w:rsidR="003F2E04">
        <w:t xml:space="preserve"> from those of other disadvantaged youth</w:t>
      </w:r>
      <w:r w:rsidR="00E222B5">
        <w:t xml:space="preserve"> </w:t>
      </w:r>
      <w:r w:rsidR="001525A2">
        <w:t>(</w:t>
      </w:r>
      <w:r w:rsidR="00140A34" w:rsidRPr="00C11D37">
        <w:t xml:space="preserve">Núñez </w:t>
      </w:r>
      <w:r w:rsidR="00140A34">
        <w:t>et al., 2016)</w:t>
      </w:r>
      <w:r w:rsidR="00223718">
        <w:t xml:space="preserve">. </w:t>
      </w:r>
      <w:r w:rsidR="0055348A">
        <w:t>Notably,</w:t>
      </w:r>
      <w:r w:rsidR="00747776">
        <w:t xml:space="preserve"> </w:t>
      </w:r>
      <w:r w:rsidR="00223718">
        <w:t xml:space="preserve">EL </w:t>
      </w:r>
      <w:r w:rsidR="001F2D78">
        <w:t xml:space="preserve">status </w:t>
      </w:r>
      <w:r w:rsidR="00223718">
        <w:t>is a fluid category</w:t>
      </w:r>
      <w:r w:rsidR="006F0880">
        <w:t xml:space="preserve">—when students reach English proficiency, </w:t>
      </w:r>
      <w:r w:rsidR="00847850">
        <w:t xml:space="preserve">they </w:t>
      </w:r>
      <w:r w:rsidR="00E52D59">
        <w:t xml:space="preserve">lose this label. </w:t>
      </w:r>
      <w:r w:rsidR="00705D98">
        <w:t>This poses an issue for</w:t>
      </w:r>
      <w:r w:rsidR="00516904">
        <w:t xml:space="preserve"> long</w:t>
      </w:r>
      <w:r>
        <w:t>itudinal</w:t>
      </w:r>
      <w:r w:rsidR="00705D98">
        <w:t xml:space="preserve"> analysis </w:t>
      </w:r>
      <w:r>
        <w:t>that use</w:t>
      </w:r>
      <w:r w:rsidR="00474C7A">
        <w:t>s</w:t>
      </w:r>
      <w:r>
        <w:t xml:space="preserve"> </w:t>
      </w:r>
      <w:r w:rsidR="00474C7A">
        <w:t>“</w:t>
      </w:r>
      <w:r>
        <w:t>current EL</w:t>
      </w:r>
      <w:r w:rsidR="00474C7A">
        <w:t>”</w:t>
      </w:r>
      <w:r>
        <w:t xml:space="preserve"> status, </w:t>
      </w:r>
      <w:r w:rsidR="00705D98">
        <w:t xml:space="preserve">as </w:t>
      </w:r>
      <w:r w:rsidR="00065054">
        <w:t xml:space="preserve">the </w:t>
      </w:r>
      <w:r w:rsidR="00705D98">
        <w:t>more proficient students exit</w:t>
      </w:r>
      <w:r w:rsidR="00110D49">
        <w:t xml:space="preserve"> the category</w:t>
      </w:r>
      <w:r w:rsidR="00705D98">
        <w:t xml:space="preserve"> </w:t>
      </w:r>
      <w:r>
        <w:t xml:space="preserve">every year, leaving less proficient students in the current EL subgroup </w:t>
      </w:r>
      <w:r w:rsidR="00705D98">
        <w:t>(</w:t>
      </w:r>
      <w:r w:rsidR="00BF02B6">
        <w:t>Hopkins et al., 2013).</w:t>
      </w:r>
      <w:r w:rsidR="000E0517">
        <w:t xml:space="preserve"> </w:t>
      </w:r>
      <w:r w:rsidR="00543760">
        <w:t xml:space="preserve">Adding to this </w:t>
      </w:r>
      <w:r w:rsidR="00543760">
        <w:lastRenderedPageBreak/>
        <w:t>complexity</w:t>
      </w:r>
      <w:r w:rsidR="00043665">
        <w:t>,</w:t>
      </w:r>
      <w:r w:rsidR="003E44D9">
        <w:t xml:space="preserve"> </w:t>
      </w:r>
      <w:r w:rsidR="009B2D1B">
        <w:t>a</w:t>
      </w:r>
      <w:r w:rsidR="006E2186" w:rsidRPr="00F82D72">
        <w:t>dolescent ELs are a distinctly heterogenous group, in terms of national origin, immigration status,</w:t>
      </w:r>
      <w:r w:rsidR="007F729B">
        <w:t xml:space="preserve"> and</w:t>
      </w:r>
      <w:r w:rsidR="006E2186" w:rsidRPr="00F82D72">
        <w:t xml:space="preserve"> </w:t>
      </w:r>
      <w:r w:rsidR="00657D09">
        <w:t xml:space="preserve">a host of other </w:t>
      </w:r>
      <w:r>
        <w:t xml:space="preserve">district and state-level </w:t>
      </w:r>
      <w:r w:rsidR="00657D09">
        <w:t>characteristics</w:t>
      </w:r>
      <w:r w:rsidR="007F729B">
        <w:t xml:space="preserve"> </w:t>
      </w:r>
      <w:r w:rsidR="006E2186" w:rsidRPr="00D45266">
        <w:t>(Santos et al., 2018</w:t>
      </w:r>
      <w:r w:rsidR="006E2186" w:rsidRPr="00381788">
        <w:t>)</w:t>
      </w:r>
      <w:r w:rsidR="0066391A">
        <w:t>.</w:t>
      </w:r>
      <w:r w:rsidR="005A47BD">
        <w:t xml:space="preserve"> </w:t>
      </w:r>
    </w:p>
    <w:p w14:paraId="452EA26D" w14:textId="0B5827E3" w:rsidR="00B2380A" w:rsidRDefault="006B29E8" w:rsidP="00A24022">
      <w:pPr>
        <w:spacing w:line="480" w:lineRule="auto"/>
        <w:ind w:firstLine="720"/>
      </w:pPr>
      <w:r>
        <w:t>Without</w:t>
      </w:r>
      <w:r w:rsidR="004303D1">
        <w:t xml:space="preserve"> theoretical </w:t>
      </w:r>
      <w:r w:rsidR="00C96B23">
        <w:t>clarity</w:t>
      </w:r>
      <w:r w:rsidR="004303D1">
        <w:t xml:space="preserve"> about</w:t>
      </w:r>
      <w:r w:rsidR="00E32968">
        <w:t xml:space="preserve"> how EL postsecondary trajectories </w:t>
      </w:r>
      <w:r w:rsidR="00C41229">
        <w:t>differ from those of other traditionally underrepresented youth</w:t>
      </w:r>
      <w:r>
        <w:t xml:space="preserve">, it has been </w:t>
      </w:r>
      <w:r w:rsidR="00E32968">
        <w:t xml:space="preserve">difficult for </w:t>
      </w:r>
      <w:r w:rsidR="00303F18">
        <w:t xml:space="preserve">practitioners and education policymakers to </w:t>
      </w:r>
      <w:r w:rsidR="00877BD8">
        <w:t>adequately prepare college access interventions that address</w:t>
      </w:r>
      <w:r w:rsidR="002116FC">
        <w:t xml:space="preserve"> </w:t>
      </w:r>
      <w:r w:rsidR="00A962A5">
        <w:t>students’</w:t>
      </w:r>
      <w:r w:rsidR="00877BD8">
        <w:t xml:space="preserve"> specific needs.</w:t>
      </w:r>
      <w:r w:rsidR="00303F18">
        <w:t xml:space="preserve"> </w:t>
      </w:r>
      <w:r w:rsidR="007211A9">
        <w:t xml:space="preserve">In attempts to </w:t>
      </w:r>
      <w:r w:rsidR="002116FC">
        <w:t>fill this gap</w:t>
      </w:r>
      <w:r w:rsidR="007211A9">
        <w:t xml:space="preserve">, </w:t>
      </w:r>
      <w:r w:rsidR="0040270A">
        <w:t>a handful of organizations</w:t>
      </w:r>
      <w:r w:rsidR="009A75DE">
        <w:t xml:space="preserve">, such as the Internationals Network, have </w:t>
      </w:r>
      <w:r w:rsidR="004D306C">
        <w:t>focused on serving</w:t>
      </w:r>
      <w:r w:rsidR="00797086">
        <w:t xml:space="preserve"> sub</w:t>
      </w:r>
      <w:r w:rsidR="00A962A5">
        <w:t>groups</w:t>
      </w:r>
      <w:r w:rsidR="00797086">
        <w:t xml:space="preserve"> of ELs</w:t>
      </w:r>
      <w:r w:rsidR="00A962A5" w:rsidRPr="00A962A5">
        <w:t xml:space="preserve"> </w:t>
      </w:r>
      <w:r w:rsidR="00A962A5">
        <w:t>at the secondary level by</w:t>
      </w:r>
      <w:r w:rsidR="007B432A">
        <w:t xml:space="preserve"> establishing </w:t>
      </w:r>
      <w:r w:rsidR="00613D24">
        <w:t>schools to servic</w:t>
      </w:r>
      <w:r w:rsidR="00BD0D45">
        <w:t>e</w:t>
      </w:r>
      <w:r w:rsidR="00797086">
        <w:t xml:space="preserve"> immigrant newcomers</w:t>
      </w:r>
      <w:r w:rsidR="00053EA5">
        <w:t xml:space="preserve"> or long-term ELs</w:t>
      </w:r>
      <w:r w:rsidR="002427BE">
        <w:t>.</w:t>
      </w:r>
      <w:r w:rsidR="00193AB1" w:rsidRPr="00193AB1">
        <w:t xml:space="preserve"> </w:t>
      </w:r>
      <w:r w:rsidR="00193AB1">
        <w:t>Building schools that only service ELs cannot address the needs of all ELs, however, since the distribution of ELs vary considerably between districts.</w:t>
      </w:r>
      <w:r w:rsidR="002427BE">
        <w:t xml:space="preserve"> </w:t>
      </w:r>
      <w:r w:rsidR="00193AB1">
        <w:t>In addition,</w:t>
      </w:r>
      <w:r w:rsidR="002427BE">
        <w:t xml:space="preserve"> </w:t>
      </w:r>
      <w:proofErr w:type="gramStart"/>
      <w:r w:rsidR="00A25ACA">
        <w:t>the majority of</w:t>
      </w:r>
      <w:proofErr w:type="gramEnd"/>
      <w:r w:rsidR="00193AB1">
        <w:t xml:space="preserve"> existing</w:t>
      </w:r>
      <w:r w:rsidR="002427BE">
        <w:t xml:space="preserve"> </w:t>
      </w:r>
      <w:r w:rsidR="00163522">
        <w:t xml:space="preserve">reform </w:t>
      </w:r>
      <w:r w:rsidR="002427BE">
        <w:t xml:space="preserve">efforts focus on </w:t>
      </w:r>
      <w:r w:rsidR="00772F67">
        <w:t xml:space="preserve">improving </w:t>
      </w:r>
      <w:r w:rsidR="002427BE">
        <w:t xml:space="preserve">K-12 </w:t>
      </w:r>
      <w:r w:rsidR="00AB4882">
        <w:t>pedagogical strategies</w:t>
      </w:r>
      <w:r w:rsidR="00737E64">
        <w:t>, which may or may not include</w:t>
      </w:r>
      <w:r w:rsidR="002116FC">
        <w:t xml:space="preserve"> </w:t>
      </w:r>
      <w:r w:rsidR="007D1000">
        <w:t xml:space="preserve">an emphasis on </w:t>
      </w:r>
      <w:r w:rsidR="002116FC">
        <w:t>other types of college access supports</w:t>
      </w:r>
      <w:r w:rsidR="00F775FF">
        <w:t xml:space="preserve"> for ELs</w:t>
      </w:r>
      <w:r w:rsidR="002116FC">
        <w:t>, such as assistance with financial aid and information about colleges</w:t>
      </w:r>
      <w:r w:rsidR="00A70EB4">
        <w:t xml:space="preserve">. </w:t>
      </w:r>
      <w:r w:rsidR="00E73676">
        <w:t xml:space="preserve"> </w:t>
      </w:r>
    </w:p>
    <w:p w14:paraId="1B1DAB22" w14:textId="1B7EA811" w:rsidR="0005560B" w:rsidRDefault="00427EAF" w:rsidP="00F70C92">
      <w:pPr>
        <w:spacing w:line="480" w:lineRule="auto"/>
        <w:ind w:firstLine="720"/>
      </w:pPr>
      <w:r>
        <w:t xml:space="preserve">Given the characteristics </w:t>
      </w:r>
      <w:r w:rsidR="00193AB1">
        <w:t xml:space="preserve">ELs share </w:t>
      </w:r>
      <w:r>
        <w:t xml:space="preserve">with other traditionally underrepresented students, </w:t>
      </w:r>
      <w:r w:rsidR="005B2517">
        <w:t>a</w:t>
      </w:r>
      <w:r w:rsidR="00193AB1">
        <w:t xml:space="preserve"> viable</w:t>
      </w:r>
      <w:r>
        <w:t xml:space="preserve"> </w:t>
      </w:r>
      <w:r w:rsidR="00272B11">
        <w:t xml:space="preserve">option </w:t>
      </w:r>
      <w:r w:rsidR="009E148C">
        <w:t xml:space="preserve">to improve EL postsecondary access and attainment </w:t>
      </w:r>
      <w:r w:rsidR="00272B11">
        <w:t xml:space="preserve">is to extend </w:t>
      </w:r>
      <w:r w:rsidR="00786626">
        <w:t>existing college access intervention opportunities to ELs.</w:t>
      </w:r>
      <w:r>
        <w:t xml:space="preserve"> </w:t>
      </w:r>
      <w:r w:rsidR="00193AB1">
        <w:t>T</w:t>
      </w:r>
      <w:r w:rsidR="006E2186" w:rsidRPr="00381788">
        <w:t>he overwhelming majority of ELs are Hispanic/Latino (78%) or Asian (10%)—substantially larger percentage</w:t>
      </w:r>
      <w:r w:rsidR="00A26956">
        <w:t>s</w:t>
      </w:r>
      <w:r w:rsidR="006E2186" w:rsidRPr="00381788">
        <w:t xml:space="preserve"> than the </w:t>
      </w:r>
      <w:r w:rsidR="00466074">
        <w:t xml:space="preserve">broader </w:t>
      </w:r>
      <w:r w:rsidR="006E2186" w:rsidRPr="00381788">
        <w:t xml:space="preserve">U.S. student </w:t>
      </w:r>
      <w:r w:rsidR="00313101" w:rsidRPr="00381788">
        <w:t>population, which</w:t>
      </w:r>
      <w:r w:rsidR="006E2186" w:rsidRPr="00381788">
        <w:t xml:space="preserve"> is only 25% Hispanic/Latino and 5% Asian (USDOE, 2017). Furthermore,</w:t>
      </w:r>
      <w:r w:rsidR="00A17F5A">
        <w:t xml:space="preserve"> we know that</w:t>
      </w:r>
      <w:r w:rsidR="006E2186" w:rsidRPr="00381788">
        <w:t xml:space="preserve"> ELs</w:t>
      </w:r>
      <w:r w:rsidR="009E1973">
        <w:t xml:space="preserve"> often</w:t>
      </w:r>
      <w:r w:rsidR="006E2186" w:rsidRPr="00381788">
        <w:t xml:space="preserve"> come from lower </w:t>
      </w:r>
      <w:r w:rsidR="009E1973">
        <w:t xml:space="preserve">socioeconomic status </w:t>
      </w:r>
      <w:r w:rsidR="006E2186" w:rsidRPr="00381788">
        <w:t xml:space="preserve">backgrounds—ELs have less educated parents (Kanno &amp; Cromley, 2013), and a higher percentage of ELs are homeless, migrant, or low-income (USDOE, 2017). </w:t>
      </w:r>
      <w:r w:rsidR="00EA6140">
        <w:t>Lastly</w:t>
      </w:r>
      <w:r w:rsidR="006E2186" w:rsidRPr="00381788">
        <w:t>, ELs are more likely than their English</w:t>
      </w:r>
      <w:r w:rsidR="009E1973">
        <w:t>-</w:t>
      </w:r>
      <w:r w:rsidR="00474C7A">
        <w:t>monolingual</w:t>
      </w:r>
      <w:r w:rsidR="006E2186" w:rsidRPr="00381788">
        <w:t xml:space="preserve"> peers to be the first </w:t>
      </w:r>
      <w:r w:rsidR="006E2186" w:rsidRPr="0017766B">
        <w:t>in their family to attend college</w:t>
      </w:r>
      <w:r w:rsidR="007871E9">
        <w:t xml:space="preserve"> </w:t>
      </w:r>
      <w:r w:rsidR="006E2186" w:rsidRPr="0017766B">
        <w:t>(Kanno &amp; Cromley, 2013).</w:t>
      </w:r>
      <w:r w:rsidR="006E2186" w:rsidRPr="00381788">
        <w:t xml:space="preserve"> </w:t>
      </w:r>
    </w:p>
    <w:p w14:paraId="0CE94E6F" w14:textId="65024B9F" w:rsidR="006E2186" w:rsidRPr="00381788" w:rsidRDefault="00B00E2A" w:rsidP="00881D34">
      <w:pPr>
        <w:spacing w:line="480" w:lineRule="auto"/>
        <w:ind w:firstLine="720"/>
      </w:pPr>
      <w:r w:rsidRPr="00C11D37">
        <w:t>Since the majority of ELs are Hispanic/Latino, they may</w:t>
      </w:r>
      <w:r w:rsidR="00326AD0">
        <w:t xml:space="preserve"> also</w:t>
      </w:r>
      <w:r w:rsidRPr="00C11D37">
        <w:t xml:space="preserve"> confront issues identified in the</w:t>
      </w:r>
      <w:r>
        <w:t xml:space="preserve"> Hispanic/Latino college access</w:t>
      </w:r>
      <w:r w:rsidRPr="00C11D37">
        <w:t xml:space="preserve"> literature, such as family obligations that make </w:t>
      </w:r>
      <w:r>
        <w:t xml:space="preserve">postsecondary </w:t>
      </w:r>
      <w:r>
        <w:lastRenderedPageBreak/>
        <w:t xml:space="preserve">participation and </w:t>
      </w:r>
      <w:r w:rsidRPr="00DF7B18">
        <w:t xml:space="preserve">persistence challenging (Almon, 2014). Low socioeconomic background may </w:t>
      </w:r>
      <w:r w:rsidR="005305EA">
        <w:t>additionally</w:t>
      </w:r>
      <w:r w:rsidR="005305EA" w:rsidRPr="00DF7B18">
        <w:t xml:space="preserve"> </w:t>
      </w:r>
      <w:r w:rsidRPr="00DF7B18">
        <w:t>reflect a lack of “college knowledge” necessary to succeed in college (Conley, 2005). A</w:t>
      </w:r>
      <w:r>
        <w:t>nd, a</w:t>
      </w:r>
      <w:r w:rsidRPr="00DF7B18">
        <w:t>lthough there is no definitive estimate on the number of undocumented adolescent ELs, existing research shows that immigration stat</w:t>
      </w:r>
      <w:r w:rsidRPr="000864AA">
        <w:t xml:space="preserve">us affects student ability to obtain financial aid (Garcia &amp; Tierney, 2011); presumably, undocumented ELs may also face similar obstacles. </w:t>
      </w:r>
    </w:p>
    <w:p w14:paraId="636686F2" w14:textId="241BFC7D" w:rsidR="006E2186" w:rsidRPr="000864AA" w:rsidRDefault="006E2186" w:rsidP="007D30E3">
      <w:pPr>
        <w:spacing w:line="480" w:lineRule="auto"/>
        <w:ind w:firstLine="720"/>
      </w:pPr>
      <w:r w:rsidRPr="00086066">
        <w:t xml:space="preserve">The vast body of research on </w:t>
      </w:r>
      <w:r w:rsidR="00481A4E">
        <w:t xml:space="preserve">other </w:t>
      </w:r>
      <w:r w:rsidRPr="00086066">
        <w:t xml:space="preserve">underrepresented </w:t>
      </w:r>
      <w:r w:rsidR="00481A4E">
        <w:t xml:space="preserve">student </w:t>
      </w:r>
      <w:r w:rsidRPr="00086066">
        <w:t xml:space="preserve">populations </w:t>
      </w:r>
      <w:r w:rsidRPr="00DD1964">
        <w:t>indicates that multiple factors influence college access and attainment: financial considerations and incentives (Brand &amp; Xie, 2010), academic preparation and skills (Cabrera &amp; La Nasa, 200</w:t>
      </w:r>
      <w:r w:rsidR="00DC2AED">
        <w:t>1</w:t>
      </w:r>
      <w:r w:rsidRPr="00DD1964">
        <w:t>), parental guidance and support (Perna &amp; Titus, 2005; Venezia</w:t>
      </w:r>
      <w:r w:rsidR="009E1973">
        <w:t xml:space="preserve"> et al.</w:t>
      </w:r>
      <w:r w:rsidRPr="00EA64DB">
        <w:t>, 200</w:t>
      </w:r>
      <w:r w:rsidR="00C40DF1">
        <w:t>3</w:t>
      </w:r>
      <w:r w:rsidRPr="00EA64DB">
        <w:t xml:space="preserve">), and friendship and school-based information networks (Holland, 2019; Perez &amp; McDonough, 2008). Therefore, the conventional wisdom in higher education research is that college access programs should use a holistic approach to promote college access and attainment. Numerous college access interventions, including EC, have been designed to specifically address these challenges (Bial &amp; Gandara, 2001; Perna, 2002). Given that ELs share similar demographic characteristics with students who </w:t>
      </w:r>
      <w:r w:rsidRPr="0023214F">
        <w:t xml:space="preserve">have historically had limited access to higher education, one might hypothesize that existing college interventions may operate in similar ways for </w:t>
      </w:r>
      <w:r w:rsidR="005A3075">
        <w:t>ELs</w:t>
      </w:r>
      <w:r w:rsidR="00FD3DE8">
        <w:t>. T</w:t>
      </w:r>
      <w:r w:rsidRPr="0023214F">
        <w:t>his is an especially enticing proposition given the lack of college access programs</w:t>
      </w:r>
      <w:r w:rsidRPr="00065ED0">
        <w:t xml:space="preserve"> targeted </w:t>
      </w:r>
      <w:r w:rsidR="008D42AB">
        <w:t>to this student population</w:t>
      </w:r>
      <w:r w:rsidRPr="00065ED0">
        <w:t>.</w:t>
      </w:r>
    </w:p>
    <w:p w14:paraId="7845344F" w14:textId="2C527FBE" w:rsidR="002D4786" w:rsidRDefault="006E2186" w:rsidP="00AF39DA">
      <w:pPr>
        <w:spacing w:line="480" w:lineRule="auto"/>
        <w:ind w:firstLine="720"/>
      </w:pPr>
      <w:r w:rsidRPr="00065ED0">
        <w:t xml:space="preserve">However, the extent to which these lessons on college access </w:t>
      </w:r>
      <w:r w:rsidR="00F66BAD">
        <w:t xml:space="preserve">may </w:t>
      </w:r>
      <w:r w:rsidR="008B0E1E">
        <w:t>apply</w:t>
      </w:r>
      <w:r w:rsidRPr="00065ED0">
        <w:t xml:space="preserve"> to ELs remains ambiguous (</w:t>
      </w:r>
      <w:r w:rsidRPr="00C11D37">
        <w:t>Núñez et al., 2016)</w:t>
      </w:r>
      <w:r w:rsidR="00F70C92">
        <w:t xml:space="preserve">, and it is </w:t>
      </w:r>
      <w:r w:rsidR="00DC2D04">
        <w:t xml:space="preserve">what </w:t>
      </w:r>
      <w:r w:rsidR="00F70C92">
        <w:t>we aim to investigate in this paper</w:t>
      </w:r>
      <w:r w:rsidR="00B00E2A">
        <w:t xml:space="preserve">. </w:t>
      </w:r>
      <w:r w:rsidR="00F5266A">
        <w:t>The</w:t>
      </w:r>
      <w:r w:rsidR="00E86FA6">
        <w:t xml:space="preserve"> complexity of EL social identities and demographic characteristics </w:t>
      </w:r>
      <w:r w:rsidR="00F77883">
        <w:t xml:space="preserve">combined with the </w:t>
      </w:r>
      <w:r w:rsidR="00682D46">
        <w:t>limited</w:t>
      </w:r>
      <w:r w:rsidR="00F77883">
        <w:t xml:space="preserve"> research </w:t>
      </w:r>
      <w:r w:rsidR="00CE19EF">
        <w:t xml:space="preserve">on </w:t>
      </w:r>
      <w:r w:rsidR="003E7668">
        <w:t>their postsecondary trajectories</w:t>
      </w:r>
      <w:r w:rsidR="00846E40">
        <w:t xml:space="preserve"> makes it challenging to </w:t>
      </w:r>
      <w:r w:rsidR="00AA19F8">
        <w:t>definitively</w:t>
      </w:r>
      <w:r w:rsidR="008254EF">
        <w:t xml:space="preserve"> </w:t>
      </w:r>
      <w:r w:rsidR="00846E40">
        <w:t xml:space="preserve">decipher which college access interventions may be particularly well-suited for their needs. </w:t>
      </w:r>
      <w:r w:rsidR="00D217C4">
        <w:t xml:space="preserve">Many adolescent ELs are </w:t>
      </w:r>
      <w:r w:rsidR="00EB1CA3">
        <w:t xml:space="preserve">also </w:t>
      </w:r>
      <w:r w:rsidR="00D217C4">
        <w:t>still developing English proficiency as they leave high school</w:t>
      </w:r>
      <w:r w:rsidR="00CF2080">
        <w:t>, and</w:t>
      </w:r>
      <w:r w:rsidR="00D217C4">
        <w:t xml:space="preserve"> it</w:t>
      </w:r>
      <w:r w:rsidR="00DC2D04">
        <w:t xml:space="preserve"> is</w:t>
      </w:r>
      <w:r w:rsidR="00D217C4">
        <w:t xml:space="preserve"> not clear if </w:t>
      </w:r>
      <w:r w:rsidR="00D217C4">
        <w:lastRenderedPageBreak/>
        <w:t xml:space="preserve">interventions designed for native or fluent English users would benefit ELs similarly without embedded language support. </w:t>
      </w:r>
      <w:r w:rsidR="00CD7193">
        <w:t>G</w:t>
      </w:r>
      <w:r w:rsidR="00CF1D56">
        <w:t xml:space="preserve">iven </w:t>
      </w:r>
      <w:r w:rsidR="004B10DE">
        <w:t>what we currently know about ELs—that they</w:t>
      </w:r>
      <w:r w:rsidR="00CF1D56">
        <w:t xml:space="preserve"> have lower </w:t>
      </w:r>
      <w:r w:rsidR="00276AA7">
        <w:t xml:space="preserve">college aspirations, limited college qualifications, and lower </w:t>
      </w:r>
      <w:r w:rsidR="009D7A9D">
        <w:t>graduation rates</w:t>
      </w:r>
      <w:r w:rsidR="004B10DE">
        <w:t xml:space="preserve"> (</w:t>
      </w:r>
      <w:r w:rsidR="002B3477">
        <w:t>Kanno &amp; Cromley, 2015)</w:t>
      </w:r>
      <w:r w:rsidR="00AF39DA">
        <w:t>—</w:t>
      </w:r>
      <w:r w:rsidR="009D7A9D">
        <w:t xml:space="preserve">a </w:t>
      </w:r>
      <w:r w:rsidR="002B3477">
        <w:t xml:space="preserve">college access </w:t>
      </w:r>
      <w:r w:rsidR="009D7A9D">
        <w:t xml:space="preserve">program </w:t>
      </w:r>
      <w:r w:rsidR="0072613E">
        <w:t xml:space="preserve">like EC </w:t>
      </w:r>
      <w:r w:rsidR="009D7A9D">
        <w:t xml:space="preserve">that specifically addresses these </w:t>
      </w:r>
      <w:r w:rsidR="008C2A0C">
        <w:t xml:space="preserve">outcomes </w:t>
      </w:r>
      <w:r w:rsidR="00054918">
        <w:t>has the potential to help</w:t>
      </w:r>
      <w:r w:rsidR="002D4786" w:rsidRPr="005267A6">
        <w:t xml:space="preserve"> ELs reach key milestones towards postsecondary access and attainment. </w:t>
      </w:r>
      <w:r w:rsidR="001D14BD" w:rsidDel="001D14BD">
        <w:t xml:space="preserve"> </w:t>
      </w:r>
    </w:p>
    <w:p w14:paraId="4191756D" w14:textId="0C862637" w:rsidR="006375CB" w:rsidRPr="00892602" w:rsidRDefault="006375CB" w:rsidP="00F15316">
      <w:pPr>
        <w:spacing w:line="480" w:lineRule="auto"/>
        <w:ind w:firstLine="720"/>
      </w:pPr>
      <w:r w:rsidRPr="00C11D37">
        <w:t xml:space="preserve">We might expect the EC program to have a positive effect on college credits earned during high school and immediate college attendance by building momentum toward certificate or </w:t>
      </w:r>
      <w:r w:rsidR="00423405">
        <w:t xml:space="preserve">college </w:t>
      </w:r>
      <w:r w:rsidRPr="00C11D37">
        <w:t>degree completion</w:t>
      </w:r>
      <w:r w:rsidR="00F15316">
        <w:t xml:space="preserve"> </w:t>
      </w:r>
      <w:r w:rsidR="00F15316">
        <w:fldChar w:fldCharType="begin" w:fldLock="1"/>
      </w:r>
      <w:r w:rsidR="00183C1E">
        <w:instrText>ADDIN CSL_CITATION {"citationItems":[{"id":"ITEM-1","itemData":{"DOI":"10.1177/0091552115569846","ISSN":"19402325","author":[{"dropping-particle":"","family":"Wang","given":"Xueli","non-dropping-particle":"","parse-names":false,"suffix":""},{"dropping-particle":"","family":"Chan","given":"Hsun-yu","non-dropping-particle":"","parse-names":false,"suffix":""},{"dropping-particle":"","family":"Phelps","given":"L. Allen","non-dropping-particle":"","parse-names":false,"suffix":""},{"dropping-particle":"","family":"Washbon","given":"Janet I.","non-dropping-particle":"","parse-names":false,"suffix":""}],"container-title":"Community College Review","id":"ITEM-1","issue":"2","issued":{"date-parts":[["2015"]]},"page":"165-190","title":"Fuel for success: Academic momentum as a mediator between dual enrollment and educational outcomes of two-year technical college students","type":"article-journal","volume":"43"},"uris":["http://www.mendeley.com/documents/?uuid=a9ceb29b-f049-4f94-8ed7-4c6de56d01ea"]}],"mendeley":{"formattedCitation":"(Wang, Chan, Phelps, &amp; Washbon, 2015)","manualFormatting":"(Wang et al., 2015)","plainTextFormattedCitation":"(Wang, Chan, Phelps, &amp; Washbon, 2015)","previouslyFormattedCitation":"(Wang, Chan, Phelps, &amp; Washbon, 2015)"},"properties":{"noteIndex":0},"schema":"https://github.com/citation-style-language/schema/raw/master/csl-citation.json"}</w:instrText>
      </w:r>
      <w:r w:rsidR="00F15316">
        <w:fldChar w:fldCharType="separate"/>
      </w:r>
      <w:r w:rsidR="00F15316" w:rsidRPr="00F15316">
        <w:rPr>
          <w:noProof/>
        </w:rPr>
        <w:t>(Wang</w:t>
      </w:r>
      <w:r w:rsidR="00423405">
        <w:rPr>
          <w:noProof/>
        </w:rPr>
        <w:t xml:space="preserve"> et al.</w:t>
      </w:r>
      <w:r w:rsidR="00F15316" w:rsidRPr="00F15316">
        <w:rPr>
          <w:noProof/>
        </w:rPr>
        <w:t>, 2015)</w:t>
      </w:r>
      <w:r w:rsidR="00F15316">
        <w:fldChar w:fldCharType="end"/>
      </w:r>
      <w:r>
        <w:t>, as it does for non-ELs</w:t>
      </w:r>
      <w:r w:rsidRPr="00C11D37">
        <w:t xml:space="preserve">. </w:t>
      </w:r>
      <w:r w:rsidR="00ED3E59">
        <w:t xml:space="preserve">Yet </w:t>
      </w:r>
      <w:r w:rsidRPr="002259A0">
        <w:t xml:space="preserve">the direction of any potential effect on the probability of enrolling in a four-year college as opposed to a two-year college is </w:t>
      </w:r>
      <w:r w:rsidR="003A1274">
        <w:t>unclear</w:t>
      </w:r>
      <w:r w:rsidRPr="002259A0">
        <w:t>. A</w:t>
      </w:r>
      <w:r w:rsidRPr="00C11D37">
        <w:t xml:space="preserve">fter earning college credits during high school, students may feel empowered to enroll directly in a four-year college. Alternatively, they may decide to continue </w:t>
      </w:r>
      <w:r w:rsidR="004C1B93">
        <w:t>their educatio</w:t>
      </w:r>
      <w:r w:rsidR="00282DB0">
        <w:t>n</w:t>
      </w:r>
      <w:r w:rsidRPr="00C11D37">
        <w:t xml:space="preserve"> in the same two-year college after high school graduation or </w:t>
      </w:r>
      <w:r w:rsidR="005608DB">
        <w:t xml:space="preserve">to </w:t>
      </w:r>
      <w:r w:rsidRPr="00C11D37">
        <w:t xml:space="preserve">not enroll at all. </w:t>
      </w:r>
    </w:p>
    <w:p w14:paraId="0B220F39" w14:textId="77777777" w:rsidR="006E2186" w:rsidRPr="00F0095C" w:rsidRDefault="006E2186" w:rsidP="00AE5B51">
      <w:pPr>
        <w:spacing w:line="480" w:lineRule="auto"/>
        <w:rPr>
          <w:b/>
        </w:rPr>
      </w:pPr>
      <w:r w:rsidRPr="00F0095C">
        <w:rPr>
          <w:b/>
        </w:rPr>
        <w:t>Early College Potential for ELs</w:t>
      </w:r>
    </w:p>
    <w:p w14:paraId="35178314" w14:textId="13848057" w:rsidR="00623762" w:rsidRDefault="006E2186" w:rsidP="00B62083">
      <w:pPr>
        <w:spacing w:line="480" w:lineRule="auto"/>
        <w:ind w:firstLine="720"/>
        <w:rPr>
          <w:bCs/>
        </w:rPr>
      </w:pPr>
      <w:r w:rsidRPr="00F0095C">
        <w:rPr>
          <w:bCs/>
        </w:rPr>
        <w:t>EC is a</w:t>
      </w:r>
      <w:r w:rsidR="000D3631">
        <w:rPr>
          <w:bCs/>
        </w:rPr>
        <w:t xml:space="preserve"> </w:t>
      </w:r>
      <w:r w:rsidRPr="00F0095C">
        <w:rPr>
          <w:bCs/>
        </w:rPr>
        <w:t xml:space="preserve">type of dual enrollment </w:t>
      </w:r>
      <w:r w:rsidR="00E00DED">
        <w:rPr>
          <w:color w:val="000000" w:themeColor="text1"/>
        </w:rPr>
        <w:t>which allow</w:t>
      </w:r>
      <w:r w:rsidR="0077762C">
        <w:rPr>
          <w:color w:val="000000" w:themeColor="text1"/>
        </w:rPr>
        <w:t>s</w:t>
      </w:r>
      <w:r w:rsidR="00E00DED">
        <w:rPr>
          <w:color w:val="000000" w:themeColor="text1"/>
        </w:rPr>
        <w:t xml:space="preserve"> students to complete college coursework while still in high school</w:t>
      </w:r>
      <w:r w:rsidR="00037EA7">
        <w:rPr>
          <w:color w:val="000000" w:themeColor="text1"/>
        </w:rPr>
        <w:t xml:space="preserve">, </w:t>
      </w:r>
      <w:r w:rsidR="00DF7056">
        <w:rPr>
          <w:color w:val="000000" w:themeColor="text1"/>
        </w:rPr>
        <w:t xml:space="preserve">sometimes resulting in an </w:t>
      </w:r>
      <w:r w:rsidR="002E642A">
        <w:rPr>
          <w:color w:val="000000" w:themeColor="text1"/>
        </w:rPr>
        <w:t>AA</w:t>
      </w:r>
      <w:r w:rsidR="00DF7056">
        <w:rPr>
          <w:color w:val="000000" w:themeColor="text1"/>
        </w:rPr>
        <w:t xml:space="preserve"> degree or other postsecondary credential</w:t>
      </w:r>
      <w:r w:rsidR="00336247">
        <w:rPr>
          <w:color w:val="000000" w:themeColor="text1"/>
        </w:rPr>
        <w:t xml:space="preserve"> </w:t>
      </w:r>
      <w:r w:rsidR="00423405">
        <w:rPr>
          <w:color w:val="000000" w:themeColor="text1"/>
        </w:rPr>
        <w:t xml:space="preserve">before or simultaneously with high school graduation </w:t>
      </w:r>
      <w:r w:rsidR="00037EA7" w:rsidRPr="00F0095C">
        <w:rPr>
          <w:bCs/>
        </w:rPr>
        <w:t>(Edmunds, 2016)</w:t>
      </w:r>
      <w:r w:rsidR="00037EA7">
        <w:rPr>
          <w:bCs/>
        </w:rPr>
        <w:t xml:space="preserve">. </w:t>
      </w:r>
      <w:r w:rsidR="00336247">
        <w:rPr>
          <w:bCs/>
        </w:rPr>
        <w:t>It</w:t>
      </w:r>
      <w:r w:rsidR="00DF2EE9">
        <w:rPr>
          <w:bCs/>
        </w:rPr>
        <w:t xml:space="preserve"> differs </w:t>
      </w:r>
      <w:r w:rsidR="006665BB">
        <w:rPr>
          <w:bCs/>
        </w:rPr>
        <w:t xml:space="preserve">from </w:t>
      </w:r>
      <w:r w:rsidR="00DF2EE9">
        <w:rPr>
          <w:bCs/>
        </w:rPr>
        <w:t xml:space="preserve">other forms of dual enrollment in that </w:t>
      </w:r>
      <w:r w:rsidR="00037EA7">
        <w:rPr>
          <w:bCs/>
        </w:rPr>
        <w:t>EC</w:t>
      </w:r>
      <w:r w:rsidRPr="00F0095C">
        <w:rPr>
          <w:bCs/>
        </w:rPr>
        <w:t xml:space="preserve"> is specifically targeted at underrepresented student populations</w:t>
      </w:r>
      <w:r w:rsidR="00336247">
        <w:rPr>
          <w:bCs/>
        </w:rPr>
        <w:t xml:space="preserve"> </w:t>
      </w:r>
      <w:r w:rsidR="00F4028F">
        <w:rPr>
          <w:color w:val="000000" w:themeColor="text1"/>
        </w:rPr>
        <w:t>while also providing integrated student supports, such as counseling, advising, mentoring, or assistance with college applications</w:t>
      </w:r>
      <w:r w:rsidR="00A12144">
        <w:rPr>
          <w:color w:val="000000" w:themeColor="text1"/>
        </w:rPr>
        <w:t xml:space="preserve">. Some EC models are guided by a set of design principles, which </w:t>
      </w:r>
      <w:r w:rsidR="008A53D4">
        <w:rPr>
          <w:color w:val="000000" w:themeColor="text1"/>
        </w:rPr>
        <w:t>have</w:t>
      </w:r>
      <w:r w:rsidR="00A12144">
        <w:rPr>
          <w:color w:val="000000" w:themeColor="text1"/>
        </w:rPr>
        <w:t xml:space="preserve"> changed and evolved over the years</w:t>
      </w:r>
      <w:r w:rsidR="00F4028F" w:rsidDel="00F4028F">
        <w:rPr>
          <w:color w:val="000000" w:themeColor="text1"/>
        </w:rPr>
        <w:t xml:space="preserve"> </w:t>
      </w:r>
      <w:r w:rsidR="00336247">
        <w:rPr>
          <w:bCs/>
        </w:rPr>
        <w:t>(</w:t>
      </w:r>
      <w:r w:rsidR="006B261C">
        <w:rPr>
          <w:bCs/>
        </w:rPr>
        <w:t>see</w:t>
      </w:r>
      <w:r w:rsidR="00737863">
        <w:rPr>
          <w:bCs/>
        </w:rPr>
        <w:fldChar w:fldCharType="begin" w:fldLock="1"/>
      </w:r>
      <w:r w:rsidR="00583D89">
        <w:rPr>
          <w:bCs/>
        </w:rPr>
        <w:instrText>ADDIN CSL_CITATION {"citationItems":[{"id":"ITEM-1","itemData":{"abstract":"Although the findings from this study are applicable only to the 10 Early Colleges included in the study sample, they provide strong evidence for the positive impact of Early Colleges on students. Early College students had a greater opportunity than their peers to enroll in and graduate from college. They also appeared to be on a different academic trajectory, with Early College students earning college degrees and enrolling in four-year institutions at higher rates than comparison students. In addition, Early Colleges appeared to mitigate the traditional educational attainment gaps between advantaged and disadvantaged students. These Early Colleges likely attracted academically prepared and ambitious students to their lotteries. Prior to high school, lottery applicants generally performed above the state average in the ELA and mathematics assessments. Furthermore, both Early College and comparison students had impressive high school graduation rates and college enrollment rates, though Early College students’ rates were higher. The Early Colleges in this study yielded significant and meaningful improvements in almost every student outcome examined. Early College students were benefitting from their Early College experience beyond high school, and we expect these benefits to continue. For example, Early College students may earn more college degrees, may accrue less educational debt, and may begin their careers sooner (and thus may have higher lifetime earnings) compared with other students.","author":[{"dropping-particle":"","family":"Berger","given":"Andrea","non-dropping-particle":"","parse-names":false,"suffix":""},{"dropping-particle":"","family":"Turk-Bicakci","given":"Lori","non-dropping-particle":"","parse-names":false,"suffix":""},{"dropping-particle":"","family":"Garet","given":"Michael","non-dropping-particle":"","parse-names":false,"suffix":""},{"dropping-particle":"","family":"Song","given":"Mengli","non-dropping-particle":"","parse-names":false,"suffix":""},{"dropping-particle":"","family":"Knudson","given":"Joel","non-dropping-particle":"","parse-names":false,"suffix":""},{"dropping-particle":"","family":"Haxton","given":"Clarisse","non-dropping-particle":"","parse-names":false,"suffix":""},{"dropping-particle":"","family":"Zeiser","given":"Kristina","non-dropping-particle":"","parse-names":false,"suffix":""},{"dropping-particle":"","family":"Hoshen","given":"Gur","non-dropping-particle":"","parse-names":false,"suffix":""},{"dropping-particle":"","family":"Ford","given":"Jennifer","non-dropping-particle":"","parse-names":false,"suffix":""},{"dropping-particle":"","family":"Stephan","given":"Jennifer","non-dropping-particle":"","parse-names":false,"suffix":""},{"dropping-particle":"","family":"Keating","given":"Kaeli","non-dropping-particle":"","parse-names":false,"suffix":""},{"dropping-particle":"","family":"Cassidy","given":"Lauren","non-dropping-particle":"","parse-names":false,"suffix":""}],"id":"ITEM-1","issue":"September","issued":{"date-parts":[["2013"]]},"note":"They did conduct a survey, but it doesn't say what they asked and it also doesn't include the instrument they used. :(\n\nThey collect data on ELLs, but since their sample included less than 1% of these students...they don't include it as a covariate.","number-of-pages":"130","publisher-place":"Washington, D.C.","title":"Early College, Early Success : Early College High School Initiative Impact Study","type":"report"},"uris":["http://www.mendeley.com/documents/?uuid=32b33f40-2c6c-4639-b781-e8f3c784d6e2"]},{"id":"ITEM-2","itemData":{"DOI":"10.1007/978-3-030-03457-3_3","ISBN":"9783030034573","abstract":"In the past couple of decades, the number of high school students taking college courses via dual enrollment has increased dramatically, and it is becoming more common for high school students to graduate with a substantial number of college credits. We review the empirical studies on dual enrollment, paying attention to research that centers on the student and student outcomes. Our study differs from prior works that provide a comprehensive account of dual enrollment in that these papers either have focused on a general overview of the literature or have concentrated on a specific domain of dual enrollment policy. Because we focus on the student, we can spend more time analyzing the condition of the empirical research. This chapter examines evidence about who participates in dual enrollment and the relation between dual enrollment and educational outcomes. It explores differences in dual enrollment participation and outcomes by student demographics, examines what accounts for differences in dual enrollment outcomes, and compares outcomes from dual enrollment to Advanced Placement. The chapter concludes with directions for future research.","author":[{"dropping-particle":"","family":"An","given":"Brian P.","non-dropping-particle":"","parse-names":false,"suffix":""},{"dropping-particle":"","family":"Taylor","given":"Jason L.","non-dropping-particle":"","parse-names":false,"suffix":""}],"chapter-number":"3","container-title":"Higher Education: Handbook of Theory and Research","editor":[{"dropping-particle":"","family":"Paulsen","given":"M.B.","non-dropping-particle":"","parse-names":false,"suffix":""},{"dropping-particle":"","family":"Perna","given":"Laura W.","non-dropping-particle":"","parse-names":false,"suffix":""}],"id":"ITEM-2","issued":{"date-parts":[["2019"]]},"page":"99-151","publisher":"Springer, Cham","title":"A review of empirical studies on dual enrollment: Assessing educational outcomes","type":"chapter"},"uris":["http://www.mendeley.com/documents/?uuid=00d43850-16ac-473b-bb60-3e7e88a44fc4"]}],"mendeley":{"formattedCitation":"(An &amp; Taylor, 2019; Berger et al., 2013)","manualFormatting":" An &amp; Taylor, 2019; Berger et al., 2013)","plainTextFormattedCitation":"(An &amp; Taylor, 2019; Berger et al., 2013)","previouslyFormattedCitation":"(An &amp; Taylor, 2019; Berger et al., 2013)"},"properties":{"noteIndex":0},"schema":"https://github.com/citation-style-language/schema/raw/master/csl-citation.json"}</w:instrText>
      </w:r>
      <w:r w:rsidR="00737863">
        <w:rPr>
          <w:bCs/>
        </w:rPr>
        <w:fldChar w:fldCharType="separate"/>
      </w:r>
      <w:r w:rsidR="006B261C">
        <w:rPr>
          <w:bCs/>
          <w:noProof/>
        </w:rPr>
        <w:t xml:space="preserve"> </w:t>
      </w:r>
      <w:r w:rsidR="007D1A23" w:rsidRPr="007D1A23">
        <w:rPr>
          <w:bCs/>
          <w:noProof/>
        </w:rPr>
        <w:t>An &amp; Taylor, 2019; Berger et al., 2013)</w:t>
      </w:r>
      <w:r w:rsidR="00737863">
        <w:rPr>
          <w:bCs/>
        </w:rPr>
        <w:fldChar w:fldCharType="end"/>
      </w:r>
      <w:r w:rsidR="007D1A23">
        <w:rPr>
          <w:bCs/>
        </w:rPr>
        <w:t xml:space="preserve">. </w:t>
      </w:r>
      <w:r w:rsidR="00760510">
        <w:rPr>
          <w:bCs/>
        </w:rPr>
        <w:t xml:space="preserve">Across the country, however, EC program models vary in terms of partnership structures (e.g., two-year vs. four-year college experiences) as well as program </w:t>
      </w:r>
      <w:r w:rsidR="00760510">
        <w:rPr>
          <w:bCs/>
        </w:rPr>
        <w:lastRenderedPageBreak/>
        <w:t xml:space="preserve">features (e.g., located on a high school vs. college campus; offering academic vs. </w:t>
      </w:r>
      <w:r w:rsidR="0057566B">
        <w:rPr>
          <w:bCs/>
        </w:rPr>
        <w:t>career and vocational</w:t>
      </w:r>
      <w:r w:rsidR="00760510">
        <w:rPr>
          <w:bCs/>
        </w:rPr>
        <w:t xml:space="preserve"> pathways; or starting in 9</w:t>
      </w:r>
      <w:r w:rsidR="00760510" w:rsidRPr="00C34095">
        <w:rPr>
          <w:bCs/>
          <w:vertAlign w:val="superscript"/>
        </w:rPr>
        <w:t>th</w:t>
      </w:r>
      <w:r w:rsidR="00760510">
        <w:rPr>
          <w:bCs/>
        </w:rPr>
        <w:t xml:space="preserve"> grade vs. 11</w:t>
      </w:r>
      <w:r w:rsidR="00760510" w:rsidRPr="00C34095">
        <w:rPr>
          <w:bCs/>
          <w:vertAlign w:val="superscript"/>
        </w:rPr>
        <w:t>th</w:t>
      </w:r>
      <w:r w:rsidR="00760510">
        <w:rPr>
          <w:bCs/>
        </w:rPr>
        <w:t xml:space="preserve"> grade).</w:t>
      </w:r>
    </w:p>
    <w:p w14:paraId="34AEACEA" w14:textId="6F329D97" w:rsidR="006E2186" w:rsidRPr="00F0095C" w:rsidRDefault="003E761C" w:rsidP="00623762">
      <w:pPr>
        <w:spacing w:line="480" w:lineRule="auto"/>
        <w:ind w:firstLine="720"/>
        <w:rPr>
          <w:bCs/>
        </w:rPr>
      </w:pPr>
      <w:r>
        <w:rPr>
          <w:bCs/>
        </w:rPr>
        <w:t>Nonetheless</w:t>
      </w:r>
      <w:r w:rsidR="007E46F0">
        <w:rPr>
          <w:bCs/>
        </w:rPr>
        <w:t>, e</w:t>
      </w:r>
      <w:r w:rsidR="006E2186" w:rsidRPr="00F0095C">
        <w:rPr>
          <w:bCs/>
        </w:rPr>
        <w:t xml:space="preserve">xisting studies </w:t>
      </w:r>
      <w:r w:rsidR="00037EA7">
        <w:rPr>
          <w:bCs/>
        </w:rPr>
        <w:t>have shown</w:t>
      </w:r>
      <w:r w:rsidR="006E2186" w:rsidRPr="00F0095C">
        <w:rPr>
          <w:bCs/>
        </w:rPr>
        <w:t xml:space="preserve"> promising results. In a</w:t>
      </w:r>
      <w:r w:rsidR="00100C71">
        <w:rPr>
          <w:bCs/>
        </w:rPr>
        <w:t xml:space="preserve">n </w:t>
      </w:r>
      <w:r w:rsidR="006E2186" w:rsidRPr="00F0095C">
        <w:rPr>
          <w:bCs/>
        </w:rPr>
        <w:t xml:space="preserve">experimental study, for example, Berger </w:t>
      </w:r>
      <w:r w:rsidR="00037EA7">
        <w:rPr>
          <w:bCs/>
        </w:rPr>
        <w:t>and colleagues</w:t>
      </w:r>
      <w:r w:rsidR="006E2186" w:rsidRPr="00F0095C">
        <w:rPr>
          <w:bCs/>
        </w:rPr>
        <w:t xml:space="preserve"> (2013) show that </w:t>
      </w:r>
      <w:r w:rsidR="00971027">
        <w:rPr>
          <w:bCs/>
        </w:rPr>
        <w:t xml:space="preserve">compared to students who do not participate in EC, </w:t>
      </w:r>
      <w:r w:rsidR="00A936B9">
        <w:rPr>
          <w:bCs/>
        </w:rPr>
        <w:t>participants</w:t>
      </w:r>
      <w:r w:rsidR="006E2186" w:rsidRPr="00F0095C">
        <w:rPr>
          <w:bCs/>
        </w:rPr>
        <w:t xml:space="preserve"> are more likely to graduate from high school, enroll in college immediately after high school, and obtain a postsecondary degree; </w:t>
      </w:r>
      <w:r w:rsidR="008B1135">
        <w:rPr>
          <w:bCs/>
        </w:rPr>
        <w:t>furthermore</w:t>
      </w:r>
      <w:r w:rsidR="006E2186" w:rsidRPr="00F0095C">
        <w:rPr>
          <w:bCs/>
        </w:rPr>
        <w:t xml:space="preserve">, the effect of EC on college degree completion is stronger for racial minorities, </w:t>
      </w:r>
      <w:r w:rsidR="00777F9F" w:rsidRPr="00F0095C">
        <w:rPr>
          <w:bCs/>
        </w:rPr>
        <w:t>low-income</w:t>
      </w:r>
      <w:r w:rsidR="006E2186" w:rsidRPr="00F0095C">
        <w:rPr>
          <w:bCs/>
        </w:rPr>
        <w:t xml:space="preserve"> students, women, and students with high middle school achievement. Meanwhile, Edmunds and colleagues (2010, 2012) find that 9</w:t>
      </w:r>
      <w:r w:rsidR="006E2186" w:rsidRPr="00F0095C">
        <w:rPr>
          <w:bCs/>
          <w:vertAlign w:val="superscript"/>
        </w:rPr>
        <w:t>th</w:t>
      </w:r>
      <w:r w:rsidR="006E2186" w:rsidRPr="00F0095C">
        <w:rPr>
          <w:bCs/>
        </w:rPr>
        <w:t xml:space="preserve"> graders randomly assigned to participate in EC took and completed more college preparatory classes and had higher high school attendance and lower suspension rates than control students. In interviews, EC participants also report benefiting from higher academic and social expectations from the faculty, trusting relationships with caring adults, and accountability among peers (McDonald &amp; Farrell, 2012; Thompson &amp; Ongaga, 2011). </w:t>
      </w:r>
    </w:p>
    <w:p w14:paraId="47DEB1A4" w14:textId="36B39282" w:rsidR="00373E06" w:rsidRDefault="006E2186" w:rsidP="006E2186">
      <w:pPr>
        <w:spacing w:line="480" w:lineRule="auto"/>
        <w:rPr>
          <w:bCs/>
        </w:rPr>
      </w:pPr>
      <w:r w:rsidRPr="00F0095C">
        <w:rPr>
          <w:bCs/>
        </w:rPr>
        <w:tab/>
        <w:t xml:space="preserve">Given the similarities with other underrepresented students, EC may be beneficial for ELs in comparable ways. </w:t>
      </w:r>
      <w:r w:rsidR="00001AA2">
        <w:rPr>
          <w:bCs/>
        </w:rPr>
        <w:t>A</w:t>
      </w:r>
      <w:r w:rsidR="00001AA2" w:rsidRPr="00F0095C">
        <w:rPr>
          <w:bCs/>
        </w:rPr>
        <w:t xml:space="preserve">n intervention like EC that has been shown to improve graduation rates would potentially </w:t>
      </w:r>
      <w:r w:rsidR="00001AA2">
        <w:rPr>
          <w:bCs/>
        </w:rPr>
        <w:t>allow</w:t>
      </w:r>
      <w:r w:rsidR="00001AA2" w:rsidRPr="00F0095C">
        <w:rPr>
          <w:bCs/>
        </w:rPr>
        <w:t xml:space="preserve"> ELs to </w:t>
      </w:r>
      <w:r w:rsidR="00001AA2">
        <w:rPr>
          <w:bCs/>
        </w:rPr>
        <w:t xml:space="preserve">secure their high school diploma, </w:t>
      </w:r>
      <w:r w:rsidR="004931F7">
        <w:rPr>
          <w:bCs/>
        </w:rPr>
        <w:t xml:space="preserve">helping to </w:t>
      </w:r>
      <w:r w:rsidR="00BA7105">
        <w:rPr>
          <w:bCs/>
        </w:rPr>
        <w:t>reduce</w:t>
      </w:r>
      <w:r w:rsidR="00001AA2">
        <w:rPr>
          <w:bCs/>
        </w:rPr>
        <w:t xml:space="preserve"> the graduation rate gap between ELs and non-ELs. </w:t>
      </w:r>
      <w:r w:rsidR="00C5686A">
        <w:rPr>
          <w:bCs/>
        </w:rPr>
        <w:t xml:space="preserve">Furthermore, </w:t>
      </w:r>
      <w:r w:rsidR="00124A64">
        <w:rPr>
          <w:bCs/>
        </w:rPr>
        <w:t xml:space="preserve">ECs tend to form partnerships with community colleges, </w:t>
      </w:r>
      <w:r w:rsidR="00124A64" w:rsidRPr="00A47CD7">
        <w:rPr>
          <w:bCs/>
        </w:rPr>
        <w:t xml:space="preserve">which </w:t>
      </w:r>
      <w:r w:rsidRPr="00A47CD7">
        <w:rPr>
          <w:bCs/>
        </w:rPr>
        <w:t>ha</w:t>
      </w:r>
      <w:r w:rsidR="004A08D9" w:rsidRPr="00A47CD7">
        <w:rPr>
          <w:bCs/>
        </w:rPr>
        <w:t>ve</w:t>
      </w:r>
      <w:r w:rsidRPr="00A47CD7">
        <w:rPr>
          <w:bCs/>
        </w:rPr>
        <w:t xml:space="preserve"> been shown to</w:t>
      </w:r>
      <w:r w:rsidR="00607689">
        <w:rPr>
          <w:bCs/>
        </w:rPr>
        <w:t xml:space="preserve"> </w:t>
      </w:r>
      <w:r w:rsidRPr="00A47CD7">
        <w:rPr>
          <w:bCs/>
        </w:rPr>
        <w:t xml:space="preserve">“warm up” aspirations among </w:t>
      </w:r>
      <w:r w:rsidR="00B50932" w:rsidRPr="00A47CD7">
        <w:rPr>
          <w:bCs/>
        </w:rPr>
        <w:t xml:space="preserve">some </w:t>
      </w:r>
      <w:r w:rsidRPr="00A47CD7">
        <w:rPr>
          <w:bCs/>
        </w:rPr>
        <w:t>underrepresented students (Alexander</w:t>
      </w:r>
      <w:r w:rsidR="00CC6B13">
        <w:rPr>
          <w:bCs/>
        </w:rPr>
        <w:t xml:space="preserve"> et al.</w:t>
      </w:r>
      <w:r w:rsidRPr="00A47CD7">
        <w:rPr>
          <w:bCs/>
        </w:rPr>
        <w:t>, 2008)</w:t>
      </w:r>
      <w:r w:rsidR="00011A24" w:rsidRPr="00A47CD7">
        <w:rPr>
          <w:bCs/>
        </w:rPr>
        <w:t>.</w:t>
      </w:r>
      <w:r w:rsidR="00011A24">
        <w:rPr>
          <w:bCs/>
        </w:rPr>
        <w:t xml:space="preserve"> </w:t>
      </w:r>
      <w:r w:rsidR="001223C1">
        <w:rPr>
          <w:bCs/>
        </w:rPr>
        <w:t xml:space="preserve">Indeed, </w:t>
      </w:r>
      <w:r w:rsidR="00302562">
        <w:rPr>
          <w:bCs/>
        </w:rPr>
        <w:t>even</w:t>
      </w:r>
      <w:r w:rsidR="00E51C13">
        <w:rPr>
          <w:bCs/>
        </w:rPr>
        <w:t xml:space="preserve"> among</w:t>
      </w:r>
      <w:r w:rsidR="00302562">
        <w:rPr>
          <w:bCs/>
        </w:rPr>
        <w:t xml:space="preserve"> </w:t>
      </w:r>
      <w:r w:rsidR="007E058A" w:rsidRPr="00F5518E">
        <w:rPr>
          <w:bCs/>
          <w:i/>
          <w:iCs/>
        </w:rPr>
        <w:t>dual enrollment</w:t>
      </w:r>
      <w:r w:rsidR="007E058A">
        <w:rPr>
          <w:bCs/>
        </w:rPr>
        <w:t xml:space="preserve"> </w:t>
      </w:r>
      <w:r w:rsidR="00302562">
        <w:rPr>
          <w:bCs/>
        </w:rPr>
        <w:t>students</w:t>
      </w:r>
      <w:r w:rsidR="00E51C13">
        <w:rPr>
          <w:bCs/>
        </w:rPr>
        <w:t>, those</w:t>
      </w:r>
      <w:r w:rsidR="00302562">
        <w:rPr>
          <w:bCs/>
        </w:rPr>
        <w:t xml:space="preserve"> </w:t>
      </w:r>
      <w:r w:rsidR="00E51C13">
        <w:rPr>
          <w:bCs/>
        </w:rPr>
        <w:t>who</w:t>
      </w:r>
      <w:r w:rsidR="007E058A">
        <w:rPr>
          <w:bCs/>
        </w:rPr>
        <w:t xml:space="preserve"> take </w:t>
      </w:r>
      <w:r w:rsidR="00302562">
        <w:rPr>
          <w:bCs/>
        </w:rPr>
        <w:t>coursework</w:t>
      </w:r>
      <w:r w:rsidR="007E058A">
        <w:rPr>
          <w:bCs/>
        </w:rPr>
        <w:t xml:space="preserve"> on college campuses rather than on high school campuses tend to have higher educational aspirations</w:t>
      </w:r>
      <w:r w:rsidR="005031BF">
        <w:rPr>
          <w:bCs/>
        </w:rPr>
        <w:t>, as reported in survey data</w:t>
      </w:r>
      <w:r w:rsidR="007E058A">
        <w:rPr>
          <w:bCs/>
        </w:rPr>
        <w:t xml:space="preserve"> </w:t>
      </w:r>
      <w:r w:rsidR="00583D89">
        <w:rPr>
          <w:bCs/>
        </w:rPr>
        <w:fldChar w:fldCharType="begin" w:fldLock="1"/>
      </w:r>
      <w:r w:rsidR="00497D45">
        <w:rPr>
          <w:bCs/>
        </w:rPr>
        <w:instrText>ADDIN CSL_CITATION {"citationItems":[{"id":"ITEM-1","itemData":{"author":[{"dropping-particle":"","family":"Smith","given":"Debbie","non-dropping-particle":"","parse-names":false,"suffix":""}],"container-title":"Community College Journal of Research and Practice","id":"ITEM-1","issued":{"date-parts":[["2007"]]},"page":"371–387","title":"Why expand dual-credit programs?","type":"article-journal","volume":"31"},"uris":["http://www.mendeley.com/documents/?uuid=1a0b7866-c1ba-4ff9-b8b6-7013b9d361ac"]}],"mendeley":{"formattedCitation":"(Smith, 2007)","plainTextFormattedCitation":"(Smith, 2007)","previouslyFormattedCitation":"(Smith, 2007)"},"properties":{"noteIndex":0},"schema":"https://github.com/citation-style-language/schema/raw/master/csl-citation.json"}</w:instrText>
      </w:r>
      <w:r w:rsidR="00583D89">
        <w:rPr>
          <w:bCs/>
        </w:rPr>
        <w:fldChar w:fldCharType="separate"/>
      </w:r>
      <w:r w:rsidR="00583D89" w:rsidRPr="00583D89">
        <w:rPr>
          <w:bCs/>
          <w:noProof/>
        </w:rPr>
        <w:t>(Smith, 2007)</w:t>
      </w:r>
      <w:r w:rsidR="00583D89">
        <w:rPr>
          <w:bCs/>
        </w:rPr>
        <w:fldChar w:fldCharType="end"/>
      </w:r>
      <w:r w:rsidR="00583D89">
        <w:rPr>
          <w:bCs/>
        </w:rPr>
        <w:t>.</w:t>
      </w:r>
      <w:r w:rsidR="00183C1E">
        <w:rPr>
          <w:bCs/>
        </w:rPr>
        <w:t xml:space="preserve"> These </w:t>
      </w:r>
      <w:r w:rsidR="009318C1">
        <w:rPr>
          <w:bCs/>
        </w:rPr>
        <w:t xml:space="preserve">EC </w:t>
      </w:r>
      <w:r w:rsidR="00183C1E">
        <w:rPr>
          <w:bCs/>
        </w:rPr>
        <w:t xml:space="preserve">program features, </w:t>
      </w:r>
      <w:r w:rsidR="00DE49BE">
        <w:rPr>
          <w:bCs/>
        </w:rPr>
        <w:t xml:space="preserve">including </w:t>
      </w:r>
      <w:r w:rsidR="00244A38">
        <w:rPr>
          <w:bCs/>
        </w:rPr>
        <w:t>e</w:t>
      </w:r>
      <w:r w:rsidR="008D4A8A">
        <w:rPr>
          <w:bCs/>
        </w:rPr>
        <w:t>xposure to community college coursework</w:t>
      </w:r>
      <w:r w:rsidR="00333BAE">
        <w:rPr>
          <w:bCs/>
        </w:rPr>
        <w:t xml:space="preserve"> on a college campus</w:t>
      </w:r>
      <w:r w:rsidR="00183C1E">
        <w:rPr>
          <w:bCs/>
        </w:rPr>
        <w:t>,</w:t>
      </w:r>
      <w:r w:rsidR="008D4A8A">
        <w:rPr>
          <w:bCs/>
        </w:rPr>
        <w:t xml:space="preserve"> </w:t>
      </w:r>
      <w:r w:rsidR="008D4A8A">
        <w:rPr>
          <w:bCs/>
        </w:rPr>
        <w:lastRenderedPageBreak/>
        <w:t xml:space="preserve">could </w:t>
      </w:r>
      <w:r w:rsidR="00783104">
        <w:rPr>
          <w:bCs/>
        </w:rPr>
        <w:t>similarly</w:t>
      </w:r>
      <w:r w:rsidRPr="00F0095C">
        <w:rPr>
          <w:bCs/>
        </w:rPr>
        <w:t xml:space="preserve"> help improve </w:t>
      </w:r>
      <w:r w:rsidR="00183C1E">
        <w:rPr>
          <w:bCs/>
        </w:rPr>
        <w:t xml:space="preserve">the lower levels of </w:t>
      </w:r>
      <w:r w:rsidRPr="00F0095C">
        <w:rPr>
          <w:bCs/>
        </w:rPr>
        <w:t>college aspirations</w:t>
      </w:r>
      <w:r w:rsidR="008D4A8A">
        <w:rPr>
          <w:bCs/>
        </w:rPr>
        <w:t xml:space="preserve"> </w:t>
      </w:r>
      <w:r w:rsidR="00183C1E">
        <w:rPr>
          <w:bCs/>
        </w:rPr>
        <w:t xml:space="preserve">among </w:t>
      </w:r>
      <w:r w:rsidR="008D4A8A">
        <w:rPr>
          <w:bCs/>
        </w:rPr>
        <w:t>EL</w:t>
      </w:r>
      <w:r w:rsidR="00183C1E">
        <w:rPr>
          <w:bCs/>
        </w:rPr>
        <w:t xml:space="preserve"> students </w:t>
      </w:r>
      <w:r w:rsidR="00183C1E">
        <w:rPr>
          <w:bCs/>
        </w:rPr>
        <w:fldChar w:fldCharType="begin" w:fldLock="1"/>
      </w:r>
      <w:r w:rsidR="009318C1">
        <w:rPr>
          <w:bCs/>
        </w:rPr>
        <w:instrText>ADDIN CSL_CITATION {"citationItems":[{"id":"ITEM-1","itemData":{"DOI":"10.1002/tesq.49","ISSN":"00398322","abstract":"Although English language learners (ELLs) are currently the fastest-growing group among the school-age population in the United States, there is surprisingly little information on their participation in postsecondary education. Using the National Education Longitudinal Study of 1988 (NELS:88), a nationally representative sample of eighth graders who were followed for 12 years, we present one of the first national-level examinations of ELLs' access to and degree of attainment in postsecondary education. Our analyses show that ELLs lag far behind both English-proficient linguistic minority students and monolingual English-speaking students in college access and attainment. Only one in eight ELLs in the NELS:88 study earned a bachelor's degree, whereas one in four English-proficient linguistic minority students and one in three monolingual English speakers did. In addition, one in five ELLs was a high school dropout. Subsequent probit regressions reveal that a host of nonlinguistic factors, rather than the ELLs' linguistic background per se, contributed to ELLs' limited postsecondary education access and attainment. © 2012 TESOL International Association.","author":[{"dropping-particle":"","family":"Kanno","given":"Yasuko","non-dropping-particle":"","parse-names":false,"suffix":""},{"dropping-particle":"","family":"Cromley","given":"Jennifer G.","non-dropping-particle":"","parse-names":false,"suffix":""}],"container-title":"TESOL Quarterly","id":"ITEM-1","issue":"1","issued":{"date-parts":[["2013"]]},"page":"89-121","title":"English Language Learners' Access to and Attainment in Postsecondary Education","type":"article-journal","volume":"47"},"uris":["http://www.mendeley.com/documents/?uuid=6d33aa7b-cbea-4cc1-ac88-130f4cace489"]}],"mendeley":{"formattedCitation":"(Kanno &amp; Cromley, 2013)","plainTextFormattedCitation":"(Kanno &amp; Cromley, 2013)","previouslyFormattedCitation":"(Kanno &amp; Cromley, 2013)"},"properties":{"noteIndex":0},"schema":"https://github.com/citation-style-language/schema/raw/master/csl-citation.json"}</w:instrText>
      </w:r>
      <w:r w:rsidR="00183C1E">
        <w:rPr>
          <w:bCs/>
        </w:rPr>
        <w:fldChar w:fldCharType="separate"/>
      </w:r>
      <w:r w:rsidR="00183C1E" w:rsidRPr="00183C1E">
        <w:rPr>
          <w:bCs/>
          <w:noProof/>
        </w:rPr>
        <w:t>(Kanno &amp; Cromley, 2013)</w:t>
      </w:r>
      <w:r w:rsidR="00183C1E">
        <w:rPr>
          <w:bCs/>
        </w:rPr>
        <w:fldChar w:fldCharType="end"/>
      </w:r>
      <w:r w:rsidR="00183C1E">
        <w:rPr>
          <w:bCs/>
        </w:rPr>
        <w:t xml:space="preserve">. </w:t>
      </w:r>
    </w:p>
    <w:p w14:paraId="2C2C511F" w14:textId="13358155" w:rsidR="006E2186" w:rsidRPr="00F0095C" w:rsidRDefault="003160C5" w:rsidP="0016367D">
      <w:pPr>
        <w:spacing w:line="480" w:lineRule="auto"/>
        <w:ind w:firstLine="720"/>
        <w:rPr>
          <w:bCs/>
          <w:highlight w:val="yellow"/>
        </w:rPr>
      </w:pPr>
      <w:r>
        <w:rPr>
          <w:bCs/>
        </w:rPr>
        <w:t>EC</w:t>
      </w:r>
      <w:r w:rsidR="006E2186" w:rsidRPr="00F0095C">
        <w:rPr>
          <w:bCs/>
        </w:rPr>
        <w:t xml:space="preserve"> </w:t>
      </w:r>
      <w:r w:rsidR="00441528">
        <w:rPr>
          <w:bCs/>
        </w:rPr>
        <w:t xml:space="preserve">also </w:t>
      </w:r>
      <w:r w:rsidR="006E2186" w:rsidRPr="00F0095C">
        <w:rPr>
          <w:bCs/>
        </w:rPr>
        <w:t>focus</w:t>
      </w:r>
      <w:r w:rsidR="009D112B">
        <w:rPr>
          <w:bCs/>
        </w:rPr>
        <w:t>es</w:t>
      </w:r>
      <w:r w:rsidR="006E2186" w:rsidRPr="00F0095C">
        <w:rPr>
          <w:bCs/>
        </w:rPr>
        <w:t xml:space="preserve"> on accelerating time to </w:t>
      </w:r>
      <w:r w:rsidR="00407645">
        <w:rPr>
          <w:bCs/>
        </w:rPr>
        <w:t xml:space="preserve">college </w:t>
      </w:r>
      <w:r w:rsidR="006E2186" w:rsidRPr="00F0095C">
        <w:rPr>
          <w:bCs/>
        </w:rPr>
        <w:t xml:space="preserve">completion for </w:t>
      </w:r>
      <w:r w:rsidR="0069269E">
        <w:rPr>
          <w:bCs/>
        </w:rPr>
        <w:t>students</w:t>
      </w:r>
      <w:r w:rsidR="004B7DB3">
        <w:rPr>
          <w:bCs/>
        </w:rPr>
        <w:t xml:space="preserve">. This </w:t>
      </w:r>
      <w:r w:rsidR="006E2186" w:rsidRPr="00F0095C">
        <w:rPr>
          <w:bCs/>
        </w:rPr>
        <w:t>potentially reduces the costs of a postsecondary degree or credential</w:t>
      </w:r>
      <w:r w:rsidR="00407645">
        <w:rPr>
          <w:bCs/>
        </w:rPr>
        <w:t xml:space="preserve"> and</w:t>
      </w:r>
      <w:r w:rsidR="006E2186" w:rsidRPr="00F0095C">
        <w:rPr>
          <w:bCs/>
        </w:rPr>
        <w:t xml:space="preserve"> expedite</w:t>
      </w:r>
      <w:r w:rsidR="00A41526">
        <w:rPr>
          <w:bCs/>
        </w:rPr>
        <w:t>s</w:t>
      </w:r>
      <w:r w:rsidR="006E2186" w:rsidRPr="00F0095C">
        <w:rPr>
          <w:bCs/>
        </w:rPr>
        <w:t xml:space="preserve"> entry into the workforce</w:t>
      </w:r>
      <w:r w:rsidR="005A0931">
        <w:rPr>
          <w:bCs/>
        </w:rPr>
        <w:t>, an attractive feature for students</w:t>
      </w:r>
      <w:r w:rsidR="00A91E65">
        <w:rPr>
          <w:bCs/>
        </w:rPr>
        <w:t xml:space="preserve"> from low-income backgrounds</w:t>
      </w:r>
      <w:r w:rsidR="006E2186" w:rsidRPr="00F0095C">
        <w:rPr>
          <w:bCs/>
        </w:rPr>
        <w:t xml:space="preserve">. </w:t>
      </w:r>
      <w:bookmarkStart w:id="1" w:name="_Hlk79072467"/>
      <w:r w:rsidR="00671F4F">
        <w:rPr>
          <w:bCs/>
        </w:rPr>
        <w:t>In fact</w:t>
      </w:r>
      <w:r w:rsidR="00C5406D">
        <w:rPr>
          <w:bCs/>
        </w:rPr>
        <w:t>, p</w:t>
      </w:r>
      <w:r w:rsidR="00052FF1">
        <w:rPr>
          <w:bCs/>
        </w:rPr>
        <w:t xml:space="preserve">articipation in </w:t>
      </w:r>
      <w:r w:rsidR="00C56690">
        <w:rPr>
          <w:bCs/>
        </w:rPr>
        <w:t xml:space="preserve">other kinds of </w:t>
      </w:r>
      <w:r w:rsidR="00052FF1">
        <w:rPr>
          <w:bCs/>
        </w:rPr>
        <w:t>dual enrollment programs</w:t>
      </w:r>
      <w:r w:rsidR="007F016C">
        <w:rPr>
          <w:bCs/>
        </w:rPr>
        <w:t>,</w:t>
      </w:r>
      <w:r w:rsidR="00E804E9">
        <w:rPr>
          <w:bCs/>
        </w:rPr>
        <w:t xml:space="preserve"> </w:t>
      </w:r>
      <w:bookmarkEnd w:id="1"/>
      <w:r w:rsidR="007F016C">
        <w:rPr>
          <w:bCs/>
        </w:rPr>
        <w:t>which</w:t>
      </w:r>
      <w:r w:rsidR="00403317">
        <w:rPr>
          <w:bCs/>
        </w:rPr>
        <w:t xml:space="preserve"> typically</w:t>
      </w:r>
      <w:r w:rsidR="00E804E9">
        <w:rPr>
          <w:bCs/>
        </w:rPr>
        <w:t xml:space="preserve"> provide </w:t>
      </w:r>
      <w:r w:rsidR="009F694E">
        <w:rPr>
          <w:bCs/>
        </w:rPr>
        <w:t xml:space="preserve">more </w:t>
      </w:r>
      <w:r w:rsidR="00E804E9">
        <w:rPr>
          <w:bCs/>
        </w:rPr>
        <w:t>limited</w:t>
      </w:r>
      <w:r w:rsidR="00255F41">
        <w:rPr>
          <w:bCs/>
        </w:rPr>
        <w:t xml:space="preserve"> student</w:t>
      </w:r>
      <w:r w:rsidR="00E804E9">
        <w:rPr>
          <w:bCs/>
        </w:rPr>
        <w:t xml:space="preserve"> support</w:t>
      </w:r>
      <w:r w:rsidR="00255F41">
        <w:rPr>
          <w:bCs/>
        </w:rPr>
        <w:t>s</w:t>
      </w:r>
      <w:r w:rsidR="00052FF1">
        <w:rPr>
          <w:bCs/>
        </w:rPr>
        <w:t xml:space="preserve"> </w:t>
      </w:r>
      <w:r w:rsidR="009F694E">
        <w:rPr>
          <w:bCs/>
        </w:rPr>
        <w:t>than EC</w:t>
      </w:r>
      <w:r w:rsidR="004265DD">
        <w:rPr>
          <w:bCs/>
        </w:rPr>
        <w:t>s</w:t>
      </w:r>
      <w:r w:rsidR="007F016C">
        <w:rPr>
          <w:bCs/>
        </w:rPr>
        <w:t>,</w:t>
      </w:r>
      <w:r w:rsidR="009F694E">
        <w:rPr>
          <w:bCs/>
        </w:rPr>
        <w:t xml:space="preserve"> have</w:t>
      </w:r>
      <w:r w:rsidR="00052FF1">
        <w:rPr>
          <w:bCs/>
        </w:rPr>
        <w:t xml:space="preserve"> been shown to have stronger effects for </w:t>
      </w:r>
      <w:r w:rsidR="00C13913">
        <w:rPr>
          <w:bCs/>
        </w:rPr>
        <w:t xml:space="preserve">low-income </w:t>
      </w:r>
      <w:r w:rsidR="00052FF1">
        <w:rPr>
          <w:bCs/>
        </w:rPr>
        <w:t xml:space="preserve">students </w:t>
      </w:r>
      <w:r w:rsidR="00C13913">
        <w:rPr>
          <w:bCs/>
        </w:rPr>
        <w:t>than high-income students</w:t>
      </w:r>
      <w:r w:rsidR="00052FF1">
        <w:rPr>
          <w:bCs/>
        </w:rPr>
        <w:t xml:space="preserve"> in increasing the likelihood of completing a </w:t>
      </w:r>
      <w:r w:rsidR="00F433DA">
        <w:rPr>
          <w:bCs/>
        </w:rPr>
        <w:t>BA</w:t>
      </w:r>
      <w:r w:rsidR="00052FF1">
        <w:rPr>
          <w:bCs/>
        </w:rPr>
        <w:t xml:space="preserve"> degree, especially if the student enrolls in a community college directly after high school</w:t>
      </w:r>
      <w:r w:rsidR="00CC786F">
        <w:rPr>
          <w:bCs/>
        </w:rPr>
        <w:t xml:space="preserve"> </w:t>
      </w:r>
      <w:r w:rsidR="00497D45">
        <w:rPr>
          <w:bCs/>
        </w:rPr>
        <w:fldChar w:fldCharType="begin" w:fldLock="1"/>
      </w:r>
      <w:r w:rsidR="00183C1E">
        <w:rPr>
          <w:bCs/>
        </w:rPr>
        <w:instrText>ADDIN CSL_CITATION {"citationItems":[{"id":"ITEM-1","itemData":{"DOI":"10.1177/0013124516644047","ISSN":"15523535","abstract":"Illinois education policymakers have adopted the completion agenda that emphasizes increasing postsecondary credential attainment. Meeting completion agenda goals necessitates addressing the achievement gap. To aid in developing policy to support improved completion, this study analyzes a comprehensive statewide dataset of the 2003 Illinois high school graduating class attending 4-year institutions using Cox regression survival analysis. Study findings indicate that African American (0.768 odds ratio) and Hispanic students (0.746) were significantly less likely to complete a baccalaureate degree within 7 years of graduating from high school when compared with their White peers. Furthermore, significance held regardless of income level. Several factors significantly related to improved likelihood of baccalaureate completion were identified including high school composite American College Testing (ACT) score, dual credit and advanced placement (AP) course taking, type of curriculum, ACT English and mathematics scores, and completing the ACT core curriculum. Analysis was conducted by race and income to compare the differences in significance across these groups.","author":[{"dropping-particle":"","family":"Blankenberger","given":"Bob","non-dropping-particle":"","parse-names":false,"suffix":""},{"dropping-particle":"","family":"Lichtenberger","given":"Eric","non-dropping-particle":"","parse-names":false,"suffix":""},{"dropping-particle":"","family":"Witt","given":"M. Allison","non-dropping-particle":"","parse-names":false,"suffix":""},{"dropping-particle":"","family":"Franklin","given":"Doug","non-dropping-particle":"","parse-names":false,"suffix":""}],"container-title":"Education and Urban Society","id":"ITEM-1","issue":"5","issued":{"date-parts":[["2017"]]},"page":"518-545","title":"Diverse students, high school factors, and completion agenda goals: An analysis of the Illinois class of 2013","type":"article-journal","volume":"49"},"uris":["http://www.mendeley.com/documents/?uuid=d121b7f3-27ae-4d5b-b579-1d24aabfe856"]}],"mendeley":{"formattedCitation":"(Blankenberger, Lichtenberger, Witt, &amp; Franklin, 2017)","manualFormatting":"(Blankenberger et al., 2017)","plainTextFormattedCitation":"(Blankenberger, Lichtenberger, Witt, &amp; Franklin, 2017)","previouslyFormattedCitation":"(Blankenberger, Lichtenberger, Witt, &amp; Franklin, 2017)"},"properties":{"noteIndex":0},"schema":"https://github.com/citation-style-language/schema/raw/master/csl-citation.json"}</w:instrText>
      </w:r>
      <w:r w:rsidR="00497D45">
        <w:rPr>
          <w:bCs/>
        </w:rPr>
        <w:fldChar w:fldCharType="separate"/>
      </w:r>
      <w:r w:rsidR="00497D45" w:rsidRPr="00497D45">
        <w:rPr>
          <w:bCs/>
          <w:noProof/>
        </w:rPr>
        <w:t>(Blankenberger</w:t>
      </w:r>
      <w:r w:rsidR="00E51C13">
        <w:rPr>
          <w:bCs/>
          <w:noProof/>
        </w:rPr>
        <w:t xml:space="preserve"> et al.,</w:t>
      </w:r>
      <w:r w:rsidR="00497D45" w:rsidRPr="00497D45">
        <w:rPr>
          <w:bCs/>
          <w:noProof/>
        </w:rPr>
        <w:t xml:space="preserve"> 2017)</w:t>
      </w:r>
      <w:r w:rsidR="00497D45">
        <w:rPr>
          <w:bCs/>
        </w:rPr>
        <w:fldChar w:fldCharType="end"/>
      </w:r>
      <w:r w:rsidR="00497D45">
        <w:rPr>
          <w:bCs/>
        </w:rPr>
        <w:t xml:space="preserve">. </w:t>
      </w:r>
      <w:r w:rsidR="00CC786F">
        <w:rPr>
          <w:bCs/>
        </w:rPr>
        <w:t xml:space="preserve">College cost reduction and accelerated labor force entry </w:t>
      </w:r>
      <w:r w:rsidR="00CC786F" w:rsidRPr="00F0095C">
        <w:rPr>
          <w:bCs/>
        </w:rPr>
        <w:t>could</w:t>
      </w:r>
      <w:r w:rsidR="009F3D48">
        <w:rPr>
          <w:bCs/>
        </w:rPr>
        <w:t xml:space="preserve"> likewise</w:t>
      </w:r>
      <w:r w:rsidR="00CC786F" w:rsidRPr="00F0095C">
        <w:rPr>
          <w:bCs/>
        </w:rPr>
        <w:t xml:space="preserve"> be particularly relevant to</w:t>
      </w:r>
      <w:r w:rsidR="00CC786F">
        <w:rPr>
          <w:bCs/>
        </w:rPr>
        <w:t xml:space="preserve"> </w:t>
      </w:r>
      <w:r w:rsidR="00CC786F" w:rsidRPr="00F0095C">
        <w:rPr>
          <w:bCs/>
        </w:rPr>
        <w:t>EL</w:t>
      </w:r>
      <w:r w:rsidR="00CC786F">
        <w:rPr>
          <w:bCs/>
        </w:rPr>
        <w:t xml:space="preserve">s from low-income families and influence their </w:t>
      </w:r>
      <w:r w:rsidR="00CC786F" w:rsidRPr="00F0095C">
        <w:rPr>
          <w:bCs/>
        </w:rPr>
        <w:t>decisions to continue their postsecondary education.</w:t>
      </w:r>
      <w:r w:rsidR="00CC786F">
        <w:rPr>
          <w:bCs/>
        </w:rPr>
        <w:t xml:space="preserve"> </w:t>
      </w:r>
      <w:r w:rsidR="006E2186" w:rsidRPr="00F0095C">
        <w:rPr>
          <w:bCs/>
        </w:rPr>
        <w:t xml:space="preserve">Finally, EC may serve to smooth college transitions for ELs. ELs face </w:t>
      </w:r>
      <w:r w:rsidR="00730128">
        <w:rPr>
          <w:bCs/>
        </w:rPr>
        <w:t xml:space="preserve">unique </w:t>
      </w:r>
      <w:r w:rsidR="006E2186" w:rsidRPr="00F0095C">
        <w:rPr>
          <w:bCs/>
        </w:rPr>
        <w:t>challenges in navigating postsecondary institutional environments</w:t>
      </w:r>
      <w:r w:rsidR="00CA4CB8">
        <w:rPr>
          <w:bCs/>
        </w:rPr>
        <w:t xml:space="preserve">, </w:t>
      </w:r>
      <w:r w:rsidR="006E2186" w:rsidRPr="00F0095C">
        <w:rPr>
          <w:bCs/>
        </w:rPr>
        <w:t>often getting redirected to length</w:t>
      </w:r>
      <w:r w:rsidR="006451B5">
        <w:rPr>
          <w:bCs/>
        </w:rPr>
        <w:t>y</w:t>
      </w:r>
      <w:r w:rsidR="006E2186" w:rsidRPr="00F0095C">
        <w:rPr>
          <w:bCs/>
        </w:rPr>
        <w:t xml:space="preserve"> remedial or “developmental” pathways (Bunch &amp; Endris, 2012; Razfar &amp; Simon, 2011). A postsecondary head start provided by EC could </w:t>
      </w:r>
      <w:r w:rsidR="004A7F50">
        <w:rPr>
          <w:bCs/>
        </w:rPr>
        <w:t xml:space="preserve">potentially </w:t>
      </w:r>
      <w:r w:rsidR="006E2186" w:rsidRPr="00F0095C">
        <w:rPr>
          <w:bCs/>
        </w:rPr>
        <w:t>eliminate</w:t>
      </w:r>
      <w:r w:rsidR="00677B94">
        <w:rPr>
          <w:bCs/>
        </w:rPr>
        <w:t xml:space="preserve"> some of</w:t>
      </w:r>
      <w:r w:rsidR="006E2186" w:rsidRPr="00F0095C">
        <w:rPr>
          <w:bCs/>
        </w:rPr>
        <w:t xml:space="preserve"> these issues. </w:t>
      </w:r>
    </w:p>
    <w:p w14:paraId="3B30CA02" w14:textId="0F8AA9FA" w:rsidR="006E2186" w:rsidRPr="001D7677" w:rsidRDefault="006E2186" w:rsidP="006E2186">
      <w:pPr>
        <w:spacing w:line="480" w:lineRule="auto"/>
        <w:rPr>
          <w:bCs/>
        </w:rPr>
      </w:pPr>
      <w:r w:rsidRPr="00F0095C">
        <w:rPr>
          <w:bCs/>
        </w:rPr>
        <w:tab/>
        <w:t xml:space="preserve">On the other hand, EC may have unintended or weakened effects for ELs. </w:t>
      </w:r>
      <w:r w:rsidR="008608A5">
        <w:rPr>
          <w:bCs/>
        </w:rPr>
        <w:t xml:space="preserve">Many </w:t>
      </w:r>
      <w:r w:rsidRPr="00F0095C">
        <w:rPr>
          <w:bCs/>
        </w:rPr>
        <w:t xml:space="preserve">ECs, including the one in this study, partner with </w:t>
      </w:r>
      <w:r w:rsidR="00A437AA">
        <w:rPr>
          <w:bCs/>
        </w:rPr>
        <w:t>two</w:t>
      </w:r>
      <w:r w:rsidRPr="00F0095C">
        <w:rPr>
          <w:bCs/>
        </w:rPr>
        <w:t xml:space="preserve">-year colleges (Song &amp; Zeiser, 2019). This </w:t>
      </w:r>
      <w:r w:rsidR="00577122">
        <w:rPr>
          <w:bCs/>
        </w:rPr>
        <w:t xml:space="preserve">program feature could </w:t>
      </w:r>
      <w:r w:rsidRPr="00F0095C">
        <w:rPr>
          <w:bCs/>
        </w:rPr>
        <w:t xml:space="preserve">end up funneling students into </w:t>
      </w:r>
      <w:r w:rsidR="00A437AA">
        <w:rPr>
          <w:bCs/>
        </w:rPr>
        <w:t>two</w:t>
      </w:r>
      <w:r w:rsidRPr="00F0095C">
        <w:rPr>
          <w:bCs/>
        </w:rPr>
        <w:t xml:space="preserve">-year colleges and away from pathways that would lead to </w:t>
      </w:r>
      <w:r w:rsidR="00F25A78">
        <w:rPr>
          <w:bCs/>
        </w:rPr>
        <w:t>BA</w:t>
      </w:r>
      <w:r w:rsidRPr="00F0095C">
        <w:rPr>
          <w:bCs/>
        </w:rPr>
        <w:t xml:space="preserve"> degrees. Existing research suggests that ECs </w:t>
      </w:r>
      <w:r w:rsidR="00931E65">
        <w:rPr>
          <w:bCs/>
        </w:rPr>
        <w:t>push</w:t>
      </w:r>
      <w:r w:rsidRPr="00F0095C">
        <w:rPr>
          <w:bCs/>
        </w:rPr>
        <w:t xml:space="preserve"> </w:t>
      </w:r>
      <w:r w:rsidR="00931E65">
        <w:rPr>
          <w:bCs/>
        </w:rPr>
        <w:t xml:space="preserve">English-proficient </w:t>
      </w:r>
      <w:r w:rsidRPr="00F0095C">
        <w:rPr>
          <w:bCs/>
        </w:rPr>
        <w:t xml:space="preserve">students towards </w:t>
      </w:r>
      <w:r w:rsidR="00D938D3">
        <w:rPr>
          <w:bCs/>
        </w:rPr>
        <w:t>four</w:t>
      </w:r>
      <w:r w:rsidRPr="00F0095C">
        <w:rPr>
          <w:bCs/>
        </w:rPr>
        <w:t xml:space="preserve">-year rather than </w:t>
      </w:r>
      <w:r w:rsidR="00D938D3">
        <w:rPr>
          <w:bCs/>
        </w:rPr>
        <w:t>two</w:t>
      </w:r>
      <w:r w:rsidRPr="00F0095C">
        <w:rPr>
          <w:bCs/>
        </w:rPr>
        <w:t xml:space="preserve">-year institutions (Berger et al., 2013)—but we do not know if this pattern would </w:t>
      </w:r>
      <w:r w:rsidR="00931E65">
        <w:rPr>
          <w:bCs/>
        </w:rPr>
        <w:t>apply to</w:t>
      </w:r>
      <w:r w:rsidRPr="00F0095C">
        <w:rPr>
          <w:bCs/>
        </w:rPr>
        <w:t xml:space="preserve"> ELs. </w:t>
      </w:r>
      <w:r w:rsidR="00931E65">
        <w:rPr>
          <w:bCs/>
        </w:rPr>
        <w:t>ELs are</w:t>
      </w:r>
      <w:r w:rsidRPr="00F0095C">
        <w:rPr>
          <w:bCs/>
        </w:rPr>
        <w:t xml:space="preserve"> </w:t>
      </w:r>
      <w:r w:rsidR="00931E65">
        <w:rPr>
          <w:bCs/>
        </w:rPr>
        <w:t>currently</w:t>
      </w:r>
      <w:r w:rsidRPr="00F0095C">
        <w:rPr>
          <w:bCs/>
        </w:rPr>
        <w:t xml:space="preserve"> overrepresented in </w:t>
      </w:r>
      <w:r w:rsidR="007269C8">
        <w:rPr>
          <w:bCs/>
        </w:rPr>
        <w:t>two</w:t>
      </w:r>
      <w:r w:rsidRPr="00F0095C">
        <w:rPr>
          <w:bCs/>
        </w:rPr>
        <w:t>-year institutions (</w:t>
      </w:r>
      <w:r w:rsidRPr="00F82D72">
        <w:t>Núñez</w:t>
      </w:r>
      <w:r w:rsidRPr="00D45266">
        <w:t xml:space="preserve"> &amp; Sparks, 2012)</w:t>
      </w:r>
      <w:r w:rsidRPr="001D7677">
        <w:rPr>
          <w:bCs/>
        </w:rPr>
        <w:t xml:space="preserve"> and less likely than </w:t>
      </w:r>
      <w:r w:rsidR="00D862BE">
        <w:rPr>
          <w:bCs/>
        </w:rPr>
        <w:t>non-ELs</w:t>
      </w:r>
      <w:r w:rsidRPr="001D7677">
        <w:rPr>
          <w:bCs/>
        </w:rPr>
        <w:t xml:space="preserve"> to transfer to a </w:t>
      </w:r>
      <w:r w:rsidR="00222543">
        <w:rPr>
          <w:bCs/>
        </w:rPr>
        <w:t>four</w:t>
      </w:r>
      <w:r w:rsidRPr="001D7677">
        <w:rPr>
          <w:bCs/>
        </w:rPr>
        <w:t xml:space="preserve">-year college (Razfar &amp; Simon, 2011). Additionally, ECs have stronger effects for students who enter </w:t>
      </w:r>
      <w:r w:rsidRPr="001D7677">
        <w:rPr>
          <w:bCs/>
        </w:rPr>
        <w:lastRenderedPageBreak/>
        <w:t xml:space="preserve">high school academically prepared (Berger et al., 2013); therefore, ELs, </w:t>
      </w:r>
      <w:r w:rsidR="00780C1A">
        <w:rPr>
          <w:bCs/>
        </w:rPr>
        <w:t xml:space="preserve">who </w:t>
      </w:r>
      <w:r w:rsidR="00CD3FE7">
        <w:rPr>
          <w:bCs/>
        </w:rPr>
        <w:t>tend to be lower</w:t>
      </w:r>
      <w:r w:rsidR="00FF59C3">
        <w:rPr>
          <w:bCs/>
        </w:rPr>
        <w:t xml:space="preserve"> </w:t>
      </w:r>
      <w:r w:rsidR="00CD3FE7">
        <w:rPr>
          <w:bCs/>
        </w:rPr>
        <w:t>achieving on average</w:t>
      </w:r>
      <w:r w:rsidRPr="001D7677">
        <w:rPr>
          <w:bCs/>
        </w:rPr>
        <w:t xml:space="preserve">, may not benefit from EC in similar ways. </w:t>
      </w:r>
    </w:p>
    <w:p w14:paraId="59C28DF6" w14:textId="46F311FD" w:rsidR="006E2186" w:rsidRPr="001D7677" w:rsidRDefault="00CD3FE7" w:rsidP="006E2186">
      <w:pPr>
        <w:spacing w:line="480" w:lineRule="auto"/>
        <w:ind w:firstLine="720"/>
      </w:pPr>
      <w:r>
        <w:t>Although quite a few experimental studies have examined the impact of EC on English</w:t>
      </w:r>
      <w:r w:rsidR="00474C7A">
        <w:t>-monolingual</w:t>
      </w:r>
      <w:r w:rsidR="003655A3">
        <w:t xml:space="preserve"> </w:t>
      </w:r>
      <w:r w:rsidR="00F50BF2">
        <w:t>students</w:t>
      </w:r>
      <w:r>
        <w:t>, o</w:t>
      </w:r>
      <w:r w:rsidR="006E2186" w:rsidRPr="001D7677">
        <w:t xml:space="preserve">nly one propensity score matching study, with a small EL </w:t>
      </w:r>
      <w:r>
        <w:t>subgroup in its sample</w:t>
      </w:r>
      <w:r w:rsidR="006E2186" w:rsidRPr="001D7677">
        <w:t xml:space="preserve">, has explored the effect of EC on ELs. Haskell’s (2016) full sample consisted of 90,642 high school students in Utah, 1.1% of whom participated in EC. </w:t>
      </w:r>
      <w:r w:rsidR="00474C7A">
        <w:t xml:space="preserve">The 108 </w:t>
      </w:r>
      <w:r w:rsidR="006E2186" w:rsidRPr="001D7677">
        <w:t>EL</w:t>
      </w:r>
      <w:r w:rsidR="00474C7A">
        <w:t xml:space="preserve"> students in the study </w:t>
      </w:r>
      <w:r w:rsidR="006E2186" w:rsidRPr="001D7677">
        <w:t>comprised 10.8% of the EC participants. The study found that for ELs, EC was associated with higher probability of enrollment in any higher education and degree completion, as well as shorter time to associate’s</w:t>
      </w:r>
      <w:r w:rsidR="00194965">
        <w:t xml:space="preserve"> </w:t>
      </w:r>
      <w:r w:rsidR="006E2186" w:rsidRPr="001D7677">
        <w:t xml:space="preserve">and bachelor’s degrees. These findings seem to indicate that EC is associated with positive postsecondary outcomes, but this needs to be interrogated using larger EL samples and most robust identification strategies. Propensity score matching can control for observed student characteristics but cannot account for unobserved factors that may be key to academic success. For instance, the only pretreatment covariates Haskell (2016) used in the study were gender, race, income, EL status, and 8th grade test scores in Language Arts, Algebra I, and Science. The limited information provided by the few covariates presents challenges to the validity of the treatment-control comparison. Haskell (2016) acknowledged that EL students who participated in EC in had potentially higher English language literacy compared to other ELs students in the sample; but ELs in EC may have been unique in other ways, such as parent education and years previously spent as EL. To produce robust estimates, studies need to take a richer set of baseline characteristics into account. The literature needs credible causal evidence from studies that apply more robust experimental or quasi-experimental designs to a larger EL sample. </w:t>
      </w:r>
    </w:p>
    <w:p w14:paraId="29D160B9" w14:textId="037FEBDF" w:rsidR="004616FB" w:rsidRPr="00D45266" w:rsidRDefault="004616FB" w:rsidP="00A40F25">
      <w:pPr>
        <w:spacing w:line="480" w:lineRule="auto"/>
        <w:rPr>
          <w:b/>
        </w:rPr>
      </w:pPr>
      <w:r w:rsidRPr="00F82D72">
        <w:rPr>
          <w:b/>
        </w:rPr>
        <w:t>Current Study</w:t>
      </w:r>
    </w:p>
    <w:p w14:paraId="55BE8E77" w14:textId="5FC4BD43" w:rsidR="00F468CF" w:rsidRPr="00141493" w:rsidRDefault="006B7511" w:rsidP="0030147B">
      <w:pPr>
        <w:spacing w:line="480" w:lineRule="auto"/>
        <w:ind w:firstLine="720"/>
      </w:pPr>
      <w:r w:rsidRPr="00381788">
        <w:lastRenderedPageBreak/>
        <w:t>We examine</w:t>
      </w:r>
      <w:r w:rsidR="006C663E" w:rsidRPr="00381788">
        <w:t xml:space="preserve"> a case of EC</w:t>
      </w:r>
      <w:r w:rsidR="004C6C39" w:rsidRPr="00381788">
        <w:t xml:space="preserve"> implemented by a large</w:t>
      </w:r>
      <w:r w:rsidR="000673DB" w:rsidRPr="00381788">
        <w:t>,</w:t>
      </w:r>
      <w:r w:rsidR="004C6C39" w:rsidRPr="00381788">
        <w:t xml:space="preserve"> urban school district in California</w:t>
      </w:r>
      <w:r w:rsidR="006C663E" w:rsidRPr="00381788">
        <w:t>.</w:t>
      </w:r>
      <w:r w:rsidR="000673DB" w:rsidRPr="00086066">
        <w:t xml:space="preserve"> </w:t>
      </w:r>
      <w:r w:rsidR="00F8167E" w:rsidRPr="00C11D37">
        <w:t>Leveraging rich administrative data</w:t>
      </w:r>
      <w:r w:rsidR="009E3021" w:rsidRPr="009E3021">
        <w:t xml:space="preserve"> </w:t>
      </w:r>
      <w:r w:rsidR="009E3021" w:rsidRPr="00C11D37">
        <w:t xml:space="preserve">on </w:t>
      </w:r>
      <w:r w:rsidR="009E3021">
        <w:t>seven</w:t>
      </w:r>
      <w:r w:rsidR="009E3021" w:rsidRPr="00C11D37">
        <w:t xml:space="preserve"> cohorts of high school </w:t>
      </w:r>
      <w:r w:rsidR="00E51C13">
        <w:t>students</w:t>
      </w:r>
      <w:r w:rsidR="00FD3DE8">
        <w:t>, including</w:t>
      </w:r>
      <w:r w:rsidR="002756FA" w:rsidRPr="00C11D37">
        <w:t xml:space="preserve"> National Student Clearinghouse records</w:t>
      </w:r>
      <w:r w:rsidR="00FD3DE8">
        <w:t>,</w:t>
      </w:r>
      <w:r w:rsidR="002756FA" w:rsidRPr="00C11D37">
        <w:t xml:space="preserve"> we</w:t>
      </w:r>
      <w:r w:rsidR="00F8167E" w:rsidRPr="00C11D37">
        <w:t xml:space="preserve"> look at the </w:t>
      </w:r>
      <w:r w:rsidR="002C4F48">
        <w:t>effects</w:t>
      </w:r>
      <w:r w:rsidR="00F8167E" w:rsidRPr="00C11D37">
        <w:t xml:space="preserve"> of whole</w:t>
      </w:r>
      <w:r w:rsidR="00FD3DE8">
        <w:t>-cohort</w:t>
      </w:r>
      <w:r w:rsidR="00F8167E" w:rsidRPr="00C11D37">
        <w:t xml:space="preserve"> EC participation on ELs’ </w:t>
      </w:r>
      <w:r w:rsidR="00B8256C">
        <w:t xml:space="preserve">1) college credits earned; 2) </w:t>
      </w:r>
      <w:r w:rsidR="001D157B">
        <w:t xml:space="preserve">immediate </w:t>
      </w:r>
      <w:r w:rsidR="00B8256C">
        <w:t>college enrollment; 3)</w:t>
      </w:r>
      <w:r w:rsidR="001D157B">
        <w:t xml:space="preserve"> attending a four-year college; and 4)</w:t>
      </w:r>
      <w:r w:rsidR="00B8256C">
        <w:t xml:space="preserve"> on-time high school graduation.</w:t>
      </w:r>
      <w:bookmarkStart w:id="2" w:name="_Hlk51317431"/>
      <w:r w:rsidR="00B8256C">
        <w:t xml:space="preserve"> </w:t>
      </w:r>
      <w:r w:rsidR="00747AF3" w:rsidRPr="00A4274A">
        <w:t>As EC was rolled out in the district by cohort in three of the high schools, w</w:t>
      </w:r>
      <w:r w:rsidR="00855984" w:rsidRPr="00A4274A">
        <w:t>e</w:t>
      </w:r>
      <w:r w:rsidR="00E10720" w:rsidRPr="00A4274A">
        <w:t xml:space="preserve"> use a differen</w:t>
      </w:r>
      <w:r w:rsidR="00855984" w:rsidRPr="00A4274A">
        <w:t>ce-in-differences design</w:t>
      </w:r>
      <w:r w:rsidR="00747AF3" w:rsidRPr="00A4274A">
        <w:t xml:space="preserve"> to compare the post-EC outcomes of </w:t>
      </w:r>
      <w:r w:rsidR="00747AF3" w:rsidRPr="00CA2193">
        <w:t xml:space="preserve">treated and control </w:t>
      </w:r>
      <w:bookmarkStart w:id="3" w:name="_Hlk66430722"/>
      <w:r w:rsidR="00747AF3" w:rsidRPr="00CA2193">
        <w:t>groups</w:t>
      </w:r>
      <w:r w:rsidR="00CA2193">
        <w:t xml:space="preserve"> (i.e., the three high schools versus other high schools in the district)</w:t>
      </w:r>
      <w:r w:rsidR="00747AF3" w:rsidRPr="00141493">
        <w:t xml:space="preserve">. </w:t>
      </w:r>
      <w:bookmarkEnd w:id="3"/>
      <w:r w:rsidR="00747AF3" w:rsidRPr="00141493">
        <w:t>This design recognizes that in the abse</w:t>
      </w:r>
      <w:r w:rsidR="00747AF3" w:rsidRPr="00C11D37">
        <w:t>nce of random assignment to treatment, treated and control groups are likely to differ in many ways, including in their pre-treatment outcome levels. However, if the outcomes of the treated and control groups move in parallel in the absence of treatment, we may</w:t>
      </w:r>
      <w:r w:rsidR="0030147B" w:rsidRPr="00C11D37">
        <w:t xml:space="preserve"> examine the two groups’ post-period outcome trends and</w:t>
      </w:r>
      <w:r w:rsidR="00747AF3" w:rsidRPr="00C11D37">
        <w:t xml:space="preserve"> interpret </w:t>
      </w:r>
      <w:r w:rsidR="0030147B" w:rsidRPr="00C11D37">
        <w:t xml:space="preserve">the treated group’s divergence </w:t>
      </w:r>
      <w:r w:rsidR="00747AF3" w:rsidRPr="00C11D37">
        <w:t xml:space="preserve">from </w:t>
      </w:r>
      <w:r w:rsidR="0030147B" w:rsidRPr="00C11D37">
        <w:t xml:space="preserve">the </w:t>
      </w:r>
      <w:r w:rsidR="00747AF3" w:rsidRPr="00C11D37">
        <w:t>control group</w:t>
      </w:r>
      <w:r w:rsidR="0030147B" w:rsidRPr="00C11D37">
        <w:t xml:space="preserve"> trend as the treatment effect (Angrist &amp; Pischke, 2015). </w:t>
      </w:r>
      <w:bookmarkEnd w:id="2"/>
      <w:r w:rsidR="00FD6187" w:rsidRPr="00141493">
        <w:t xml:space="preserve">Enabled by this </w:t>
      </w:r>
      <w:r w:rsidR="00256FB1" w:rsidRPr="00141493">
        <w:t>research</w:t>
      </w:r>
      <w:r w:rsidR="00FD6187" w:rsidRPr="00141493">
        <w:t xml:space="preserve"> design and unique </w:t>
      </w:r>
      <w:r w:rsidR="0021788D" w:rsidRPr="00141493">
        <w:t>data that include</w:t>
      </w:r>
      <w:r w:rsidRPr="00141493">
        <w:t xml:space="preserve"> </w:t>
      </w:r>
      <w:proofErr w:type="gramStart"/>
      <w:r w:rsidRPr="00141493">
        <w:t>a large number of</w:t>
      </w:r>
      <w:proofErr w:type="gramEnd"/>
      <w:r w:rsidRPr="00141493">
        <w:t xml:space="preserve"> ELs</w:t>
      </w:r>
      <w:r w:rsidR="00FD6187" w:rsidRPr="00141493">
        <w:t xml:space="preserve">, this study expands our knowledge of </w:t>
      </w:r>
      <w:r w:rsidR="00141493">
        <w:t>EC or dual-enrollment</w:t>
      </w:r>
      <w:r w:rsidR="00FD6187" w:rsidRPr="00141493">
        <w:t xml:space="preserve"> </w:t>
      </w:r>
      <w:r w:rsidR="005751D4" w:rsidRPr="00141493">
        <w:t xml:space="preserve">effects on </w:t>
      </w:r>
      <w:r w:rsidR="00176D46" w:rsidRPr="00141493">
        <w:t>historically</w:t>
      </w:r>
      <w:r w:rsidR="00176D46">
        <w:t xml:space="preserve"> underserved</w:t>
      </w:r>
      <w:r w:rsidR="005751D4" w:rsidRPr="00141493">
        <w:t xml:space="preserve"> student populations </w:t>
      </w:r>
      <w:r w:rsidR="00FD6187" w:rsidRPr="00141493">
        <w:t>and fills an important gap in the college access literature</w:t>
      </w:r>
      <w:r w:rsidR="00AD3653" w:rsidRPr="00141493">
        <w:t xml:space="preserve">. </w:t>
      </w:r>
    </w:p>
    <w:p w14:paraId="20B0AE85" w14:textId="07E45678" w:rsidR="00160A9D" w:rsidRPr="00C11D37" w:rsidRDefault="00F468CF" w:rsidP="00A40F25">
      <w:pPr>
        <w:spacing w:line="480" w:lineRule="auto"/>
        <w:jc w:val="center"/>
        <w:rPr>
          <w:b/>
        </w:rPr>
      </w:pPr>
      <w:r w:rsidRPr="00C11D37">
        <w:rPr>
          <w:b/>
        </w:rPr>
        <w:t>Study Context</w:t>
      </w:r>
      <w:r w:rsidR="00AD3653" w:rsidRPr="00C11D37">
        <w:rPr>
          <w:b/>
        </w:rPr>
        <w:t xml:space="preserve"> and Data</w:t>
      </w:r>
    </w:p>
    <w:p w14:paraId="629DC3EC" w14:textId="4E22B5E5" w:rsidR="00406D9D" w:rsidRPr="008E2E86" w:rsidRDefault="00C57383" w:rsidP="00F072D5">
      <w:pPr>
        <w:spacing w:line="480" w:lineRule="auto"/>
        <w:ind w:firstLine="720"/>
      </w:pPr>
      <w:r w:rsidRPr="00C11D37">
        <w:t>Data for this study come from a</w:t>
      </w:r>
      <w:r w:rsidR="00E23F86">
        <w:t xml:space="preserve"> larger, mixed-methods investigation</w:t>
      </w:r>
      <w:r w:rsidR="00F072D5">
        <w:t>—comprised of administrative data</w:t>
      </w:r>
      <w:r w:rsidR="004C4F52">
        <w:t xml:space="preserve"> as well as </w:t>
      </w:r>
      <w:r w:rsidR="00F072D5">
        <w:t>student interviews and surveys—</w:t>
      </w:r>
      <w:r w:rsidR="00D127ED">
        <w:t>in</w:t>
      </w:r>
      <w:r w:rsidR="00E23F86">
        <w:t xml:space="preserve"> a</w:t>
      </w:r>
      <w:r w:rsidRPr="00C11D37">
        <w:t xml:space="preserve"> district in California that enrolls a </w:t>
      </w:r>
      <w:r w:rsidR="005746E2" w:rsidRPr="00C11D37">
        <w:t>substantial</w:t>
      </w:r>
      <w:r w:rsidRPr="008E2E86">
        <w:t xml:space="preserve"> </w:t>
      </w:r>
      <w:r w:rsidR="001C1501" w:rsidRPr="008E2E86">
        <w:t xml:space="preserve">adolescent EL </w:t>
      </w:r>
      <w:r w:rsidRPr="00C11D37">
        <w:t xml:space="preserve">population. </w:t>
      </w:r>
      <w:r w:rsidR="00B669D2">
        <w:t>We focus on the results from the administrative data analysis in this paper, but briefly reference student survey data to contextualize the interpretation of our findings</w:t>
      </w:r>
      <w:r w:rsidR="009D4903" w:rsidRPr="009D4903">
        <w:t xml:space="preserve"> </w:t>
      </w:r>
      <w:r w:rsidR="009D4903">
        <w:t>in the discussion section</w:t>
      </w:r>
      <w:r w:rsidR="00B669D2">
        <w:t xml:space="preserve">. </w:t>
      </w:r>
      <w:r w:rsidR="00257364" w:rsidRPr="00C11D37">
        <w:t xml:space="preserve">In this district, </w:t>
      </w:r>
      <w:r w:rsidR="008B546F" w:rsidRPr="00C11D37">
        <w:t>ELs comprise between 12% and 2</w:t>
      </w:r>
      <w:r w:rsidR="002B5682" w:rsidRPr="00C11D37">
        <w:t>0% of students in 9</w:t>
      </w:r>
      <w:r w:rsidR="002B5682" w:rsidRPr="00C11D37">
        <w:rPr>
          <w:vertAlign w:val="superscript"/>
        </w:rPr>
        <w:t>th</w:t>
      </w:r>
      <w:r w:rsidR="002B5682" w:rsidRPr="00C11D37">
        <w:t xml:space="preserve"> to 12</w:t>
      </w:r>
      <w:r w:rsidR="002B5682" w:rsidRPr="00C11D37">
        <w:rPr>
          <w:vertAlign w:val="superscript"/>
        </w:rPr>
        <w:t>th</w:t>
      </w:r>
      <w:r w:rsidR="002B5682" w:rsidRPr="00C11D37">
        <w:t xml:space="preserve"> grade</w:t>
      </w:r>
      <w:r w:rsidR="00B94862" w:rsidRPr="00C11D37">
        <w:t xml:space="preserve"> across </w:t>
      </w:r>
      <w:r w:rsidR="004718B5" w:rsidRPr="00C11D37">
        <w:t>its</w:t>
      </w:r>
      <w:r w:rsidR="00B94862" w:rsidRPr="00C11D37">
        <w:t xml:space="preserve"> </w:t>
      </w:r>
      <w:r w:rsidR="008B546F" w:rsidRPr="00C11D37">
        <w:t>17 high schools</w:t>
      </w:r>
      <w:r w:rsidR="005746E2" w:rsidRPr="00C11D37">
        <w:t>, which is more than twice the national average (</w:t>
      </w:r>
      <w:r w:rsidR="006C080B" w:rsidRPr="00C11D37">
        <w:t>Bialik et al.</w:t>
      </w:r>
      <w:r w:rsidR="005746E2" w:rsidRPr="00C11D37">
        <w:t>, 2018</w:t>
      </w:r>
      <w:r w:rsidR="005746E2" w:rsidRPr="00F82D72">
        <w:t>)</w:t>
      </w:r>
      <w:r w:rsidR="00DF7C0A" w:rsidRPr="00D45266">
        <w:t xml:space="preserve">. </w:t>
      </w:r>
      <w:r w:rsidR="004127B3" w:rsidRPr="00C557AA">
        <w:t xml:space="preserve">The </w:t>
      </w:r>
      <w:r w:rsidR="003528E5">
        <w:t>EC</w:t>
      </w:r>
      <w:r w:rsidR="004127B3" w:rsidRPr="00C557AA">
        <w:t xml:space="preserve"> program was an initiative co-designed by </w:t>
      </w:r>
      <w:r w:rsidR="004127B3" w:rsidRPr="00C557AA">
        <w:lastRenderedPageBreak/>
        <w:t xml:space="preserve">district administrators and the leadership at a high school that enrolls </w:t>
      </w:r>
      <w:proofErr w:type="gramStart"/>
      <w:r w:rsidR="004127B3" w:rsidRPr="00C557AA">
        <w:t>a large number of</w:t>
      </w:r>
      <w:proofErr w:type="gramEnd"/>
      <w:r w:rsidR="004127B3" w:rsidRPr="00C557AA">
        <w:t xml:space="preserve"> </w:t>
      </w:r>
      <w:r w:rsidR="00AF10F9" w:rsidRPr="00381788">
        <w:t>recently arrived</w:t>
      </w:r>
      <w:r w:rsidR="005459DC" w:rsidRPr="00381788">
        <w:t>, newcomer</w:t>
      </w:r>
      <w:r w:rsidR="00052DF5" w:rsidRPr="00381788">
        <w:t xml:space="preserve"> </w:t>
      </w:r>
      <w:r w:rsidR="004127B3" w:rsidRPr="00381788">
        <w:t xml:space="preserve">EL students. </w:t>
      </w:r>
      <w:r w:rsidR="0015266F" w:rsidRPr="005267A6">
        <w:t>The design of the program aims to improve</w:t>
      </w:r>
      <w:r w:rsidR="001B250E">
        <w:t xml:space="preserve"> high school</w:t>
      </w:r>
      <w:r w:rsidR="0015266F" w:rsidRPr="005267A6">
        <w:t xml:space="preserve"> graduation rates as well</w:t>
      </w:r>
      <w:r w:rsidR="0015266F" w:rsidRPr="008E2E86">
        <w:t xml:space="preserve"> as college opportunities for ELs.  </w:t>
      </w:r>
    </w:p>
    <w:p w14:paraId="29EC2003" w14:textId="61FA6ACC" w:rsidR="00452FA8" w:rsidRPr="00C11D37" w:rsidRDefault="004127B3" w:rsidP="006D5438">
      <w:pPr>
        <w:spacing w:line="480" w:lineRule="auto"/>
        <w:ind w:firstLine="720"/>
      </w:pPr>
      <w:r w:rsidRPr="008E2E86">
        <w:t xml:space="preserve">According to the district, </w:t>
      </w:r>
      <w:r w:rsidR="006D5438" w:rsidRPr="008E2E86">
        <w:t xml:space="preserve">their adolescent </w:t>
      </w:r>
      <w:r w:rsidRPr="008E2E86">
        <w:t>ELs drop out of high school</w:t>
      </w:r>
      <w:r w:rsidR="006D5438" w:rsidRPr="008E2E86">
        <w:t xml:space="preserve"> </w:t>
      </w:r>
      <w:r w:rsidR="003923DE" w:rsidRPr="008E2E86">
        <w:t>or</w:t>
      </w:r>
      <w:r w:rsidR="006D5438" w:rsidRPr="00213DF4">
        <w:t xml:space="preserve"> do not continue into college</w:t>
      </w:r>
      <w:r w:rsidRPr="00213DF4">
        <w:t xml:space="preserve"> for a couple of reasons. </w:t>
      </w:r>
      <w:r w:rsidR="00CD333F" w:rsidRPr="003031AC">
        <w:t>First, these</w:t>
      </w:r>
      <w:r w:rsidR="006D5438" w:rsidRPr="003031AC">
        <w:t xml:space="preserve"> students </w:t>
      </w:r>
      <w:r w:rsidRPr="003031AC">
        <w:t>ten</w:t>
      </w:r>
      <w:r w:rsidR="00AB184F" w:rsidRPr="003031AC">
        <w:t>d</w:t>
      </w:r>
      <w:r w:rsidRPr="008C25DD">
        <w:t xml:space="preserve"> to be older than their grade-level peers and </w:t>
      </w:r>
      <w:r w:rsidR="00AB184F" w:rsidRPr="003031AC">
        <w:t>therefore</w:t>
      </w:r>
      <w:r w:rsidRPr="003031AC">
        <w:t xml:space="preserve"> </w:t>
      </w:r>
      <w:r w:rsidR="007B06D1" w:rsidRPr="003031AC">
        <w:t>face more adult pressures to obtain</w:t>
      </w:r>
      <w:r w:rsidR="002B1AF9" w:rsidRPr="003031AC">
        <w:t xml:space="preserve"> a job that can</w:t>
      </w:r>
      <w:r w:rsidRPr="004A197F">
        <w:t xml:space="preserve"> financially support their families. </w:t>
      </w:r>
      <w:r w:rsidR="00052DF5" w:rsidRPr="00C11D37">
        <w:t xml:space="preserve">Although teachers and staff repeatedly communicate the value of a high school diploma to the students, many still </w:t>
      </w:r>
      <w:r w:rsidR="004F35B4">
        <w:t>depart before obtaining their high school degree</w:t>
      </w:r>
      <w:r w:rsidR="00052DF5" w:rsidRPr="004F35B4">
        <w:t xml:space="preserve">. </w:t>
      </w:r>
      <w:r w:rsidR="002C6A82">
        <w:t>A</w:t>
      </w:r>
      <w:r w:rsidR="002C6A82" w:rsidRPr="004F35B4">
        <w:t xml:space="preserve"> </w:t>
      </w:r>
      <w:r w:rsidRPr="004F35B4">
        <w:t xml:space="preserve">central aim of the </w:t>
      </w:r>
      <w:r w:rsidR="002A2A84" w:rsidRPr="004F35B4">
        <w:t xml:space="preserve">EC </w:t>
      </w:r>
      <w:r w:rsidRPr="004F35B4">
        <w:t xml:space="preserve">program </w:t>
      </w:r>
      <w:r w:rsidR="00895194">
        <w:t>is</w:t>
      </w:r>
      <w:r w:rsidR="00235F7B" w:rsidRPr="004F35B4">
        <w:t xml:space="preserve"> </w:t>
      </w:r>
      <w:r w:rsidRPr="004F35B4">
        <w:t xml:space="preserve">to </w:t>
      </w:r>
      <w:r w:rsidR="00052DF5" w:rsidRPr="004F35B4">
        <w:t xml:space="preserve">address this issue by </w:t>
      </w:r>
      <w:r w:rsidRPr="004F35B4">
        <w:t>offer</w:t>
      </w:r>
      <w:r w:rsidR="00052DF5" w:rsidRPr="004F35B4">
        <w:t>ing</w:t>
      </w:r>
      <w:r w:rsidRPr="004F35B4">
        <w:t xml:space="preserve"> </w:t>
      </w:r>
      <w:r w:rsidR="001E5DF9" w:rsidRPr="004F35B4">
        <w:t>adolescent</w:t>
      </w:r>
      <w:r w:rsidRPr="004F35B4">
        <w:t xml:space="preserve"> ELs the opportunity to gain college credit</w:t>
      </w:r>
      <w:r w:rsidR="00052DF5" w:rsidRPr="004F35B4">
        <w:t>s</w:t>
      </w:r>
      <w:r w:rsidRPr="004F35B4">
        <w:t xml:space="preserve"> while still enrolled in high school</w:t>
      </w:r>
      <w:r w:rsidR="00052DF5" w:rsidRPr="00895194">
        <w:t>. The school and district leaders who designed the</w:t>
      </w:r>
      <w:r w:rsidR="00052DF5" w:rsidRPr="00323364">
        <w:t xml:space="preserve"> program hoped that it would incentivize</w:t>
      </w:r>
      <w:r w:rsidRPr="00C11D37">
        <w:t xml:space="preserve"> students to stay in school</w:t>
      </w:r>
      <w:r w:rsidR="00052DF5" w:rsidRPr="00C11D37">
        <w:t xml:space="preserve"> by providing access to a set of more rigorous courses and an “onramp” to a certificate or a degree, which leads to higher wages</w:t>
      </w:r>
      <w:r w:rsidRPr="00C11D37">
        <w:t xml:space="preserve">. </w:t>
      </w:r>
    </w:p>
    <w:p w14:paraId="2C963380" w14:textId="34DB289B" w:rsidR="00A52B50" w:rsidRDefault="00C53D18" w:rsidP="007159AC">
      <w:pPr>
        <w:spacing w:line="480" w:lineRule="auto"/>
        <w:ind w:firstLine="720"/>
      </w:pPr>
      <w:r w:rsidRPr="00C11D37">
        <w:t xml:space="preserve">The district additionally noted that </w:t>
      </w:r>
      <w:r w:rsidR="00ED0220">
        <w:t>another</w:t>
      </w:r>
      <w:r w:rsidR="00ED0220" w:rsidRPr="00ED0220">
        <w:t xml:space="preserve"> </w:t>
      </w:r>
      <w:r w:rsidRPr="00ED0220">
        <w:t xml:space="preserve">goal of the EC program has been to </w:t>
      </w:r>
      <w:r w:rsidRPr="00ED0220">
        <w:rPr>
          <w:shd w:val="clear" w:color="auto" w:fill="FFFFFF"/>
        </w:rPr>
        <w:t>provide all students, regardless of prior academic achievement, with access to postsecondary education that leads to employment.</w:t>
      </w:r>
      <w:r w:rsidRPr="00C11D37">
        <w:t xml:space="preserve"> To this end, the program offers </w:t>
      </w:r>
      <w:r w:rsidR="00C63219">
        <w:t xml:space="preserve">students the option to participate in </w:t>
      </w:r>
      <w:r w:rsidRPr="00C11D37">
        <w:t>several</w:t>
      </w:r>
      <w:r w:rsidR="00E51C13">
        <w:t xml:space="preserve"> thematic course</w:t>
      </w:r>
      <w:r w:rsidRPr="00C11D37">
        <w:t xml:space="preserve"> pathways, including media production, computer and information systems, and child development</w:t>
      </w:r>
      <w:r w:rsidR="00C63219">
        <w:t>; as well as the opportunity to enroll in other college coursework</w:t>
      </w:r>
      <w:r w:rsidRPr="00C11D37">
        <w:t xml:space="preserve">. </w:t>
      </w:r>
      <w:r w:rsidR="00BD2379">
        <w:t xml:space="preserve">Although </w:t>
      </w:r>
      <w:r w:rsidR="00E51C13">
        <w:t>most of the EC</w:t>
      </w:r>
      <w:r w:rsidR="00BD2379">
        <w:t xml:space="preserve"> coursework </w:t>
      </w:r>
      <w:r w:rsidR="00D16180">
        <w:t xml:space="preserve">has a </w:t>
      </w:r>
      <w:r w:rsidR="00323712">
        <w:t xml:space="preserve">career and </w:t>
      </w:r>
      <w:r w:rsidR="00D16180">
        <w:t xml:space="preserve">vocational focus, </w:t>
      </w:r>
      <w:r w:rsidR="00E51C13">
        <w:t>the EC program</w:t>
      </w:r>
      <w:r w:rsidR="00D16180">
        <w:t xml:space="preserve"> </w:t>
      </w:r>
      <w:r w:rsidR="00E51C13">
        <w:t xml:space="preserve">is not </w:t>
      </w:r>
      <w:r w:rsidR="00BD2379">
        <w:t xml:space="preserve">a </w:t>
      </w:r>
      <w:r w:rsidR="00BA0CC6">
        <w:t xml:space="preserve">strictly </w:t>
      </w:r>
      <w:r w:rsidR="00E51C13">
        <w:t>career or technical education program</w:t>
      </w:r>
      <w:r w:rsidR="00DF4402">
        <w:t xml:space="preserve"> since </w:t>
      </w:r>
      <w:r w:rsidR="00A124D6">
        <w:t xml:space="preserve">students </w:t>
      </w:r>
      <w:r w:rsidR="007E48DB">
        <w:t xml:space="preserve">also </w:t>
      </w:r>
      <w:r w:rsidR="00A124D6">
        <w:t xml:space="preserve">have the option of </w:t>
      </w:r>
      <w:r w:rsidR="00E64E0F">
        <w:t xml:space="preserve">developing their own pathways or </w:t>
      </w:r>
      <w:r w:rsidR="00A124D6">
        <w:t>taking other coursework</w:t>
      </w:r>
      <w:r w:rsidR="00FB6AB6">
        <w:t>.</w:t>
      </w:r>
      <w:r w:rsidR="00BD2379">
        <w:t xml:space="preserve"> </w:t>
      </w:r>
      <w:r w:rsidR="00FB6AB6">
        <w:t>E</w:t>
      </w:r>
      <w:r w:rsidR="00BD2379">
        <w:t>ach</w:t>
      </w:r>
      <w:r w:rsidR="00BD2379" w:rsidRPr="00C11D37">
        <w:t xml:space="preserve"> </w:t>
      </w:r>
      <w:r w:rsidRPr="00C11D37">
        <w:t xml:space="preserve">pathway includes a bundle of courses that leads to </w:t>
      </w:r>
      <w:r w:rsidR="00826D75" w:rsidRPr="00C11D37">
        <w:t xml:space="preserve">either </w:t>
      </w:r>
      <w:r w:rsidRPr="00C11D37">
        <w:t xml:space="preserve">a certificate </w:t>
      </w:r>
      <w:r w:rsidR="00826D75" w:rsidRPr="00C11D37">
        <w:t>or</w:t>
      </w:r>
      <w:r w:rsidRPr="00C11D37">
        <w:t xml:space="preserve"> an </w:t>
      </w:r>
      <w:r w:rsidR="00402F10" w:rsidRPr="00C11D37">
        <w:t>associate</w:t>
      </w:r>
      <w:r w:rsidRPr="00C11D37">
        <w:t xml:space="preserve"> degree. </w:t>
      </w:r>
    </w:p>
    <w:p w14:paraId="08829BD2" w14:textId="005088A1" w:rsidR="00C53D18" w:rsidRPr="00B07E87" w:rsidRDefault="00C53D18" w:rsidP="007159AC">
      <w:pPr>
        <w:spacing w:line="480" w:lineRule="auto"/>
        <w:ind w:firstLine="720"/>
      </w:pPr>
      <w:r w:rsidRPr="00C11D37">
        <w:t xml:space="preserve">To make the curriculum linguistically accessible to ELs, the district worked with the college to select courses that do not have English language proficiency requirements or </w:t>
      </w:r>
      <w:r w:rsidRPr="00C11D37">
        <w:lastRenderedPageBreak/>
        <w:t xml:space="preserve">prerequisites. </w:t>
      </w:r>
      <w:r w:rsidR="007159AC" w:rsidRPr="00C11D37">
        <w:t xml:space="preserve">Since all students in corresponding grades and schools were able to participate with program rollout, the effects of this program can be interpreted as the result of un-tracking and giving all students, including ELs, access to the same college-level course-taking opportunities. </w:t>
      </w:r>
      <w:r w:rsidRPr="00C11D37">
        <w:t>Upon completion of 12</w:t>
      </w:r>
      <w:r w:rsidRPr="00C11D37">
        <w:rPr>
          <w:vertAlign w:val="superscript"/>
        </w:rPr>
        <w:t>th</w:t>
      </w:r>
      <w:r w:rsidRPr="00C11D37">
        <w:t xml:space="preserve"> grade courses, students earn up to half the credits required for a certificate, which is roughly equivalent to a quarter of an </w:t>
      </w:r>
      <w:r w:rsidR="007431CE">
        <w:t>AA</w:t>
      </w:r>
      <w:r w:rsidR="00B07E87" w:rsidRPr="00B07E87">
        <w:t xml:space="preserve"> </w:t>
      </w:r>
      <w:r w:rsidRPr="00B07E87">
        <w:t xml:space="preserve">degree. </w:t>
      </w:r>
    </w:p>
    <w:p w14:paraId="15F95269" w14:textId="671D3E71" w:rsidR="006B7511" w:rsidRPr="0098650D" w:rsidRDefault="00A32CF0" w:rsidP="00C87C11">
      <w:pPr>
        <w:spacing w:line="480" w:lineRule="auto"/>
        <w:ind w:firstLine="720"/>
      </w:pPr>
      <w:r w:rsidRPr="006A5BF2">
        <w:t xml:space="preserve">The program started in spring 2017 and has been implemented thus far in </w:t>
      </w:r>
      <w:r w:rsidR="00941041" w:rsidRPr="006A5BF2">
        <w:t xml:space="preserve">three </w:t>
      </w:r>
      <w:r w:rsidR="006B7511" w:rsidRPr="002609B7">
        <w:t>high schools</w:t>
      </w:r>
      <w:r w:rsidRPr="00C11D37">
        <w:t>.</w:t>
      </w:r>
      <w:r w:rsidR="006B7511" w:rsidRPr="00C11D37">
        <w:t xml:space="preserve"> </w:t>
      </w:r>
      <w:r w:rsidRPr="00C11D37">
        <w:t>Each of the three</w:t>
      </w:r>
      <w:r w:rsidR="006B7511" w:rsidRPr="00C11D37">
        <w:t xml:space="preserve"> high schools</w:t>
      </w:r>
      <w:r w:rsidRPr="00C11D37">
        <w:t xml:space="preserve"> enrolls between 300 and 500 students</w:t>
      </w:r>
      <w:r w:rsidR="006B7511" w:rsidRPr="00C11D37">
        <w:t xml:space="preserve">. </w:t>
      </w:r>
      <w:r w:rsidR="00136982" w:rsidRPr="00C11D37">
        <w:t>Table 1 shows the rollout of the program by high school, year, and grade.</w:t>
      </w:r>
      <w:r w:rsidR="00796300">
        <w:t xml:space="preserve"> In some schools, the program was offered in both 11</w:t>
      </w:r>
      <w:r w:rsidR="00796300" w:rsidRPr="00D127ED">
        <w:rPr>
          <w:vertAlign w:val="superscript"/>
        </w:rPr>
        <w:t>th</w:t>
      </w:r>
      <w:r w:rsidR="00796300">
        <w:t xml:space="preserve"> and 12</w:t>
      </w:r>
      <w:r w:rsidR="00796300" w:rsidRPr="00D127ED">
        <w:rPr>
          <w:vertAlign w:val="superscript"/>
        </w:rPr>
        <w:t>th</w:t>
      </w:r>
      <w:r w:rsidR="00796300">
        <w:t xml:space="preserve"> grade; however, our analysis focuses only on the 12</w:t>
      </w:r>
      <w:r w:rsidR="00796300" w:rsidRPr="00D127ED">
        <w:rPr>
          <w:vertAlign w:val="superscript"/>
        </w:rPr>
        <w:t>th</w:t>
      </w:r>
      <w:r w:rsidR="00796300">
        <w:t xml:space="preserve"> grade </w:t>
      </w:r>
      <w:r w:rsidR="00D127ED">
        <w:t>outcomes</w:t>
      </w:r>
      <w:r w:rsidR="00796300">
        <w:t>.</w:t>
      </w:r>
      <w:r w:rsidR="00136982" w:rsidRPr="00C11D37">
        <w:t xml:space="preserve"> </w:t>
      </w:r>
      <w:r w:rsidR="006B7511" w:rsidRPr="00C11D37">
        <w:t>In spring 2017, the</w:t>
      </w:r>
      <w:r w:rsidR="002B5682" w:rsidRPr="00C11D37">
        <w:t xml:space="preserve"> first high school (</w:t>
      </w:r>
      <w:r w:rsidR="00941041" w:rsidRPr="00C11D37">
        <w:t>“</w:t>
      </w:r>
      <w:r w:rsidR="002B5682" w:rsidRPr="00C11D37">
        <w:t>HS1</w:t>
      </w:r>
      <w:r w:rsidR="00941041" w:rsidRPr="00C11D37">
        <w:t xml:space="preserve">”, 80% </w:t>
      </w:r>
      <w:r w:rsidR="00404FE3" w:rsidRPr="00C11D37">
        <w:t xml:space="preserve">current </w:t>
      </w:r>
      <w:r w:rsidR="00941041" w:rsidRPr="00C11D37">
        <w:t>EL</w:t>
      </w:r>
      <w:r w:rsidR="002B5682" w:rsidRPr="00C11D37">
        <w:t>)</w:t>
      </w:r>
      <w:r w:rsidR="00052DF5" w:rsidRPr="00C11D37">
        <w:t>, whose leadership played a seminal role in the program’s design,</w:t>
      </w:r>
      <w:r w:rsidR="002B5682" w:rsidRPr="00C11D37">
        <w:t xml:space="preserve"> restructured</w:t>
      </w:r>
      <w:r w:rsidR="006B7511" w:rsidRPr="00C11D37">
        <w:t xml:space="preserve"> its </w:t>
      </w:r>
      <w:r w:rsidR="002B5682" w:rsidRPr="00C11D37">
        <w:t xml:space="preserve">master </w:t>
      </w:r>
      <w:r w:rsidR="006B7511" w:rsidRPr="00C11D37">
        <w:t>schedule to offer all 12</w:t>
      </w:r>
      <w:r w:rsidR="006B7511" w:rsidRPr="00C11D37">
        <w:rPr>
          <w:vertAlign w:val="superscript"/>
        </w:rPr>
        <w:t>th</w:t>
      </w:r>
      <w:r w:rsidR="006B7511" w:rsidRPr="00C11D37">
        <w:t xml:space="preserve"> grade </w:t>
      </w:r>
      <w:r w:rsidR="00DE7DC4" w:rsidRPr="00C11D37">
        <w:t xml:space="preserve">high school </w:t>
      </w:r>
      <w:r w:rsidR="006B7511" w:rsidRPr="00C11D37">
        <w:t xml:space="preserve">classes in the morning. The </w:t>
      </w:r>
      <w:r w:rsidR="006B7511" w:rsidRPr="0048441F">
        <w:t>12</w:t>
      </w:r>
      <w:r w:rsidR="006B7511" w:rsidRPr="0048441F">
        <w:rPr>
          <w:vertAlign w:val="superscript"/>
        </w:rPr>
        <w:t>th</w:t>
      </w:r>
      <w:r w:rsidR="006B7511" w:rsidRPr="006A5BF2">
        <w:t xml:space="preserve"> grade class </w:t>
      </w:r>
      <w:r w:rsidR="006B7511" w:rsidRPr="00F82D72">
        <w:t xml:space="preserve">was bused every afternoon to take </w:t>
      </w:r>
      <w:r w:rsidR="00DE7DC4" w:rsidRPr="00D45266">
        <w:t xml:space="preserve">college-level </w:t>
      </w:r>
      <w:r w:rsidR="006B7511" w:rsidRPr="00C557AA">
        <w:t xml:space="preserve">classes at a nearby community college. </w:t>
      </w:r>
      <w:r w:rsidR="00052DF5" w:rsidRPr="00381788">
        <w:t>A</w:t>
      </w:r>
      <w:r w:rsidR="006B7511" w:rsidRPr="00381788">
        <w:t xml:space="preserve"> second high school (</w:t>
      </w:r>
      <w:r w:rsidR="00941041" w:rsidRPr="00381788">
        <w:t>“</w:t>
      </w:r>
      <w:r w:rsidR="006B7511" w:rsidRPr="00381788">
        <w:t>HS2</w:t>
      </w:r>
      <w:r w:rsidR="00941041" w:rsidRPr="00381788">
        <w:t xml:space="preserve">”, 10% </w:t>
      </w:r>
      <w:r w:rsidR="00404FE3" w:rsidRPr="005267A6">
        <w:t xml:space="preserve">current </w:t>
      </w:r>
      <w:r w:rsidR="00941041" w:rsidRPr="005267A6">
        <w:t>EL</w:t>
      </w:r>
      <w:r w:rsidR="006B7511" w:rsidRPr="009F7394">
        <w:t>)</w:t>
      </w:r>
      <w:r w:rsidR="00B76336" w:rsidRPr="009F7394">
        <w:t xml:space="preserve"> followed suit in fall 2017</w:t>
      </w:r>
      <w:r w:rsidR="00DB48D0" w:rsidRPr="00D424D6">
        <w:t>, after seeing the program im</w:t>
      </w:r>
      <w:r w:rsidR="00DB48D0" w:rsidRPr="008E2E86">
        <w:t>plemented in HS1</w:t>
      </w:r>
      <w:r w:rsidR="00B76336" w:rsidRPr="008E2E86">
        <w:t xml:space="preserve">. </w:t>
      </w:r>
      <w:r w:rsidR="00941041" w:rsidRPr="003528E5">
        <w:t xml:space="preserve">The third high school (“HS3”, 53% </w:t>
      </w:r>
      <w:r w:rsidR="00404FE3" w:rsidRPr="003528E5">
        <w:t xml:space="preserve">current </w:t>
      </w:r>
      <w:r w:rsidR="00941041" w:rsidRPr="00AC2148">
        <w:t xml:space="preserve">EL) </w:t>
      </w:r>
      <w:r w:rsidR="003576B8" w:rsidRPr="00F6420B">
        <w:t>implemented the program</w:t>
      </w:r>
      <w:r w:rsidR="00941041" w:rsidRPr="0048441F">
        <w:t xml:space="preserve"> in fall 2018.</w:t>
      </w:r>
      <w:r w:rsidR="004F4E63">
        <w:t xml:space="preserve"> At HS2 and HS3, 12</w:t>
      </w:r>
      <w:r w:rsidR="004F4E63" w:rsidRPr="00BC1614">
        <w:rPr>
          <w:vertAlign w:val="superscript"/>
        </w:rPr>
        <w:t>th</w:t>
      </w:r>
      <w:r w:rsidR="004F4E63">
        <w:t xml:space="preserve"> grade students were not always bused together and could choose t</w:t>
      </w:r>
      <w:r w:rsidR="00BF2D8E">
        <w:t>heir method of transportation.</w:t>
      </w:r>
      <w:r w:rsidR="004F4E63">
        <w:t xml:space="preserve"> </w:t>
      </w:r>
      <w:r w:rsidR="00B76336" w:rsidRPr="006A5BF2">
        <w:t>The</w:t>
      </w:r>
      <w:r w:rsidR="001B53BA" w:rsidRPr="002609B7">
        <w:t xml:space="preserve"> EC</w:t>
      </w:r>
      <w:r w:rsidR="00B76336" w:rsidRPr="00FE0C43">
        <w:t xml:space="preserve"> program was designed and announced at each school just prior to the beginning of the academic year of implementation. </w:t>
      </w:r>
      <w:r w:rsidR="00B76336" w:rsidRPr="006A5BF2">
        <w:t xml:space="preserve">Student selection into </w:t>
      </w:r>
      <w:r w:rsidR="00E61577" w:rsidRPr="006A5BF2">
        <w:t>treated schools over control schools</w:t>
      </w:r>
      <w:r w:rsidR="00B76336" w:rsidRPr="006A5BF2">
        <w:t xml:space="preserve"> was very unlikely</w:t>
      </w:r>
      <w:r w:rsidR="00B76336" w:rsidRPr="00F82D72">
        <w:t xml:space="preserve">. </w:t>
      </w:r>
      <w:r w:rsidR="00AA1B1F" w:rsidRPr="00D45266">
        <w:t>F</w:t>
      </w:r>
      <w:r w:rsidR="00B76336" w:rsidRPr="00C557AA">
        <w:t>amilies in the district may choose hi</w:t>
      </w:r>
      <w:r w:rsidR="00B76336" w:rsidRPr="00381788">
        <w:t>gh schools through a rank-and-assignment</w:t>
      </w:r>
      <w:r w:rsidR="00AA1B1F" w:rsidRPr="00381788">
        <w:t xml:space="preserve"> procedure</w:t>
      </w:r>
      <w:r w:rsidR="006569B2" w:rsidRPr="00381788">
        <w:t>, b</w:t>
      </w:r>
      <w:r w:rsidR="00AA1B1F" w:rsidRPr="00381788">
        <w:t xml:space="preserve">ut </w:t>
      </w:r>
      <w:r w:rsidR="00B76336" w:rsidRPr="00381788">
        <w:t>the 12</w:t>
      </w:r>
      <w:r w:rsidR="00B76336" w:rsidRPr="00381788">
        <w:rPr>
          <w:vertAlign w:val="superscript"/>
        </w:rPr>
        <w:t>th</w:t>
      </w:r>
      <w:r w:rsidR="00B76336" w:rsidRPr="005267A6">
        <w:t xml:space="preserve"> graders affected by</w:t>
      </w:r>
      <w:r w:rsidR="00AA1B1F" w:rsidRPr="005267A6">
        <w:t xml:space="preserve"> the program </w:t>
      </w:r>
      <w:r w:rsidR="00681817" w:rsidRPr="001234C2">
        <w:t xml:space="preserve">to date </w:t>
      </w:r>
      <w:r w:rsidR="00AA1B1F" w:rsidRPr="008E2E86">
        <w:t xml:space="preserve">would not </w:t>
      </w:r>
      <w:r w:rsidR="00B76336" w:rsidRPr="008E2E86">
        <w:t xml:space="preserve">have known about </w:t>
      </w:r>
      <w:r w:rsidR="00AA1B1F" w:rsidRPr="003528E5">
        <w:t xml:space="preserve">the program </w:t>
      </w:r>
      <w:r w:rsidR="00B76336" w:rsidRPr="003528E5">
        <w:t>when they made their school choices three years prior.</w:t>
      </w:r>
      <w:r w:rsidR="00C87C11" w:rsidRPr="00AC2148">
        <w:rPr>
          <w:vertAlign w:val="superscript"/>
        </w:rPr>
        <w:t>1</w:t>
      </w:r>
    </w:p>
    <w:p w14:paraId="1F5D37D5" w14:textId="20F4D3E5" w:rsidR="001F7089" w:rsidRPr="001905FE" w:rsidRDefault="001905FE" w:rsidP="006375CB">
      <w:pPr>
        <w:spacing w:line="480" w:lineRule="auto"/>
        <w:jc w:val="center"/>
        <w:rPr>
          <w:bCs/>
        </w:rPr>
      </w:pPr>
      <w:r w:rsidRPr="001905FE">
        <w:rPr>
          <w:bCs/>
        </w:rPr>
        <w:t>[Table 1 about here]</w:t>
      </w:r>
    </w:p>
    <w:p w14:paraId="0C470FAA" w14:textId="17A3D3E8" w:rsidR="00A82A84" w:rsidRPr="006A5BF2" w:rsidRDefault="00B1195D" w:rsidP="00A40F25">
      <w:pPr>
        <w:spacing w:line="480" w:lineRule="auto"/>
        <w:rPr>
          <w:b/>
        </w:rPr>
      </w:pPr>
      <w:r w:rsidRPr="006A5BF2">
        <w:rPr>
          <w:b/>
        </w:rPr>
        <w:t>Data</w:t>
      </w:r>
    </w:p>
    <w:p w14:paraId="7493B458" w14:textId="3943596B" w:rsidR="00136982" w:rsidRPr="006E03A4" w:rsidRDefault="00B1195D" w:rsidP="00A40F25">
      <w:pPr>
        <w:spacing w:line="480" w:lineRule="auto"/>
      </w:pPr>
      <w:r w:rsidRPr="00F82D72">
        <w:lastRenderedPageBreak/>
        <w:tab/>
      </w:r>
      <w:bookmarkStart w:id="4" w:name="_Hlk51162552"/>
      <w:r w:rsidR="00A023BA">
        <w:t>District a</w:t>
      </w:r>
      <w:r w:rsidR="00574365" w:rsidRPr="00D45266">
        <w:t xml:space="preserve">dministrative records, including National </w:t>
      </w:r>
      <w:r w:rsidR="0003097D" w:rsidRPr="00C557AA">
        <w:t xml:space="preserve">Student </w:t>
      </w:r>
      <w:r w:rsidR="00574365" w:rsidRPr="00381788">
        <w:t xml:space="preserve">Clearinghouse </w:t>
      </w:r>
      <w:r w:rsidR="0003097D" w:rsidRPr="00381788">
        <w:t xml:space="preserve">(NSC) </w:t>
      </w:r>
      <w:r w:rsidR="00D464CA">
        <w:t>college-going records</w:t>
      </w:r>
      <w:r w:rsidR="00574365" w:rsidRPr="00381788">
        <w:t>, are available for graduation cohorts 2013-201</w:t>
      </w:r>
      <w:r w:rsidR="00136982" w:rsidRPr="00381788">
        <w:t>9</w:t>
      </w:r>
      <w:r w:rsidR="00574365" w:rsidRPr="002609B7">
        <w:t xml:space="preserve"> for </w:t>
      </w:r>
      <w:r w:rsidR="002609B7">
        <w:t xml:space="preserve">the </w:t>
      </w:r>
      <w:r w:rsidR="00574365" w:rsidRPr="002609B7">
        <w:t xml:space="preserve">17 high schools in the district. </w:t>
      </w:r>
      <w:bookmarkStart w:id="5" w:name="_Hlk65582227"/>
      <w:r w:rsidR="00136982" w:rsidRPr="002609B7">
        <w:t xml:space="preserve">For the remainder of the paper, we refer to cohorts by the year </w:t>
      </w:r>
      <w:r w:rsidR="002576F2">
        <w:t>students were expected to graduate</w:t>
      </w:r>
      <w:r w:rsidR="00136982" w:rsidRPr="00F82D72">
        <w:t xml:space="preserve"> (e.g., “2017 cohort = students who were </w:t>
      </w:r>
      <w:r w:rsidR="002576F2">
        <w:t>expected to graduate in spring</w:t>
      </w:r>
      <w:r w:rsidR="00136982" w:rsidRPr="00F82D72">
        <w:t xml:space="preserve"> 2016-17). </w:t>
      </w:r>
      <w:bookmarkEnd w:id="4"/>
      <w:bookmarkEnd w:id="5"/>
      <w:r w:rsidR="00136982" w:rsidRPr="00453ABC">
        <w:t xml:space="preserve">Pooling all </w:t>
      </w:r>
      <w:r w:rsidR="00BB7999">
        <w:t>seven</w:t>
      </w:r>
      <w:r w:rsidR="00136982" w:rsidRPr="00453ABC">
        <w:t xml:space="preserve"> cohorts, we observe data for a total of 26,311 students across all high schools: 1,896 students at the treatment schools and 24,415 students at the control schools. We retain 1,358 students at the treatment schools and 13,732 students at the control schools who were ever identified as eligible for EL services, resulting in an analytic sample of 15,090 ever-ELs. As we explain in detail in the Research Design section, we use this </w:t>
      </w:r>
      <w:r w:rsidR="00F65BBC">
        <w:t>ever-</w:t>
      </w:r>
      <w:r w:rsidR="00136982" w:rsidRPr="00453ABC">
        <w:t xml:space="preserve">EL analytic sample for the main difference-in-differences analysis; for a supplemental difference-in-differences-in-differences analysis, we use the full sample (N=26,311) which includes never-EL and ever-EL students. </w:t>
      </w:r>
    </w:p>
    <w:p w14:paraId="0F65B87E" w14:textId="68DA37EB" w:rsidR="001656D6" w:rsidRDefault="00AC1DF5" w:rsidP="001656D6">
      <w:pPr>
        <w:spacing w:line="480" w:lineRule="auto"/>
        <w:ind w:firstLine="720"/>
      </w:pPr>
      <w:r w:rsidRPr="00C11D37">
        <w:t xml:space="preserve">Demographic data observed include gender, ethnicity, home language, and parent education level. </w:t>
      </w:r>
      <w:r w:rsidR="004451BF" w:rsidRPr="00E20ABB">
        <w:t xml:space="preserve">Table </w:t>
      </w:r>
      <w:r w:rsidR="00136982" w:rsidRPr="00E20ABB">
        <w:t>2</w:t>
      </w:r>
      <w:r w:rsidR="004451BF" w:rsidRPr="006E03A4">
        <w:t xml:space="preserve"> shows the characteristics of students in the</w:t>
      </w:r>
      <w:r w:rsidR="00136982" w:rsidRPr="006E03A4">
        <w:t xml:space="preserve"> analytic</w:t>
      </w:r>
      <w:r w:rsidR="004451BF" w:rsidRPr="00FA73AD">
        <w:t xml:space="preserve"> sample</w:t>
      </w:r>
      <w:r w:rsidR="00136982" w:rsidRPr="00E20ABB">
        <w:t xml:space="preserve"> by treated/control high school and by pre-post program cohort</w:t>
      </w:r>
      <w:r w:rsidR="004451BF" w:rsidRPr="00E20ABB">
        <w:t>.</w:t>
      </w:r>
      <w:r w:rsidR="00651DD7" w:rsidRPr="007E5B1A">
        <w:t xml:space="preserve"> About </w:t>
      </w:r>
      <w:r w:rsidR="00651DD7" w:rsidRPr="00646500">
        <w:t>4</w:t>
      </w:r>
      <w:r w:rsidR="005C31FA" w:rsidRPr="00FE0C43">
        <w:t>7</w:t>
      </w:r>
      <w:r w:rsidR="00651DD7" w:rsidRPr="009926D2">
        <w:t xml:space="preserve">% of the sample is </w:t>
      </w:r>
      <w:r w:rsidR="00651DD7" w:rsidRPr="00C11D37">
        <w:t xml:space="preserve">female. Slightly more than half </w:t>
      </w:r>
      <w:r w:rsidR="005C31FA" w:rsidRPr="00C11D37">
        <w:t xml:space="preserve">identified as ethnically Chinese and </w:t>
      </w:r>
      <w:r w:rsidR="00651DD7" w:rsidRPr="00C11D37">
        <w:t>2</w:t>
      </w:r>
      <w:r w:rsidR="005C31FA" w:rsidRPr="00C11D37">
        <w:t>8</w:t>
      </w:r>
      <w:r w:rsidR="00651DD7" w:rsidRPr="00C11D37">
        <w:t xml:space="preserve">% </w:t>
      </w:r>
      <w:r w:rsidR="005C31FA" w:rsidRPr="00C11D37">
        <w:t>as Hispanic</w:t>
      </w:r>
      <w:r w:rsidR="00651DD7" w:rsidRPr="00C11D37">
        <w:t xml:space="preserve">. </w:t>
      </w:r>
      <w:r w:rsidR="001656D6" w:rsidRPr="00FA73AD">
        <w:t xml:space="preserve">About a third of the students in the sample had parents who reported graduating from high school. </w:t>
      </w:r>
    </w:p>
    <w:p w14:paraId="16A02E61" w14:textId="461DA755" w:rsidR="00C11CCF" w:rsidRPr="00FA73AD" w:rsidRDefault="00C11CCF" w:rsidP="00C11CCF">
      <w:pPr>
        <w:spacing w:line="480" w:lineRule="auto"/>
        <w:jc w:val="center"/>
      </w:pPr>
      <w:r>
        <w:t>[Table 2 about here]</w:t>
      </w:r>
    </w:p>
    <w:p w14:paraId="132E027B" w14:textId="0B89B25F" w:rsidR="004451BF" w:rsidRPr="00F82D72" w:rsidRDefault="00651DD7" w:rsidP="00CA68FD">
      <w:pPr>
        <w:spacing w:line="480" w:lineRule="auto"/>
        <w:ind w:firstLine="720"/>
      </w:pPr>
      <w:bookmarkStart w:id="6" w:name="_Hlk51162782"/>
      <w:r w:rsidRPr="00FA73AD">
        <w:t>Approximately 7</w:t>
      </w:r>
      <w:r w:rsidR="005C31FA" w:rsidRPr="00FA73AD">
        <w:t>6</w:t>
      </w:r>
      <w:r w:rsidRPr="00FA73AD">
        <w:t>% of the sample had reclassified before 11</w:t>
      </w:r>
      <w:r w:rsidRPr="00FA73AD">
        <w:rPr>
          <w:vertAlign w:val="superscript"/>
        </w:rPr>
        <w:t>th</w:t>
      </w:r>
      <w:r w:rsidRPr="00FA73AD">
        <w:t xml:space="preserve"> grade</w:t>
      </w:r>
      <w:r w:rsidR="001656D6" w:rsidRPr="00FA73AD">
        <w:t xml:space="preserve">; 11% </w:t>
      </w:r>
      <w:r w:rsidR="001C0D2D" w:rsidRPr="00FA73AD">
        <w:t>were current</w:t>
      </w:r>
      <w:r w:rsidR="00474C7A">
        <w:t xml:space="preserve"> </w:t>
      </w:r>
      <w:r w:rsidR="001C0D2D" w:rsidRPr="00FA73AD">
        <w:t>ELs first identified in 6</w:t>
      </w:r>
      <w:r w:rsidR="001C0D2D" w:rsidRPr="00D72DF0">
        <w:rPr>
          <w:vertAlign w:val="superscript"/>
        </w:rPr>
        <w:t>th</w:t>
      </w:r>
      <w:r w:rsidR="001C0D2D" w:rsidRPr="00F82D72">
        <w:t xml:space="preserve"> grade or later; 6% were current</w:t>
      </w:r>
      <w:r w:rsidR="00474C7A">
        <w:t xml:space="preserve"> </w:t>
      </w:r>
      <w:r w:rsidR="001C0D2D" w:rsidRPr="00F82D72">
        <w:t>ELs first identified between 2</w:t>
      </w:r>
      <w:r w:rsidR="001C0D2D" w:rsidRPr="00D72DF0">
        <w:rPr>
          <w:vertAlign w:val="superscript"/>
        </w:rPr>
        <w:t>nd</w:t>
      </w:r>
      <w:r w:rsidR="001C0D2D" w:rsidRPr="00F82D72">
        <w:t xml:space="preserve"> and 5</w:t>
      </w:r>
      <w:r w:rsidR="001C0D2D" w:rsidRPr="00D72DF0">
        <w:rPr>
          <w:vertAlign w:val="superscript"/>
        </w:rPr>
        <w:t>th</w:t>
      </w:r>
      <w:r w:rsidR="001C0D2D" w:rsidRPr="00F82D72">
        <w:t xml:space="preserve"> grade, and 8% were current</w:t>
      </w:r>
      <w:r w:rsidR="00474C7A">
        <w:t xml:space="preserve"> </w:t>
      </w:r>
      <w:r w:rsidR="001C0D2D" w:rsidRPr="00F82D72">
        <w:t>ELs first identified in</w:t>
      </w:r>
      <w:r w:rsidR="001C0D2D" w:rsidRPr="00D45266">
        <w:t xml:space="preserve"> kindergarten or 1</w:t>
      </w:r>
      <w:r w:rsidR="001C0D2D" w:rsidRPr="00D72DF0">
        <w:rPr>
          <w:vertAlign w:val="superscript"/>
        </w:rPr>
        <w:t>st</w:t>
      </w:r>
      <w:r w:rsidR="001C0D2D" w:rsidRPr="00F82D72">
        <w:t xml:space="preserve"> grade</w:t>
      </w:r>
      <w:r w:rsidRPr="00D45266">
        <w:t xml:space="preserve">. </w:t>
      </w:r>
      <w:r w:rsidR="00BC0D05" w:rsidRPr="00381788">
        <w:t>We include all ever-ELs in this study because reclassified and current ELs likely share many characteristics that play a role in college access and success</w:t>
      </w:r>
      <w:r w:rsidR="003A4086">
        <w:t>. For example,</w:t>
      </w:r>
      <w:r w:rsidR="001204FB">
        <w:t xml:space="preserve"> </w:t>
      </w:r>
      <w:r w:rsidR="00EC4428">
        <w:t xml:space="preserve">both </w:t>
      </w:r>
      <w:r w:rsidR="00DC2D04">
        <w:t xml:space="preserve">reclassified and current ELs tend to come </w:t>
      </w:r>
      <w:r w:rsidR="00DC2D04">
        <w:lastRenderedPageBreak/>
        <w:t xml:space="preserve">from families with low socioeconomic status, and </w:t>
      </w:r>
      <w:proofErr w:type="gramStart"/>
      <w:r w:rsidR="00DC2D04">
        <w:t>the vast majority of</w:t>
      </w:r>
      <w:proofErr w:type="gramEnd"/>
      <w:r w:rsidR="00DC2D04">
        <w:t xml:space="preserve"> both groups are Hispanic/Latino or Asian </w:t>
      </w:r>
      <w:r w:rsidR="00351BC8">
        <w:t xml:space="preserve">and students </w:t>
      </w:r>
      <w:r w:rsidR="00DC2D04">
        <w:t>who would be the first in their family to attend college</w:t>
      </w:r>
      <w:r w:rsidR="003A4086">
        <w:t xml:space="preserve">. </w:t>
      </w:r>
      <w:r w:rsidR="006F4C85" w:rsidRPr="00381788">
        <w:t xml:space="preserve"> </w:t>
      </w:r>
      <w:r w:rsidR="003A4086">
        <w:t>In addition, the students’</w:t>
      </w:r>
      <w:r w:rsidR="006F4C85" w:rsidRPr="00381788">
        <w:t xml:space="preserve"> high school experiences </w:t>
      </w:r>
      <w:r w:rsidR="003923DE" w:rsidRPr="00381788">
        <w:t>may be</w:t>
      </w:r>
      <w:r w:rsidR="006F4C85" w:rsidRPr="007E5B1A">
        <w:t xml:space="preserve"> endogenous to earlier experiences in EL support services</w:t>
      </w:r>
      <w:r w:rsidR="00BC0D05" w:rsidRPr="007E5B1A">
        <w:t>.</w:t>
      </w:r>
      <w:r w:rsidR="006F4C85" w:rsidRPr="007E5B1A">
        <w:t xml:space="preserve"> </w:t>
      </w:r>
      <w:r w:rsidR="003A4086">
        <w:t>Further, m</w:t>
      </w:r>
      <w:r w:rsidR="001656D6" w:rsidRPr="007E5B1A">
        <w:t>any students in the district reclassify during high school</w:t>
      </w:r>
      <w:r w:rsidR="00BC0D05" w:rsidRPr="007E5B1A">
        <w:t>, and multiple factors are considered in the reclassification decision</w:t>
      </w:r>
      <w:r w:rsidR="006F4C85" w:rsidRPr="007E5B1A">
        <w:t>s, so w</w:t>
      </w:r>
      <w:r w:rsidR="00BC0D05" w:rsidRPr="007E5B1A">
        <w:t xml:space="preserve">e cannot isolate </w:t>
      </w:r>
      <w:r w:rsidR="006F4C85" w:rsidRPr="007E5B1A">
        <w:t xml:space="preserve">factors that distinguish </w:t>
      </w:r>
      <w:r w:rsidR="00BC0D05" w:rsidRPr="007E5B1A">
        <w:t>between reclassified and current ELs in 11</w:t>
      </w:r>
      <w:r w:rsidR="00BC0D05" w:rsidRPr="007E5B1A">
        <w:rPr>
          <w:vertAlign w:val="superscript"/>
        </w:rPr>
        <w:t>th</w:t>
      </w:r>
      <w:r w:rsidR="00BC0D05" w:rsidRPr="007E5B1A">
        <w:t xml:space="preserve"> grade</w:t>
      </w:r>
      <w:r w:rsidR="006F4C85" w:rsidRPr="007E5B1A">
        <w:t xml:space="preserve">. </w:t>
      </w:r>
      <w:r w:rsidR="003A4086">
        <w:t>For these reasons, we</w:t>
      </w:r>
      <w:r w:rsidR="006F4C85" w:rsidRPr="007E5B1A">
        <w:t xml:space="preserve"> include all ever-ELs in the main analysis</w:t>
      </w:r>
      <w:r w:rsidR="003A4086">
        <w:t xml:space="preserve">. However, recognizing that reclassified and current ELs might differ in some ways, we </w:t>
      </w:r>
      <w:r w:rsidR="006F4C85" w:rsidRPr="007E5B1A">
        <w:t>control for initial identification grade</w:t>
      </w:r>
      <w:r w:rsidR="003A4086">
        <w:t xml:space="preserve"> and reclassification in the models</w:t>
      </w:r>
      <w:r w:rsidR="006F4C85" w:rsidRPr="007E5B1A">
        <w:t>. Then, in supplemental analyses, we estimate the same models for each EL subgroup separately.</w:t>
      </w:r>
      <w:r w:rsidR="001C0D2D" w:rsidRPr="007E5B1A">
        <w:t xml:space="preserve"> </w:t>
      </w:r>
    </w:p>
    <w:bookmarkEnd w:id="6"/>
    <w:p w14:paraId="4264738C" w14:textId="665AE070" w:rsidR="0034588B" w:rsidRDefault="00194965" w:rsidP="0034588B">
      <w:pPr>
        <w:spacing w:line="480" w:lineRule="auto"/>
        <w:ind w:firstLine="720"/>
      </w:pPr>
      <w:r>
        <w:t xml:space="preserve">Our main outcomes of interest are college credits earned during high school and college enrollment (immediate enrollment and enrolling in a four-year college). </w:t>
      </w:r>
      <w:r w:rsidR="0034588B" w:rsidRPr="003307E6">
        <w:t>Since only 12</w:t>
      </w:r>
      <w:r w:rsidR="0034588B" w:rsidRPr="00ED687B">
        <w:rPr>
          <w:vertAlign w:val="superscript"/>
        </w:rPr>
        <w:t>th</w:t>
      </w:r>
      <w:r w:rsidR="0034588B" w:rsidRPr="00ED687B">
        <w:t xml:space="preserve"> graders were treated across all</w:t>
      </w:r>
      <w:r w:rsidR="0034588B" w:rsidRPr="00941DCC">
        <w:t xml:space="preserve"> three high schools</w:t>
      </w:r>
      <w:r w:rsidR="0034588B" w:rsidRPr="00ED687B">
        <w:t xml:space="preserve">, we use </w:t>
      </w:r>
      <w:r w:rsidR="002B5905">
        <w:t xml:space="preserve">college </w:t>
      </w:r>
      <w:r w:rsidR="0034588B" w:rsidRPr="00ED687B">
        <w:t>credits earned in 12</w:t>
      </w:r>
      <w:r w:rsidR="0034588B" w:rsidRPr="00941DCC">
        <w:rPr>
          <w:vertAlign w:val="superscript"/>
        </w:rPr>
        <w:t>th</w:t>
      </w:r>
      <w:r w:rsidR="0034588B" w:rsidRPr="002259A0">
        <w:t xml:space="preserve"> grade as the measure for college credits. </w:t>
      </w:r>
      <w:r w:rsidR="00FB51AC">
        <w:t>This measure only includes credits earned from enrolling in community college classes and does not consider participation in programs such as Advanced Placement</w:t>
      </w:r>
      <w:r w:rsidR="00221910">
        <w:t xml:space="preserve"> (AP)</w:t>
      </w:r>
      <w:r w:rsidR="00FB51AC">
        <w:t xml:space="preserve"> that award credits after students enroll in college. In</w:t>
      </w:r>
      <w:r w:rsidR="0034588B" w:rsidRPr="00720DCF">
        <w:t xml:space="preserve"> the </w:t>
      </w:r>
      <w:r w:rsidR="0034588B" w:rsidRPr="00D7477C">
        <w:t xml:space="preserve">full </w:t>
      </w:r>
      <w:r w:rsidR="0034588B" w:rsidRPr="00434AEB">
        <w:t>sample</w:t>
      </w:r>
      <w:r w:rsidR="0034588B" w:rsidRPr="00C10CA1">
        <w:t>, 85</w:t>
      </w:r>
      <w:r w:rsidR="0034588B" w:rsidRPr="00C11D37">
        <w:t xml:space="preserve">% </w:t>
      </w:r>
      <w:r w:rsidR="00FB51AC">
        <w:t xml:space="preserve">of students </w:t>
      </w:r>
      <w:r w:rsidR="0034588B" w:rsidRPr="00C11D37">
        <w:t>were assigned a State of California high school graduation code and matched NSC records. The other 15% were not assigned a graduation code at the end of 12</w:t>
      </w:r>
      <w:r w:rsidR="0034588B" w:rsidRPr="00C11D37">
        <w:rPr>
          <w:vertAlign w:val="superscript"/>
        </w:rPr>
        <w:t>th</w:t>
      </w:r>
      <w:r w:rsidR="0034588B" w:rsidRPr="00C11D37">
        <w:t xml:space="preserve"> grade and are regarded by the district as not having graduated on time. This is not uncommon, as the high schools in the district serve a large population of new immigrants, many of whom are expected to graduate within five instead of four years. </w:t>
      </w:r>
      <w:bookmarkStart w:id="7" w:name="_Hlk65582475"/>
      <w:r w:rsidR="0034588B" w:rsidRPr="00C11D37">
        <w:t xml:space="preserve">For immediate college enrollment, we construct a </w:t>
      </w:r>
      <w:r w:rsidR="002576F2">
        <w:t xml:space="preserve">binary </w:t>
      </w:r>
      <w:r w:rsidR="0034588B" w:rsidRPr="00C11D37">
        <w:t xml:space="preserve">measure for having enrolled in any certificate, 2-year, or 4-year college in the fall following the cohort’s high school graduation. </w:t>
      </w:r>
      <w:bookmarkEnd w:id="7"/>
      <w:r w:rsidR="0034588B" w:rsidRPr="00C11D37">
        <w:t xml:space="preserve">We impute a zero for immediate college enrollment for all students who are missing graduation because immediate college enrollment is </w:t>
      </w:r>
      <w:r w:rsidR="0034588B" w:rsidRPr="00C11D37">
        <w:lastRenderedPageBreak/>
        <w:t>very unlikely without an official record of high school completion. Four-year college enrollment is a binary outcome for having attended a four-year institution after high school.</w:t>
      </w:r>
    </w:p>
    <w:p w14:paraId="4DE73A92" w14:textId="0182F565" w:rsidR="0010627B" w:rsidRDefault="00194965" w:rsidP="004A5DF4">
      <w:pPr>
        <w:spacing w:line="480" w:lineRule="auto"/>
        <w:ind w:firstLine="720"/>
      </w:pPr>
      <w:r>
        <w:t xml:space="preserve">On-time high school graduation is </w:t>
      </w:r>
      <w:r w:rsidR="0010627B">
        <w:t xml:space="preserve">an outcome </w:t>
      </w:r>
      <w:r>
        <w:t>of secondary interest</w:t>
      </w:r>
      <w:r w:rsidR="0010627B">
        <w:t>. For EC programs, including the program offered by this district, raising high school</w:t>
      </w:r>
      <w:r>
        <w:t xml:space="preserve"> </w:t>
      </w:r>
      <w:r w:rsidR="0010627B">
        <w:t>rates is an important goal. However,</w:t>
      </w:r>
      <w:r>
        <w:t xml:space="preserve"> </w:t>
      </w:r>
      <w:r w:rsidR="0010627B">
        <w:t xml:space="preserve">in the implementation of this </w:t>
      </w:r>
      <w:proofErr w:type="gramStart"/>
      <w:r w:rsidR="0010627B">
        <w:t>particular EC</w:t>
      </w:r>
      <w:proofErr w:type="gramEnd"/>
      <w:r w:rsidR="0010627B">
        <w:t xml:space="preserve"> program, </w:t>
      </w:r>
      <w:r>
        <w:t>treatment for most students in the sample did not start until 12</w:t>
      </w:r>
      <w:r w:rsidRPr="0063644E">
        <w:rPr>
          <w:vertAlign w:val="superscript"/>
        </w:rPr>
        <w:t>th</w:t>
      </w:r>
      <w:r>
        <w:t xml:space="preserve"> grade, </w:t>
      </w:r>
      <w:r w:rsidR="0034588B">
        <w:t>which is likely too</w:t>
      </w:r>
      <w:r>
        <w:t xml:space="preserve"> late to have an effect on </w:t>
      </w:r>
      <w:r w:rsidR="0034588B">
        <w:t xml:space="preserve">on-time </w:t>
      </w:r>
      <w:r>
        <w:t xml:space="preserve">graduation. </w:t>
      </w:r>
      <w:r w:rsidR="00291F77">
        <w:t xml:space="preserve">We therefore report on-time </w:t>
      </w:r>
      <w:r w:rsidR="00932957">
        <w:t xml:space="preserve">high school </w:t>
      </w:r>
      <w:r w:rsidR="00291F77">
        <w:t xml:space="preserve">graduation as a secondary outcome. </w:t>
      </w:r>
    </w:p>
    <w:p w14:paraId="4984502C" w14:textId="197E6BE0" w:rsidR="002B6685" w:rsidRPr="00C11D37" w:rsidRDefault="00191AC9" w:rsidP="00A40F25">
      <w:pPr>
        <w:spacing w:line="480" w:lineRule="auto"/>
        <w:jc w:val="center"/>
        <w:rPr>
          <w:b/>
        </w:rPr>
      </w:pPr>
      <w:r w:rsidRPr="00C11D37">
        <w:rPr>
          <w:b/>
        </w:rPr>
        <w:t>Research Design</w:t>
      </w:r>
    </w:p>
    <w:p w14:paraId="6589A17A" w14:textId="75C8E189" w:rsidR="002B6685" w:rsidRPr="00381788" w:rsidRDefault="002B6685" w:rsidP="00511AE1">
      <w:pPr>
        <w:spacing w:line="480" w:lineRule="auto"/>
        <w:ind w:firstLine="720"/>
      </w:pPr>
      <w:r w:rsidRPr="00C11D37">
        <w:t xml:space="preserve">We use a difference-in-differences (DiD) framework, which mimics an experiment. In a randomized experiment, subjects are randomly assigned to the treatment group or the control group; causal impact can be estimated by taking the difference between the outcomes of the two groups, </w:t>
      </w:r>
      <w:proofErr w:type="gramStart"/>
      <w:r w:rsidRPr="00C11D37">
        <w:t>as long as</w:t>
      </w:r>
      <w:proofErr w:type="gramEnd"/>
      <w:r w:rsidRPr="00C11D37">
        <w:t xml:space="preserve"> pre-treatment characteristics were equivalent across the groups. The DiD approach allows the analysis of panel data in a way that is analogous to an experimental design by </w:t>
      </w:r>
      <w:r w:rsidR="00C87C11" w:rsidRPr="00C11D37">
        <w:t>using treatment status</w:t>
      </w:r>
      <w:r w:rsidRPr="00C11D37">
        <w:t xml:space="preserve"> and </w:t>
      </w:r>
      <w:r w:rsidRPr="00720DCF">
        <w:t xml:space="preserve">data from time periods prior to program implementation and after program implementation. By interacting </w:t>
      </w:r>
      <w:r w:rsidR="00C87C11" w:rsidRPr="00720DCF">
        <w:t>treatment status</w:t>
      </w:r>
      <w:r w:rsidRPr="00720DCF">
        <w:t xml:space="preserve"> with being observed in the post-program period, we</w:t>
      </w:r>
      <w:r w:rsidR="00256FB1" w:rsidRPr="00720DCF">
        <w:t xml:space="preserve"> can</w:t>
      </w:r>
      <w:r w:rsidRPr="00720DCF">
        <w:t xml:space="preserve"> interpret the interaction effect as the impact of the program</w:t>
      </w:r>
      <w:r w:rsidR="00256FB1" w:rsidRPr="00720DCF">
        <w:t xml:space="preserve"> based on the assumption that </w:t>
      </w:r>
      <w:r w:rsidRPr="00720DCF">
        <w:t xml:space="preserve">pre-program outcome </w:t>
      </w:r>
      <w:r w:rsidRPr="00720DCF">
        <w:rPr>
          <w:i/>
          <w:iCs/>
        </w:rPr>
        <w:t>trends</w:t>
      </w:r>
      <w:r w:rsidRPr="00F82D72">
        <w:t xml:space="preserve"> are parallel between the eligible and ineligible groups (</w:t>
      </w:r>
      <w:r w:rsidR="00C14873" w:rsidRPr="00D45266">
        <w:t>Angrist &amp; Pischke, 2009</w:t>
      </w:r>
      <w:r w:rsidR="00A023BA">
        <w:t>, 2015</w:t>
      </w:r>
      <w:r w:rsidRPr="00C557AA">
        <w:t xml:space="preserve">). </w:t>
      </w:r>
      <w:bookmarkStart w:id="8" w:name="_Hlk65586270"/>
      <w:r w:rsidR="00511AE1">
        <w:t>W</w:t>
      </w:r>
      <w:r w:rsidR="003C1E9F">
        <w:t>e estimate the program’s effect not by comparing the outcome levels of treated and control groups, but by comparing the pre-post-program changes in outcome levels of the two groups.</w:t>
      </w:r>
      <w:r w:rsidR="00511AE1">
        <w:t xml:space="preserve"> This </w:t>
      </w:r>
      <w:r w:rsidR="00CA2193">
        <w:t>addresses</w:t>
      </w:r>
      <w:r w:rsidR="00511AE1">
        <w:t xml:space="preserve"> any preexisting differences in the outcomes of the treated and control groups before the treatment started. In the absence of treatment, we expect the treated and control groups’ outcomes to move in parallel during what would have been the post-treatment period. In other words, we expect the outcome </w:t>
      </w:r>
      <w:r w:rsidR="00511AE1" w:rsidRPr="00CA2193">
        <w:rPr>
          <w:i/>
          <w:iCs/>
        </w:rPr>
        <w:t xml:space="preserve">trend </w:t>
      </w:r>
      <w:r w:rsidR="00511AE1" w:rsidRPr="00CA2193">
        <w:t xml:space="preserve">(and post-pre </w:t>
      </w:r>
      <w:r w:rsidR="00511AE1" w:rsidRPr="00CA2193">
        <w:lastRenderedPageBreak/>
        <w:t>difference in levels)</w:t>
      </w:r>
      <w:r w:rsidR="00511AE1">
        <w:rPr>
          <w:i/>
          <w:iCs/>
        </w:rPr>
        <w:t xml:space="preserve"> </w:t>
      </w:r>
      <w:r w:rsidR="00511AE1">
        <w:t>of the treated group to be parallel to that of the control group. Any deviation by the treated group from the control trend (or any difference in</w:t>
      </w:r>
      <w:r w:rsidR="00387CD9">
        <w:t xml:space="preserve"> </w:t>
      </w:r>
      <w:r w:rsidR="00511AE1">
        <w:t>post-pre outcome level differences) can be interpreted as the treatment effect.</w:t>
      </w:r>
    </w:p>
    <w:bookmarkEnd w:id="8"/>
    <w:p w14:paraId="6C04AD3E" w14:textId="6B251A76" w:rsidR="002B6685" w:rsidRPr="00C10CA1" w:rsidRDefault="0095372F" w:rsidP="00A40F25">
      <w:pPr>
        <w:spacing w:line="480" w:lineRule="auto"/>
        <w:ind w:firstLine="720"/>
      </w:pPr>
      <w:r>
        <w:t>Ever-</w:t>
      </w:r>
      <w:r w:rsidR="002B6685" w:rsidRPr="00381788">
        <w:t>ELs in the district were eligible to participate if they attended 12</w:t>
      </w:r>
      <w:r w:rsidR="002B6685" w:rsidRPr="00381788">
        <w:rPr>
          <w:vertAlign w:val="superscript"/>
        </w:rPr>
        <w:t>th</w:t>
      </w:r>
      <w:r w:rsidR="002B6685" w:rsidRPr="00381788">
        <w:t xml:space="preserve"> grade in</w:t>
      </w:r>
      <w:r w:rsidR="00D97967" w:rsidRPr="005267A6">
        <w:t xml:space="preserve"> one of the three high schools</w:t>
      </w:r>
      <w:r w:rsidR="00387CD9">
        <w:t xml:space="preserve"> after their high school adopted the EC program</w:t>
      </w:r>
      <w:r w:rsidR="002B6685" w:rsidRPr="008E2E86">
        <w:t xml:space="preserve">. This means that </w:t>
      </w:r>
      <w:r w:rsidR="00781B8E" w:rsidRPr="003528E5">
        <w:t xml:space="preserve">students in other high schools and cohorts prior to </w:t>
      </w:r>
      <w:r w:rsidR="00387CD9">
        <w:t>program adoption</w:t>
      </w:r>
      <w:r w:rsidR="00781B8E" w:rsidRPr="003528E5">
        <w:t xml:space="preserve"> </w:t>
      </w:r>
      <w:r w:rsidR="002B6685" w:rsidRPr="00AC2148">
        <w:t>were ineligible. The</w:t>
      </w:r>
      <w:r w:rsidR="00781B8E" w:rsidRPr="00F6420B">
        <w:t xml:space="preserve"> intersection of </w:t>
      </w:r>
      <w:r w:rsidR="00D97967" w:rsidRPr="0004443F">
        <w:t xml:space="preserve">attending one of the three high schools </w:t>
      </w:r>
      <w:r w:rsidR="00781B8E" w:rsidRPr="006E03A4">
        <w:t>(“Treated</w:t>
      </w:r>
      <w:r w:rsidR="002B6685" w:rsidRPr="006E03A4">
        <w:t>”) and p</w:t>
      </w:r>
      <w:r w:rsidR="00781B8E" w:rsidRPr="00E20ABB">
        <w:t>ost</w:t>
      </w:r>
      <w:r w:rsidR="00781B8E" w:rsidRPr="00E66422">
        <w:t>-program graduating class (“P</w:t>
      </w:r>
      <w:r w:rsidR="002B6685" w:rsidRPr="007E5B1A">
        <w:t>ost”) identifies eligibility</w:t>
      </w:r>
      <w:r w:rsidR="00781B8E" w:rsidRPr="007E5B1A">
        <w:t>.</w:t>
      </w:r>
      <w:r w:rsidR="00B8562C" w:rsidRPr="007E5B1A">
        <w:rPr>
          <w:vertAlign w:val="superscript"/>
        </w:rPr>
        <w:t>2</w:t>
      </w:r>
      <w:r w:rsidR="00781B8E" w:rsidRPr="00FE0C43">
        <w:t xml:space="preserve"> This allows us</w:t>
      </w:r>
      <w:r w:rsidR="002B6685" w:rsidRPr="00FE0C43">
        <w:t xml:space="preserve"> to compare outcomes using the DiD framework by </w:t>
      </w:r>
      <w:r w:rsidR="00781B8E" w:rsidRPr="00FE0C43">
        <w:t>applying the following model</w:t>
      </w:r>
      <w:r w:rsidR="00001EFF">
        <w:t xml:space="preserve"> for our main analysis</w:t>
      </w:r>
      <w:r w:rsidR="002B6685" w:rsidRPr="00C10CA1">
        <w:t>:</w:t>
      </w:r>
    </w:p>
    <w:p w14:paraId="0A772142" w14:textId="34D43245" w:rsidR="002B6685" w:rsidRPr="00C10CA1" w:rsidRDefault="00B36AFE" w:rsidP="00A40F25">
      <w:pPr>
        <w:spacing w:line="480" w:lineRule="auto"/>
        <w:ind w:firstLine="720"/>
        <w:rPr>
          <w:rFonts w:ascii="Cambria Math" w:hAnsi="Cambria Math"/>
          <w:i/>
          <w:iCs/>
        </w:rPr>
      </w:pPr>
      <m:oMath>
        <m:sSub>
          <m:sSubPr>
            <m:ctrlPr>
              <w:rPr>
                <w:rFonts w:ascii="Cambria Math" w:hAnsi="Cambria Math"/>
                <w:i/>
                <w:iCs/>
              </w:rPr>
            </m:ctrlPr>
          </m:sSubPr>
          <m:e>
            <m:r>
              <w:rPr>
                <w:rFonts w:ascii="Cambria Math" w:hAnsi="Cambria Math"/>
              </w:rPr>
              <m:t>Outcome</m:t>
            </m:r>
          </m:e>
          <m:sub>
            <m:r>
              <w:rPr>
                <w:rFonts w:ascii="Cambria Math" w:hAnsi="Cambria Math"/>
              </w:rPr>
              <m:t>ics </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1</m:t>
            </m:r>
          </m:sub>
        </m:sSub>
        <m:sSub>
          <m:sSubPr>
            <m:ctrlPr>
              <w:rPr>
                <w:rFonts w:ascii="Cambria Math" w:hAnsi="Cambria Math"/>
                <w:i/>
                <w:iCs/>
              </w:rPr>
            </m:ctrlPr>
          </m:sSubPr>
          <m:e>
            <m:r>
              <w:rPr>
                <w:rFonts w:ascii="Cambria Math" w:hAnsi="Cambria Math"/>
              </w:rPr>
              <m:t>Treated</m:t>
            </m:r>
          </m:e>
          <m:sub>
            <m:r>
              <w:rPr>
                <w:rFonts w:ascii="Cambria Math" w:hAnsi="Cambria Math"/>
              </w:rPr>
              <m:t>is</m:t>
            </m:r>
          </m:sub>
        </m:sSub>
      </m:oMath>
      <w:r w:rsidR="002B6685" w:rsidRPr="00F82D72">
        <w:rPr>
          <w:rFonts w:ascii="Cambria Math" w:hAnsi="Cambria Math"/>
          <w:i/>
          <w:iCs/>
        </w:rPr>
        <w:t xml:space="preserve"> + </w:t>
      </w:r>
      <m:oMath>
        <m:sSub>
          <m:sSubPr>
            <m:ctrlPr>
              <w:rPr>
                <w:rFonts w:ascii="Cambria Math" w:hAnsi="Cambria Math"/>
                <w:i/>
                <w:iCs/>
              </w:rPr>
            </m:ctrlPr>
          </m:sSubPr>
          <m:e>
            <m:r>
              <w:rPr>
                <w:rFonts w:ascii="Cambria Math" w:hAnsi="Cambria Math"/>
              </w:rPr>
              <m:t>β</m:t>
            </m:r>
          </m:e>
          <m:sub>
            <m:r>
              <w:rPr>
                <w:rFonts w:ascii="Cambria Math" w:hAnsi="Cambria Math"/>
              </w:rPr>
              <m:t>2</m:t>
            </m:r>
          </m:sub>
        </m:sSub>
        <m:sSub>
          <m:sSubPr>
            <m:ctrlPr>
              <w:rPr>
                <w:rFonts w:ascii="Cambria Math" w:hAnsi="Cambria Math"/>
                <w:i/>
                <w:iCs/>
              </w:rPr>
            </m:ctrlPr>
          </m:sSubPr>
          <m:e>
            <m:r>
              <w:rPr>
                <w:rFonts w:ascii="Cambria Math" w:hAnsi="Cambria Math"/>
              </w:rPr>
              <m:t>Post</m:t>
            </m:r>
          </m:e>
          <m:sub>
            <m:r>
              <w:rPr>
                <w:rFonts w:ascii="Cambria Math" w:hAnsi="Cambria Math"/>
              </w:rPr>
              <m:t>ic</m:t>
            </m:r>
          </m:sub>
        </m:sSub>
      </m:oMath>
      <w:r w:rsidR="002B6685" w:rsidRPr="00F82D72">
        <w:rPr>
          <w:rFonts w:ascii="Cambria Math" w:hAnsi="Cambria Math"/>
          <w:i/>
          <w:iCs/>
        </w:rPr>
        <w:t xml:space="preserve"> + </w:t>
      </w:r>
      <m:oMath>
        <m:sSub>
          <m:sSubPr>
            <m:ctrlPr>
              <w:rPr>
                <w:rFonts w:ascii="Cambria Math" w:hAnsi="Cambria Math"/>
                <w:i/>
                <w:iCs/>
              </w:rPr>
            </m:ctrlPr>
          </m:sSubPr>
          <m:e>
            <m:r>
              <w:rPr>
                <w:rFonts w:ascii="Cambria Math" w:hAnsi="Cambria Math"/>
              </w:rPr>
              <m:t>β</m:t>
            </m:r>
          </m:e>
          <m:sub>
            <m:r>
              <w:rPr>
                <w:rFonts w:ascii="Cambria Math" w:hAnsi="Cambria Math"/>
              </w:rPr>
              <m:t>3</m:t>
            </m:r>
          </m:sub>
        </m:sSub>
        <m:sSub>
          <m:sSubPr>
            <m:ctrlPr>
              <w:rPr>
                <w:rFonts w:ascii="Cambria Math" w:hAnsi="Cambria Math"/>
                <w:i/>
                <w:iCs/>
              </w:rPr>
            </m:ctrlPr>
          </m:sSubPr>
          <m:e>
            <m:sSub>
              <m:sSubPr>
                <m:ctrlPr>
                  <w:rPr>
                    <w:rFonts w:ascii="Cambria Math" w:hAnsi="Cambria Math"/>
                    <w:i/>
                    <w:iCs/>
                  </w:rPr>
                </m:ctrlPr>
              </m:sSubPr>
              <m:e>
                <m:r>
                  <w:rPr>
                    <w:rFonts w:ascii="Cambria Math" w:hAnsi="Cambria Math"/>
                  </w:rPr>
                  <m:t>Treated</m:t>
                </m:r>
              </m:e>
              <m:sub>
                <m:r>
                  <w:rPr>
                    <w:rFonts w:ascii="Cambria Math" w:hAnsi="Cambria Math"/>
                  </w:rPr>
                  <m:t>is</m:t>
                </m:r>
              </m:sub>
            </m:sSub>
            <m:r>
              <w:rPr>
                <w:rFonts w:ascii="Cambria Math" w:hAnsi="Cambria Math"/>
              </w:rPr>
              <m:t xml:space="preserve"> x Post</m:t>
            </m:r>
          </m:e>
          <m:sub>
            <m:r>
              <w:rPr>
                <w:rFonts w:ascii="Cambria Math" w:hAnsi="Cambria Math"/>
              </w:rPr>
              <m:t>ic</m:t>
            </m:r>
          </m:sub>
        </m:sSub>
      </m:oMath>
      <w:r w:rsidR="002B6685" w:rsidRPr="00F82D72">
        <w:rPr>
          <w:rFonts w:ascii="Cambria Math" w:hAnsi="Cambria Math"/>
          <w:i/>
          <w:iCs/>
        </w:rPr>
        <w:t xml:space="preserve"> </w:t>
      </w:r>
      <m:oMath>
        <m:r>
          <w:rPr>
            <w:rFonts w:ascii="Cambria Math" w:hAnsi="Cambria Math"/>
          </w:rPr>
          <m:t>+ δ</m:t>
        </m:r>
        <m:sSub>
          <m:sSubPr>
            <m:ctrlPr>
              <w:rPr>
                <w:rFonts w:ascii="Cambria Math" w:hAnsi="Cambria Math"/>
                <w:i/>
                <w:iCs/>
              </w:rPr>
            </m:ctrlPr>
          </m:sSubPr>
          <m:e>
            <m:r>
              <w:rPr>
                <w:rFonts w:ascii="Cambria Math" w:hAnsi="Cambria Math"/>
              </w:rPr>
              <m:t>χ</m:t>
            </m:r>
          </m:e>
          <m:sub>
            <m:r>
              <w:rPr>
                <w:rFonts w:ascii="Cambria Math" w:hAnsi="Cambria Math"/>
              </w:rPr>
              <m:t>ics</m:t>
            </m:r>
          </m:sub>
        </m:sSub>
        <m:r>
          <w:rPr>
            <w:rFonts w:ascii="Cambria Math" w:hAnsi="Cambria Math"/>
          </w:rPr>
          <m:t>+ </m:t>
        </m:r>
        <m:sSub>
          <m:sSubPr>
            <m:ctrlPr>
              <w:rPr>
                <w:rFonts w:ascii="Cambria Math" w:hAnsi="Cambria Math"/>
                <w:i/>
                <w:iCs/>
              </w:rPr>
            </m:ctrlPr>
          </m:sSubPr>
          <m:e>
            <m:r>
              <w:rPr>
                <w:rFonts w:ascii="Cambria Math" w:hAnsi="Cambria Math"/>
              </w:rPr>
              <m:t>α</m:t>
            </m:r>
          </m:e>
          <m:sub>
            <m:r>
              <w:rPr>
                <w:rFonts w:ascii="Cambria Math" w:hAnsi="Cambria Math"/>
              </w:rPr>
              <m:t>s</m:t>
            </m:r>
          </m:sub>
        </m:sSub>
        <m:r>
          <w:rPr>
            <w:rFonts w:ascii="Cambria Math" w:hAnsi="Cambria Math"/>
          </w:rPr>
          <m:t>+</m:t>
        </m:r>
        <m:sSub>
          <m:sSubPr>
            <m:ctrlPr>
              <w:rPr>
                <w:rFonts w:ascii="Cambria Math" w:hAnsi="Cambria Math"/>
                <w:i/>
                <w:iCs/>
                <w:lang w:val="el-GR"/>
              </w:rPr>
            </m:ctrlPr>
          </m:sSubPr>
          <m:e>
            <m:r>
              <w:rPr>
                <w:rFonts w:ascii="Cambria Math" w:hAnsi="Cambria Math"/>
                <w:lang w:val="el-GR"/>
              </w:rPr>
              <m:t>ε</m:t>
            </m:r>
          </m:e>
          <m:sub>
            <m:r>
              <w:rPr>
                <w:rFonts w:ascii="Cambria Math" w:hAnsi="Cambria Math"/>
              </w:rPr>
              <m:t>ics</m:t>
            </m:r>
          </m:sub>
        </m:sSub>
      </m:oMath>
      <w:proofErr w:type="gramStart"/>
      <w:r w:rsidR="002B6685" w:rsidRPr="00F82D72">
        <w:rPr>
          <w:rFonts w:ascii="Cambria Math" w:hAnsi="Cambria Math"/>
          <w:i/>
          <w:iCs/>
        </w:rPr>
        <w:t xml:space="preserve">  </w:t>
      </w:r>
      <w:r w:rsidR="005E12CC" w:rsidRPr="00C10CA1">
        <w:rPr>
          <w:rFonts w:ascii="Cambria Math" w:hAnsi="Cambria Math"/>
          <w:i/>
          <w:iCs/>
        </w:rPr>
        <w:t xml:space="preserve"> </w:t>
      </w:r>
      <w:r w:rsidR="005E12CC" w:rsidRPr="00387CD9">
        <w:rPr>
          <w:rFonts w:ascii="Cambria Math" w:hAnsi="Cambria Math"/>
        </w:rPr>
        <w:t>(</w:t>
      </w:r>
      <w:proofErr w:type="gramEnd"/>
      <w:r w:rsidR="005E12CC" w:rsidRPr="00387CD9">
        <w:rPr>
          <w:rFonts w:ascii="Cambria Math" w:hAnsi="Cambria Math"/>
        </w:rPr>
        <w:t>1)</w:t>
      </w:r>
    </w:p>
    <w:p w14:paraId="17438CAA" w14:textId="09CEB1E1" w:rsidR="002B6685" w:rsidRPr="00381788" w:rsidRDefault="002B6685" w:rsidP="00A40F25">
      <w:pPr>
        <w:spacing w:line="480" w:lineRule="auto"/>
      </w:pPr>
      <w:r w:rsidRPr="00F82D72">
        <w:t>in which for student i in cohor</w:t>
      </w:r>
      <w:r w:rsidR="00781B8E" w:rsidRPr="00D45266">
        <w:t>t c in</w:t>
      </w:r>
      <w:r w:rsidRPr="00C557AA">
        <w:t xml:space="preserve"> high school s: </w:t>
      </w:r>
    </w:p>
    <w:p w14:paraId="15780544" w14:textId="62B49625" w:rsidR="002B6685" w:rsidRPr="00381788" w:rsidRDefault="00781B8E" w:rsidP="00A40F25">
      <w:pPr>
        <w:spacing w:line="480" w:lineRule="auto"/>
        <w:ind w:firstLine="720"/>
      </w:pPr>
      <w:r w:rsidRPr="00381788">
        <w:t>Post = 1 if</w:t>
      </w:r>
      <w:r w:rsidR="00D97967" w:rsidRPr="00381788">
        <w:t xml:space="preserve"> high school offered EC when cohort was in 12</w:t>
      </w:r>
      <w:r w:rsidR="00D97967" w:rsidRPr="00381788">
        <w:rPr>
          <w:vertAlign w:val="superscript"/>
        </w:rPr>
        <w:t>th</w:t>
      </w:r>
      <w:r w:rsidR="00D97967" w:rsidRPr="00381788">
        <w:t xml:space="preserve"> </w:t>
      </w:r>
      <w:proofErr w:type="gramStart"/>
      <w:r w:rsidR="00D97967" w:rsidRPr="00381788">
        <w:t>grade;</w:t>
      </w:r>
      <w:proofErr w:type="gramEnd"/>
      <w:r w:rsidR="00D97967" w:rsidRPr="00381788">
        <w:t xml:space="preserve"> </w:t>
      </w:r>
    </w:p>
    <w:p w14:paraId="0B152CC8" w14:textId="28495671" w:rsidR="002B6685" w:rsidRPr="00895194" w:rsidRDefault="00781B8E" w:rsidP="00A40F25">
      <w:pPr>
        <w:spacing w:line="480" w:lineRule="auto"/>
        <w:ind w:firstLine="720"/>
      </w:pPr>
      <w:r w:rsidRPr="008E2E86">
        <w:t>Treated</w:t>
      </w:r>
      <w:r w:rsidR="002B6685" w:rsidRPr="003528E5">
        <w:t xml:space="preserve"> = 1 if student </w:t>
      </w:r>
      <w:r w:rsidRPr="00AC2148">
        <w:t>attended HS1</w:t>
      </w:r>
      <w:r w:rsidR="00D97967" w:rsidRPr="00213DF4">
        <w:t xml:space="preserve">, HS2, or </w:t>
      </w:r>
      <w:proofErr w:type="gramStart"/>
      <w:r w:rsidR="00D97967" w:rsidRPr="00213DF4">
        <w:t>HS3</w:t>
      </w:r>
      <w:r w:rsidRPr="004A197F">
        <w:t>;</w:t>
      </w:r>
      <w:proofErr w:type="gramEnd"/>
    </w:p>
    <w:p w14:paraId="53D2AA35" w14:textId="77777777" w:rsidR="0094303F" w:rsidRPr="00C11D37" w:rsidRDefault="002B6685" w:rsidP="00A40F25">
      <w:pPr>
        <w:spacing w:line="480" w:lineRule="auto"/>
        <w:ind w:firstLine="720"/>
      </w:pPr>
      <m:oMath>
        <m:r>
          <m:rPr>
            <m:sty m:val="p"/>
          </m:rPr>
          <w:rPr>
            <w:rFonts w:ascii="Cambria Math" w:hAnsi="Cambria Math"/>
          </w:rPr>
          <m:t>χ</m:t>
        </m:r>
      </m:oMath>
      <w:r w:rsidRPr="0004443F">
        <w:t xml:space="preserve"> is</w:t>
      </w:r>
      <w:r w:rsidRPr="00E20ABB">
        <w:t xml:space="preserve"> a vector of </w:t>
      </w:r>
      <w:proofErr w:type="gramStart"/>
      <w:r w:rsidRPr="00E20ABB">
        <w:t>student covariates</w:t>
      </w:r>
      <w:r w:rsidR="00781B8E" w:rsidRPr="00646500">
        <w:t>;</w:t>
      </w:r>
      <w:proofErr w:type="gramEnd"/>
      <w:r w:rsidRPr="00C11D37">
        <w:tab/>
      </w:r>
    </w:p>
    <w:p w14:paraId="69E0B782" w14:textId="4BCA18C6" w:rsidR="002B6685" w:rsidRPr="00C557AA" w:rsidRDefault="00B36AFE" w:rsidP="00A40F25">
      <w:pPr>
        <w:spacing w:line="480" w:lineRule="auto"/>
        <w:ind w:firstLine="720"/>
      </w:pPr>
      <m:oMath>
        <m:sSub>
          <m:sSubPr>
            <m:ctrlPr>
              <w:rPr>
                <w:rFonts w:ascii="Cambria Math" w:hAnsi="Cambria Math"/>
                <w:i/>
              </w:rPr>
            </m:ctrlPr>
          </m:sSubPr>
          <m:e>
            <m:r>
              <w:rPr>
                <w:rFonts w:ascii="Cambria Math" w:hAnsi="Cambria Math"/>
              </w:rPr>
              <m:t>α</m:t>
            </m:r>
          </m:e>
          <m:sub>
            <m:r>
              <w:rPr>
                <w:rFonts w:ascii="Cambria Math" w:hAnsi="Cambria Math"/>
              </w:rPr>
              <m:t>s</m:t>
            </m:r>
          </m:sub>
        </m:sSub>
      </m:oMath>
      <w:r w:rsidR="0094303F" w:rsidRPr="00F82D72">
        <w:t xml:space="preserve"> represents high school fixed </w:t>
      </w:r>
      <w:proofErr w:type="gramStart"/>
      <w:r w:rsidR="0094303F" w:rsidRPr="00F82D72">
        <w:t>effects;</w:t>
      </w:r>
      <w:proofErr w:type="gramEnd"/>
      <w:r w:rsidR="002B6685" w:rsidRPr="00D45266">
        <w:tab/>
      </w:r>
      <w:r w:rsidR="002B6685" w:rsidRPr="00D45266">
        <w:tab/>
      </w:r>
      <w:r w:rsidR="002B6685" w:rsidRPr="00D45266">
        <w:tab/>
      </w:r>
      <w:r w:rsidR="002B6685" w:rsidRPr="00D45266">
        <w:tab/>
      </w:r>
    </w:p>
    <w:p w14:paraId="6CECE6FE" w14:textId="77777777" w:rsidR="002B6685" w:rsidRPr="00381788" w:rsidRDefault="002B6685" w:rsidP="00A40F25">
      <w:pPr>
        <w:spacing w:line="480" w:lineRule="auto"/>
        <w:ind w:firstLine="720"/>
      </w:pPr>
      <w:r w:rsidRPr="00381788">
        <w:t xml:space="preserve">ε represents errors clustered at the cohort-school level; and </w:t>
      </w:r>
    </w:p>
    <w:p w14:paraId="57668646" w14:textId="5FD77887" w:rsidR="002B6685" w:rsidRPr="00AC2148" w:rsidRDefault="002B6685" w:rsidP="00A40F25">
      <w:pPr>
        <w:spacing w:line="480" w:lineRule="auto"/>
        <w:ind w:firstLine="720"/>
      </w:pPr>
      <w:r w:rsidRPr="002D4786">
        <w:t>β</w:t>
      </w:r>
      <w:r w:rsidRPr="008E2E86">
        <w:rPr>
          <w:vertAlign w:val="subscript"/>
        </w:rPr>
        <w:t xml:space="preserve">3 </w:t>
      </w:r>
      <w:r w:rsidRPr="003528E5">
        <w:t xml:space="preserve">is the coefficient of interest providing the effect of program eligibility on outcome. </w:t>
      </w:r>
      <w:r w:rsidRPr="003528E5">
        <w:tab/>
      </w:r>
    </w:p>
    <w:p w14:paraId="6837BF2A" w14:textId="75F541DE" w:rsidR="000C500C" w:rsidRPr="0004443F" w:rsidRDefault="000C500C" w:rsidP="00C10CA1">
      <w:pPr>
        <w:spacing w:line="480" w:lineRule="auto"/>
      </w:pPr>
      <w:bookmarkStart w:id="9" w:name="_Hlk51161771"/>
      <w:r w:rsidRPr="00213DF4">
        <w:t xml:space="preserve">We estimate ordinary least squares (OLS) models for continuous outcomes and linear probability models for binary outcomes. We report the results from these models for </w:t>
      </w:r>
      <w:r w:rsidRPr="00F6420B">
        <w:t>ease of interpretation. We also estimate logistic regressions for the binary outcomes. Results are qualitatively similar and available upon request.</w:t>
      </w:r>
    </w:p>
    <w:bookmarkEnd w:id="9"/>
    <w:p w14:paraId="43742C04" w14:textId="73CF46DA" w:rsidR="00FA0D4E" w:rsidRDefault="00227F82" w:rsidP="00527764">
      <w:pPr>
        <w:spacing w:line="480" w:lineRule="auto"/>
        <w:ind w:firstLine="720"/>
      </w:pPr>
      <w:r>
        <w:lastRenderedPageBreak/>
        <w:t>However, this</w:t>
      </w:r>
      <w:r w:rsidRPr="00646500">
        <w:t xml:space="preserve"> </w:t>
      </w:r>
      <w:r w:rsidR="005E12CC" w:rsidRPr="00646500">
        <w:t>standard</w:t>
      </w:r>
      <w:r w:rsidR="00AF0DE3" w:rsidRPr="00AC1539">
        <w:t xml:space="preserve"> </w:t>
      </w:r>
      <w:r w:rsidR="005E12CC" w:rsidRPr="007107E4">
        <w:t>interaction</w:t>
      </w:r>
      <w:r w:rsidR="00AF0DE3" w:rsidRPr="00941DCC">
        <w:t xml:space="preserve"> approach</w:t>
      </w:r>
      <w:r w:rsidR="000C500C" w:rsidRPr="00941DCC">
        <w:t xml:space="preserve"> to DiD</w:t>
      </w:r>
      <w:r w:rsidR="00AF0DE3" w:rsidRPr="00EF22A6">
        <w:t xml:space="preserve"> </w:t>
      </w:r>
      <w:r w:rsidR="002B6685" w:rsidRPr="00BD3B9E">
        <w:t>has two shortcomings. First, if ch</w:t>
      </w:r>
      <w:r w:rsidR="00121F3E" w:rsidRPr="00D7477C">
        <w:t>aracteristics unique to post-pr</w:t>
      </w:r>
      <w:r w:rsidR="00121F3E" w:rsidRPr="00C11D37">
        <w:t xml:space="preserve">ogram cohorts in </w:t>
      </w:r>
      <w:r w:rsidR="00657896" w:rsidRPr="00C11D37">
        <w:t>the three treated hi</w:t>
      </w:r>
      <w:r w:rsidR="005611B5" w:rsidRPr="00C11D37">
        <w:t>gh</w:t>
      </w:r>
      <w:r w:rsidR="00657896" w:rsidRPr="00C11D37">
        <w:t xml:space="preserve"> s</w:t>
      </w:r>
      <w:r w:rsidR="00C14873" w:rsidRPr="00C11D37">
        <w:t>c</w:t>
      </w:r>
      <w:r w:rsidR="00657896" w:rsidRPr="00C11D37">
        <w:t>hools</w:t>
      </w:r>
      <w:r w:rsidR="002B6685" w:rsidRPr="00C11D37">
        <w:t xml:space="preserve"> had contributed to differential performance, the design would not properly identify these effects. Second, </w:t>
      </w:r>
      <w:proofErr w:type="gramStart"/>
      <w:r w:rsidR="002B6685" w:rsidRPr="00C11D37">
        <w:t>DiD</w:t>
      </w:r>
      <w:proofErr w:type="gramEnd"/>
      <w:r w:rsidR="002B6685" w:rsidRPr="00C11D37">
        <w:t xml:space="preserve"> requires </w:t>
      </w:r>
      <w:r w:rsidR="00121F3E" w:rsidRPr="00C11D37">
        <w:t xml:space="preserve">that </w:t>
      </w:r>
      <w:r w:rsidR="002B6685" w:rsidRPr="00C11D37">
        <w:t xml:space="preserve">outcome trends </w:t>
      </w:r>
      <w:r w:rsidR="00121F3E" w:rsidRPr="00C11D37">
        <w:t xml:space="preserve">for </w:t>
      </w:r>
      <w:r w:rsidR="005611B5" w:rsidRPr="00C11D37">
        <w:t>the treated</w:t>
      </w:r>
      <w:r w:rsidR="00121F3E" w:rsidRPr="00C11D37">
        <w:t xml:space="preserve"> and control schools </w:t>
      </w:r>
      <w:r w:rsidR="002B6685" w:rsidRPr="00C11D37">
        <w:t xml:space="preserve">in the years prior to </w:t>
      </w:r>
      <w:r w:rsidR="00121F3E" w:rsidRPr="00C11D37">
        <w:t>EC</w:t>
      </w:r>
      <w:r w:rsidR="002B6685" w:rsidRPr="00C11D37">
        <w:t xml:space="preserve"> implementation to be parallel. If this “common trends” assumption is violated, the resulting estimate would be prone to bias (Angrist &amp; Pischke, 200</w:t>
      </w:r>
      <w:r w:rsidR="00C14873" w:rsidRPr="00C11D37">
        <w:t>9</w:t>
      </w:r>
      <w:r w:rsidR="002B6685" w:rsidRPr="00C11D37">
        <w:t xml:space="preserve">). </w:t>
      </w:r>
      <w:r w:rsidR="00393167" w:rsidRPr="00C11D37">
        <w:t xml:space="preserve">We plot the outcome trends for </w:t>
      </w:r>
      <w:r w:rsidR="00657896" w:rsidRPr="00C11D37">
        <w:t>the treated schools</w:t>
      </w:r>
      <w:r w:rsidR="00393167" w:rsidRPr="00C11D37">
        <w:t xml:space="preserve"> and the control schools in Figure 1. </w:t>
      </w:r>
      <w:r w:rsidR="001035BC" w:rsidRPr="00C11D37">
        <w:t>Visual inspection provides some reassurance for the validity of the design</w:t>
      </w:r>
      <w:r w:rsidR="00C14873" w:rsidRPr="00C11D37">
        <w:t xml:space="preserve">. </w:t>
      </w:r>
    </w:p>
    <w:p w14:paraId="65E07CCF" w14:textId="3FD60569" w:rsidR="00C14873" w:rsidRPr="00C11D37" w:rsidRDefault="00C14873" w:rsidP="007C39A3">
      <w:pPr>
        <w:spacing w:line="480" w:lineRule="auto"/>
        <w:ind w:firstLine="720"/>
      </w:pPr>
      <w:r w:rsidRPr="00C11D37">
        <w:t xml:space="preserve">To further examine the validity of the control group as the counterfactual to the treated group, we perform several additional analyses. </w:t>
      </w:r>
      <w:bookmarkStart w:id="10" w:name="_Hlk65506000"/>
      <w:r w:rsidRPr="00C11D37">
        <w:t xml:space="preserve">First, we perform an event-study analysis on </w:t>
      </w:r>
      <w:r w:rsidR="006B7956">
        <w:t>the same ever-</w:t>
      </w:r>
      <w:r w:rsidRPr="00C11D37">
        <w:t xml:space="preserve">EL sample </w:t>
      </w:r>
      <w:r w:rsidR="006B7956">
        <w:t xml:space="preserve">as </w:t>
      </w:r>
      <w:proofErr w:type="spellStart"/>
      <w:r w:rsidR="006B7956">
        <w:t>the</w:t>
      </w:r>
      <w:proofErr w:type="spellEnd"/>
      <w:r w:rsidR="006B7956">
        <w:t xml:space="preserve"> </w:t>
      </w:r>
      <w:proofErr w:type="spellStart"/>
      <w:r w:rsidR="006B7956">
        <w:t>DiD</w:t>
      </w:r>
      <w:proofErr w:type="spellEnd"/>
      <w:r w:rsidR="006B7956">
        <w:t xml:space="preserve"> analysis </w:t>
      </w:r>
      <w:r w:rsidRPr="00C11D37">
        <w:t>by running the following model, which includes a full set of dummy variables that identify pre- and post-treatment years of program implementation (Angrist &amp; Pischke, 2009)</w:t>
      </w:r>
      <w:r w:rsidR="00527764" w:rsidRPr="00C11D37">
        <w:t>:</w:t>
      </w:r>
      <w:r w:rsidRPr="00C11D37">
        <w:t xml:space="preserve"> </w:t>
      </w:r>
    </w:p>
    <w:p w14:paraId="0A911F36" w14:textId="770BEC19" w:rsidR="00C14873" w:rsidRPr="00D45266" w:rsidRDefault="00B36AFE" w:rsidP="00657896">
      <w:pPr>
        <w:spacing w:line="480" w:lineRule="auto"/>
        <w:ind w:firstLine="720"/>
      </w:pPr>
      <m:oMathPara>
        <m:oMath>
          <m:sSub>
            <m:sSubPr>
              <m:ctrlPr>
                <w:rPr>
                  <w:rFonts w:ascii="Cambria Math" w:hAnsi="Cambria Math"/>
                  <w:i/>
                </w:rPr>
              </m:ctrlPr>
            </m:sSubPr>
            <m:e>
              <m:r>
                <w:rPr>
                  <w:rFonts w:ascii="Cambria Math" w:hAnsi="Cambria Math"/>
                </w:rPr>
                <m:t>Outcome</m:t>
              </m:r>
            </m:e>
            <m:sub>
              <m:r>
                <w:rPr>
                  <w:rFonts w:ascii="Cambria Math" w:hAnsi="Cambria Math"/>
                </w:rPr>
                <m:t xml:space="preserve">ics=  </m:t>
              </m:r>
            </m:sub>
          </m:sSub>
          <m:sSub>
            <m:sSubPr>
              <m:ctrlPr>
                <w:rPr>
                  <w:rFonts w:ascii="Cambria Math" w:hAnsi="Cambria Math"/>
                  <w:i/>
                </w:rPr>
              </m:ctrlPr>
            </m:sSubPr>
            <m:e>
              <m:r>
                <w:rPr>
                  <w:rFonts w:ascii="Cambria Math" w:hAnsi="Cambria Math"/>
                </w:rPr>
                <m:t>α</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c</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τ=1</m:t>
              </m:r>
            </m:sub>
            <m:sup>
              <m:r>
                <w:rPr>
                  <w:rFonts w:ascii="Cambria Math" w:hAnsi="Cambria Math"/>
                </w:rPr>
                <m:t>4</m:t>
              </m:r>
            </m:sup>
            <m:e>
              <m:sSub>
                <m:sSubPr>
                  <m:ctrlPr>
                    <w:rPr>
                      <w:rFonts w:ascii="Cambria Math" w:hAnsi="Cambria Math"/>
                      <w:i/>
                    </w:rPr>
                  </m:ctrlPr>
                </m:sSubPr>
                <m:e>
                  <m:r>
                    <w:rPr>
                      <w:rFonts w:ascii="Cambria Math" w:hAnsi="Cambria Math"/>
                    </w:rPr>
                    <m:t>δ</m:t>
                  </m:r>
                </m:e>
                <m:sub>
                  <m:r>
                    <w:rPr>
                      <w:rFonts w:ascii="Cambria Math" w:hAnsi="Cambria Math"/>
                    </w:rPr>
                    <m:t>-τ</m:t>
                  </m:r>
                </m:sub>
              </m:sSub>
              <m:sSub>
                <m:sSubPr>
                  <m:ctrlPr>
                    <w:rPr>
                      <w:rFonts w:ascii="Cambria Math" w:hAnsi="Cambria Math"/>
                      <w:i/>
                    </w:rPr>
                  </m:ctrlPr>
                </m:sSubPr>
                <m:e>
                  <m:r>
                    <w:rPr>
                      <w:rFonts w:ascii="Cambria Math" w:hAnsi="Cambria Math"/>
                    </w:rPr>
                    <m:t>D</m:t>
                  </m:r>
                </m:e>
                <m:sub>
                  <m:r>
                    <w:rPr>
                      <w:rFonts w:ascii="Cambria Math" w:hAnsi="Cambria Math"/>
                    </w:rPr>
                    <m:t>s, c-τ</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τ=0</m:t>
                  </m:r>
                </m:sub>
                <m:sup>
                  <m:r>
                    <w:rPr>
                      <w:rFonts w:ascii="Cambria Math" w:hAnsi="Cambria Math"/>
                    </w:rPr>
                    <m:t>2</m:t>
                  </m:r>
                </m:sup>
                <m:e>
                  <m:sSub>
                    <m:sSubPr>
                      <m:ctrlPr>
                        <w:rPr>
                          <w:rFonts w:ascii="Cambria Math" w:hAnsi="Cambria Math"/>
                          <w:i/>
                        </w:rPr>
                      </m:ctrlPr>
                    </m:sSubPr>
                    <m:e>
                      <m:r>
                        <w:rPr>
                          <w:rFonts w:ascii="Cambria Math" w:hAnsi="Cambria Math"/>
                        </w:rPr>
                        <m:t>δ</m:t>
                      </m:r>
                    </m:e>
                    <m:sub>
                      <m:r>
                        <w:rPr>
                          <w:rFonts w:ascii="Cambria Math" w:hAnsi="Cambria Math"/>
                        </w:rPr>
                        <m:t>τ</m:t>
                      </m:r>
                    </m:sub>
                  </m:sSub>
                  <m:sSub>
                    <m:sSubPr>
                      <m:ctrlPr>
                        <w:rPr>
                          <w:rFonts w:ascii="Cambria Math" w:hAnsi="Cambria Math"/>
                          <w:i/>
                        </w:rPr>
                      </m:ctrlPr>
                    </m:sSubPr>
                    <m:e>
                      <m:r>
                        <w:rPr>
                          <w:rFonts w:ascii="Cambria Math" w:hAnsi="Cambria Math"/>
                        </w:rPr>
                        <m:t>D</m:t>
                      </m:r>
                    </m:e>
                    <m:sub>
                      <m:r>
                        <w:rPr>
                          <w:rFonts w:ascii="Cambria Math" w:hAnsi="Cambria Math"/>
                        </w:rPr>
                        <m:t>s, c+τ</m:t>
                      </m:r>
                    </m:sub>
                  </m:sSub>
                  <m:r>
                    <w:rPr>
                      <w:rFonts w:ascii="Cambria Math" w:hAnsi="Cambria Math"/>
                    </w:rPr>
                    <m:t xml:space="preserve">+ </m:t>
                  </m:r>
                  <m:sSub>
                    <m:sSubPr>
                      <m:ctrlPr>
                        <w:rPr>
                          <w:rFonts w:ascii="Cambria Math" w:hAnsi="Cambria Math"/>
                          <w:i/>
                        </w:rPr>
                      </m:ctrlPr>
                    </m:sSubPr>
                    <m:e>
                      <m:r>
                        <w:rPr>
                          <w:rFonts w:ascii="Cambria Math" w:hAnsi="Cambria Math"/>
                        </w:rPr>
                        <m:t>βX</m:t>
                      </m:r>
                    </m:e>
                    <m:sub>
                      <m:r>
                        <w:rPr>
                          <w:rFonts w:ascii="Cambria Math" w:hAnsi="Cambria Math"/>
                        </w:rPr>
                        <m:t>ics</m:t>
                      </m:r>
                    </m:sub>
                  </m:sSub>
                  <m:r>
                    <w:rPr>
                      <w:rFonts w:ascii="Cambria Math" w:hAnsi="Cambria Math"/>
                    </w:rPr>
                    <m:t xml:space="preserve">+ </m:t>
                  </m:r>
                  <m:sSub>
                    <m:sSubPr>
                      <m:ctrlPr>
                        <w:rPr>
                          <w:rFonts w:ascii="Cambria Math" w:hAnsi="Cambria Math"/>
                          <w:i/>
                        </w:rPr>
                      </m:ctrlPr>
                    </m:sSubPr>
                    <m:e>
                      <m:r>
                        <w:rPr>
                          <w:rFonts w:ascii="Cambria Math" w:hAnsi="Cambria Math"/>
                        </w:rPr>
                        <m:t>ϵ</m:t>
                      </m:r>
                    </m:e>
                    <m:sub>
                      <m:r>
                        <w:rPr>
                          <w:rFonts w:ascii="Cambria Math" w:hAnsi="Cambria Math"/>
                        </w:rPr>
                        <m:t>ics</m:t>
                      </m:r>
                    </m:sub>
                  </m:sSub>
                </m:e>
              </m:nary>
            </m:e>
          </m:nary>
          <m:r>
            <w:rPr>
              <w:rFonts w:ascii="Cambria Math" w:hAnsi="Cambria Math"/>
            </w:rPr>
            <m:t xml:space="preserve">  (2)</m:t>
          </m:r>
        </m:oMath>
      </m:oMathPara>
    </w:p>
    <w:p w14:paraId="1975AE4D" w14:textId="2607D267" w:rsidR="00527764" w:rsidRPr="008E2E86" w:rsidRDefault="00527764" w:rsidP="00A40F25">
      <w:pPr>
        <w:spacing w:line="480" w:lineRule="auto"/>
      </w:pPr>
      <w:r w:rsidRPr="00C557AA">
        <w:rPr>
          <w:bCs/>
        </w:rPr>
        <w:t xml:space="preserve">Where </w:t>
      </w:r>
      <m:oMath>
        <m:sSub>
          <m:sSubPr>
            <m:ctrlPr>
              <w:rPr>
                <w:rFonts w:ascii="Cambria Math" w:hAnsi="Cambria Math"/>
                <w:i/>
              </w:rPr>
            </m:ctrlPr>
          </m:sSubPr>
          <m:e>
            <m:r>
              <w:rPr>
                <w:rFonts w:ascii="Cambria Math" w:hAnsi="Cambria Math"/>
              </w:rPr>
              <m:t>α</m:t>
            </m:r>
          </m:e>
          <m:sub>
            <m:r>
              <w:rPr>
                <w:rFonts w:ascii="Cambria Math" w:hAnsi="Cambria Math"/>
              </w:rPr>
              <m:t>s</m:t>
            </m:r>
          </m:sub>
        </m:sSub>
      </m:oMath>
      <w:r w:rsidRPr="00F82D72">
        <w:t xml:space="preserve"> and </w:t>
      </w:r>
      <m:oMath>
        <m:sSub>
          <m:sSubPr>
            <m:ctrlPr>
              <w:rPr>
                <w:rFonts w:ascii="Cambria Math" w:hAnsi="Cambria Math"/>
                <w:i/>
              </w:rPr>
            </m:ctrlPr>
          </m:sSubPr>
          <m:e>
            <m:r>
              <w:rPr>
                <w:rFonts w:ascii="Cambria Math" w:hAnsi="Cambria Math"/>
              </w:rPr>
              <m:t>γ</m:t>
            </m:r>
          </m:e>
          <m:sub>
            <m:r>
              <w:rPr>
                <w:rFonts w:ascii="Cambria Math" w:hAnsi="Cambria Math"/>
              </w:rPr>
              <m:t>c</m:t>
            </m:r>
          </m:sub>
        </m:sSub>
      </m:oMath>
      <w:r w:rsidRPr="00F82D72">
        <w:t xml:space="preserve"> represen</w:t>
      </w:r>
      <w:r w:rsidRPr="00D45266">
        <w:t xml:space="preserve">t school and cohort fixed effects. The parameter of interest is </w:t>
      </w:r>
      <m:oMath>
        <m:sSub>
          <m:sSubPr>
            <m:ctrlPr>
              <w:rPr>
                <w:rFonts w:ascii="Cambria Math" w:hAnsi="Cambria Math"/>
                <w:i/>
              </w:rPr>
            </m:ctrlPr>
          </m:sSubPr>
          <m:e>
            <m:r>
              <w:rPr>
                <w:rFonts w:ascii="Cambria Math" w:hAnsi="Cambria Math"/>
              </w:rPr>
              <m:t>δ</m:t>
            </m:r>
          </m:e>
          <m:sub>
            <m:r>
              <w:rPr>
                <w:rFonts w:ascii="Cambria Math" w:hAnsi="Cambria Math"/>
              </w:rPr>
              <m:t>-τ</m:t>
            </m:r>
          </m:sub>
        </m:sSub>
      </m:oMath>
      <w:r w:rsidRPr="00F82D72">
        <w:t>, which represents the effect of being in 12</w:t>
      </w:r>
      <w:r w:rsidR="00F35FB0">
        <w:rPr>
          <w:vertAlign w:val="superscript"/>
        </w:rPr>
        <w:t xml:space="preserve">th </w:t>
      </w:r>
      <w:r w:rsidRPr="00C557AA">
        <w:t xml:space="preserve">grade τ years prior to the adoption of the </w:t>
      </w:r>
      <w:r w:rsidR="00EC26B1">
        <w:t>EC</w:t>
      </w:r>
      <w:r w:rsidRPr="00C557AA">
        <w:t xml:space="preserve"> program (relative to being </w:t>
      </w:r>
      <w:r w:rsidR="00FF37B2" w:rsidRPr="00381788">
        <w:t>four</w:t>
      </w:r>
      <w:r w:rsidRPr="00381788">
        <w:t xml:space="preserve"> years prior to adoption). If both treated schools and control schools had similar time-varying changes before the program was implemented, we can be more reassured about the two groups’ having parallel trends. </w:t>
      </w:r>
    </w:p>
    <w:bookmarkEnd w:id="10"/>
    <w:p w14:paraId="2BB21417" w14:textId="4D9E155E" w:rsidR="006A2A7D" w:rsidRPr="00C11D37" w:rsidRDefault="00527764" w:rsidP="00A40F25">
      <w:pPr>
        <w:spacing w:line="480" w:lineRule="auto"/>
      </w:pPr>
      <w:r w:rsidRPr="00F6420B">
        <w:t xml:space="preserve"> </w:t>
      </w:r>
      <w:r w:rsidRPr="00F6420B">
        <w:tab/>
        <w:t xml:space="preserve">Second, we </w:t>
      </w:r>
      <w:r w:rsidR="00625BDD" w:rsidRPr="0004443F">
        <w:t>conduct analys</w:t>
      </w:r>
      <w:r w:rsidR="00BE2990" w:rsidRPr="00E20ABB">
        <w:t>e</w:t>
      </w:r>
      <w:r w:rsidR="00625BDD" w:rsidRPr="00646500">
        <w:t xml:space="preserve">s in the spirit of a difference-in-differences-in-differences (DDD) </w:t>
      </w:r>
      <w:r w:rsidR="00625BDD" w:rsidRPr="00AC1539">
        <w:t xml:space="preserve">design, </w:t>
      </w:r>
      <w:r w:rsidRPr="007107E4">
        <w:t>leverag</w:t>
      </w:r>
      <w:r w:rsidR="00625BDD" w:rsidRPr="00941DCC">
        <w:t>ing</w:t>
      </w:r>
      <w:r w:rsidRPr="007C539C">
        <w:t xml:space="preserve"> data on students in the same schools and cohorts who were never classified as ELs at any point during their time in the district. </w:t>
      </w:r>
      <w:r w:rsidR="0015786F" w:rsidRPr="00C11D37">
        <w:t xml:space="preserve">The EC program was designed to target ELs. Although non-ELs in the treated cohorts were </w:t>
      </w:r>
      <w:r w:rsidR="005A2378" w:rsidRPr="00C11D37">
        <w:t xml:space="preserve">ultimately </w:t>
      </w:r>
      <w:r w:rsidR="0015786F" w:rsidRPr="00C11D37">
        <w:t>offered the same course-</w:t>
      </w:r>
      <w:r w:rsidR="0015786F" w:rsidRPr="00C11D37">
        <w:lastRenderedPageBreak/>
        <w:t xml:space="preserve">taking opportunities, some of the </w:t>
      </w:r>
      <w:r w:rsidR="005A2378" w:rsidRPr="00C11D37">
        <w:t xml:space="preserve">targeted </w:t>
      </w:r>
      <w:r w:rsidR="0015786F" w:rsidRPr="00C11D37">
        <w:t>program features (</w:t>
      </w:r>
      <w:r w:rsidR="005A2378" w:rsidRPr="00C11D37">
        <w:t>e.g.,</w:t>
      </w:r>
      <w:r w:rsidR="0015786F" w:rsidRPr="00C11D37">
        <w:t xml:space="preserve"> college coursework and faculty</w:t>
      </w:r>
      <w:r w:rsidR="00C5771D" w:rsidRPr="00C11D37">
        <w:t xml:space="preserve"> that accommodate ELs</w:t>
      </w:r>
      <w:r w:rsidR="0015786F" w:rsidRPr="00C11D37">
        <w:t xml:space="preserve">) may have uniquely impacted ELs. </w:t>
      </w:r>
      <w:r w:rsidR="005A2378" w:rsidRPr="00C11D37">
        <w:t xml:space="preserve">We construct a comparison DiD (model 1) and event-study (model 2) using non-EL data to explore the extent to which the effects on ELs were unique. </w:t>
      </w:r>
      <w:r w:rsidR="006A2A7D" w:rsidRPr="00C11D37">
        <w:t xml:space="preserve">Although these non-EL results may not fully constitute naïve DiD estimates in a </w:t>
      </w:r>
      <w:r w:rsidR="006A2A7D" w:rsidRPr="00E707C8">
        <w:t xml:space="preserve">DDD design, they provide suggestive evidence for the validity of the counterfactual group. In the same vein, we also report DDD estimates, the results of netting out the non-EL DiD. </w:t>
      </w:r>
      <w:r w:rsidR="006E3317" w:rsidRPr="00C11D37">
        <w:t xml:space="preserve">The triple difference approach has more relaxed assumptions than DiD and would help address concerns over the short pre-trends. </w:t>
      </w:r>
    </w:p>
    <w:p w14:paraId="69E38E58" w14:textId="405BB40F" w:rsidR="00BE2990" w:rsidRPr="00C11D37" w:rsidRDefault="00511027" w:rsidP="006B7956">
      <w:pPr>
        <w:spacing w:line="480" w:lineRule="auto"/>
        <w:ind w:firstLine="720"/>
      </w:pPr>
      <w:r>
        <w:t>We also conduct several sensitivity checks</w:t>
      </w:r>
      <w:r w:rsidR="008704FB">
        <w:t xml:space="preserve"> using different samples to check the robustness of our findings</w:t>
      </w:r>
      <w:r>
        <w:t xml:space="preserve">. </w:t>
      </w:r>
      <w:r w:rsidR="00C5771D" w:rsidRPr="00C11D37">
        <w:t>S</w:t>
      </w:r>
      <w:r w:rsidR="006E3317" w:rsidRPr="00C11D37">
        <w:t xml:space="preserve">ince </w:t>
      </w:r>
      <w:r w:rsidR="006A2A7D" w:rsidRPr="00C11D37">
        <w:t xml:space="preserve">the three high </w:t>
      </w:r>
      <w:r w:rsidR="006E3317" w:rsidRPr="00C11D37">
        <w:t xml:space="preserve">schools that </w:t>
      </w:r>
      <w:r w:rsidR="006A2A7D" w:rsidRPr="00C11D37">
        <w:t>have</w:t>
      </w:r>
      <w:r w:rsidR="006E3317" w:rsidRPr="00C11D37">
        <w:t xml:space="preserve"> implement</w:t>
      </w:r>
      <w:r w:rsidR="006A2A7D" w:rsidRPr="00C11D37">
        <w:t>ed</w:t>
      </w:r>
      <w:r w:rsidR="006E3317" w:rsidRPr="00C11D37">
        <w:t xml:space="preserve"> the program all have enrollment</w:t>
      </w:r>
      <w:r w:rsidR="006A2A7D" w:rsidRPr="00C11D37">
        <w:t>s</w:t>
      </w:r>
      <w:r w:rsidR="006E3317" w:rsidRPr="00C11D37">
        <w:t xml:space="preserve"> </w:t>
      </w:r>
      <w:r w:rsidR="006A2A7D" w:rsidRPr="00C11D37">
        <w:t>of about 100 students per cohort</w:t>
      </w:r>
      <w:r w:rsidR="006E3317" w:rsidRPr="00C11D37">
        <w:t xml:space="preserve">, we restrict our analysis to </w:t>
      </w:r>
      <w:r w:rsidR="006A2A7D" w:rsidRPr="00C11D37">
        <w:t xml:space="preserve">smaller </w:t>
      </w:r>
      <w:r w:rsidR="006E3317" w:rsidRPr="00C11D37">
        <w:t xml:space="preserve">high schools </w:t>
      </w:r>
      <w:r w:rsidR="006A2A7D" w:rsidRPr="00C11D37">
        <w:t>in the district in two</w:t>
      </w:r>
      <w:r w:rsidR="006E3317" w:rsidRPr="00C11D37">
        <w:t xml:space="preserve"> additional check</w:t>
      </w:r>
      <w:r w:rsidR="006A2A7D" w:rsidRPr="00C11D37">
        <w:t>s</w:t>
      </w:r>
      <w:r w:rsidR="004F13DB">
        <w:t xml:space="preserve"> of our main DiD analysis</w:t>
      </w:r>
      <w:r w:rsidR="006E3317" w:rsidRPr="00C11D37">
        <w:t xml:space="preserve">. </w:t>
      </w:r>
      <w:r w:rsidR="006A2A7D" w:rsidRPr="00C11D37">
        <w:t>First, we run th</w:t>
      </w:r>
      <w:r w:rsidR="002E3A21">
        <w:t>is supplementary</w:t>
      </w:r>
      <w:r w:rsidR="006A2A7D" w:rsidRPr="00C11D37">
        <w:t xml:space="preserve"> analysis on a restricted sample of only schools with fewer than 1000 students across the seven cohorts in the sample. Then, we repeat </w:t>
      </w:r>
      <w:r w:rsidR="002E3A21">
        <w:t>this</w:t>
      </w:r>
      <w:r w:rsidR="002E3A21" w:rsidRPr="00C11D37">
        <w:t xml:space="preserve"> </w:t>
      </w:r>
      <w:r w:rsidR="006A2A7D" w:rsidRPr="00C11D37">
        <w:t xml:space="preserve">analysis on a restricted sample </w:t>
      </w:r>
      <w:r w:rsidR="001352D4">
        <w:t>that only includes</w:t>
      </w:r>
      <w:r w:rsidR="001352D4" w:rsidRPr="00C11D37">
        <w:t xml:space="preserve"> </w:t>
      </w:r>
      <w:r w:rsidR="006A2A7D" w:rsidRPr="00C11D37">
        <w:t xml:space="preserve">schools with fewer than 700 EL students across the seven cohorts in the sample. </w:t>
      </w:r>
      <w:r w:rsidR="00BE2990" w:rsidRPr="003D6815">
        <w:t>These sensitivity checks provide an indication for the robustness of our findings to only includ</w:t>
      </w:r>
      <w:r w:rsidR="00845633">
        <w:t>ing</w:t>
      </w:r>
      <w:r w:rsidR="00BA4068">
        <w:t xml:space="preserve"> </w:t>
      </w:r>
      <w:r w:rsidR="00BE2990" w:rsidRPr="003D6815">
        <w:t xml:space="preserve">control schools that are </w:t>
      </w:r>
      <w:proofErr w:type="gramStart"/>
      <w:r w:rsidR="00BE2990" w:rsidRPr="003D6815">
        <w:t>similar to</w:t>
      </w:r>
      <w:proofErr w:type="gramEnd"/>
      <w:r w:rsidR="00BE2990" w:rsidRPr="003D6815">
        <w:t xml:space="preserve"> treated schools in enrollment.</w:t>
      </w:r>
      <w:r w:rsidR="001301F7">
        <w:t xml:space="preserve"> </w:t>
      </w:r>
      <w:r w:rsidR="00A9387B">
        <w:t>Another sensitivity check we perform involves</w:t>
      </w:r>
      <w:r w:rsidR="00BE2990" w:rsidRPr="00BA4068">
        <w:t xml:space="preserve"> </w:t>
      </w:r>
      <w:r w:rsidR="00A9387B">
        <w:t>using</w:t>
      </w:r>
      <w:r w:rsidR="00C5771D" w:rsidRPr="00C11D37">
        <w:t xml:space="preserve"> the 14 control schools in the sample to construct synthetic </w:t>
      </w:r>
      <w:r w:rsidR="0065442D" w:rsidRPr="00C11D37">
        <w:t xml:space="preserve">control </w:t>
      </w:r>
      <w:r w:rsidR="00C5771D" w:rsidRPr="00C11D37">
        <w:t>units for the three treated high schools and conduct weighted DiD regressions</w:t>
      </w:r>
      <w:r w:rsidR="00285F0F" w:rsidRPr="00C11D37">
        <w:t xml:space="preserve"> in a synthetic control analysis (</w:t>
      </w:r>
      <w:r w:rsidR="00DD61CC" w:rsidRPr="00C11D37">
        <w:t>Abadie et al</w:t>
      </w:r>
      <w:r w:rsidR="00D9129E">
        <w:t>.</w:t>
      </w:r>
      <w:r w:rsidR="00DD61CC" w:rsidRPr="00C11D37">
        <w:t>, 2010</w:t>
      </w:r>
      <w:r w:rsidR="00285F0F" w:rsidRPr="00C11D37">
        <w:t>)</w:t>
      </w:r>
      <w:r w:rsidR="00C5771D" w:rsidRPr="00C11D37">
        <w:t xml:space="preserve">. </w:t>
      </w:r>
      <w:r w:rsidR="00BE2990" w:rsidRPr="00C11D37">
        <w:t>Lastly, following Zimmer et al. (2017), we construct school-level demographic composition as placebo outcomes and run the DiD analyses on these outcomes.</w:t>
      </w:r>
      <w:r w:rsidR="00D9129E">
        <w:t xml:space="preserve"> </w:t>
      </w:r>
    </w:p>
    <w:p w14:paraId="474327B4" w14:textId="4F9E85A2" w:rsidR="00DB7C17" w:rsidRPr="00C11D37" w:rsidRDefault="00191AC9" w:rsidP="006B7956">
      <w:pPr>
        <w:keepNext/>
        <w:spacing w:line="480" w:lineRule="auto"/>
        <w:jc w:val="center"/>
        <w:rPr>
          <w:b/>
        </w:rPr>
      </w:pPr>
      <w:r w:rsidRPr="00C11D37">
        <w:rPr>
          <w:b/>
        </w:rPr>
        <w:lastRenderedPageBreak/>
        <w:t>Findings</w:t>
      </w:r>
    </w:p>
    <w:p w14:paraId="2881A57A" w14:textId="5BB31E67" w:rsidR="00AB47C6" w:rsidRPr="00C11D37" w:rsidRDefault="00AB47C6" w:rsidP="00AB47C6">
      <w:pPr>
        <w:spacing w:line="480" w:lineRule="auto"/>
        <w:rPr>
          <w:b/>
          <w:bCs/>
        </w:rPr>
      </w:pPr>
      <w:r w:rsidRPr="00C11D37">
        <w:rPr>
          <w:b/>
          <w:bCs/>
        </w:rPr>
        <w:t>Difference-in-Differences</w:t>
      </w:r>
    </w:p>
    <w:p w14:paraId="0766A047" w14:textId="47610BD1" w:rsidR="00EF2202" w:rsidRDefault="00B270AC" w:rsidP="00A40F25">
      <w:pPr>
        <w:spacing w:line="480" w:lineRule="auto"/>
        <w:ind w:firstLine="720"/>
      </w:pPr>
      <w:r w:rsidRPr="00C11D37">
        <w:t xml:space="preserve">Table </w:t>
      </w:r>
      <w:r w:rsidR="0065442D" w:rsidRPr="00C11D37">
        <w:t>3</w:t>
      </w:r>
      <w:r w:rsidR="007257A7" w:rsidRPr="00C11D37">
        <w:t xml:space="preserve"> shows the DiD estimates for the effects of </w:t>
      </w:r>
      <w:r w:rsidR="009E5B8F" w:rsidRPr="00C11D37">
        <w:t xml:space="preserve">EC opportunities </w:t>
      </w:r>
      <w:r w:rsidR="007257A7" w:rsidRPr="00C11D37">
        <w:t>on college credits earned, the probability of immediate</w:t>
      </w:r>
      <w:r w:rsidR="00404FE3" w:rsidRPr="00C11D37">
        <w:t xml:space="preserve">ly </w:t>
      </w:r>
      <w:r w:rsidR="007257A7" w:rsidRPr="00C11D37">
        <w:t>att</w:t>
      </w:r>
      <w:r w:rsidR="00404FE3" w:rsidRPr="00C11D37">
        <w:t>ending any (two- or four-year) college, attending a four-year college</w:t>
      </w:r>
      <w:r w:rsidR="008E17C2" w:rsidRPr="00C11D37">
        <w:t>, and on-time high school graduation</w:t>
      </w:r>
      <w:r w:rsidR="007257A7" w:rsidRPr="00C11D37">
        <w:t xml:space="preserve">. </w:t>
      </w:r>
      <w:r w:rsidR="008E17C2" w:rsidRPr="00C11D37">
        <w:t>The model controls for 11</w:t>
      </w:r>
      <w:r w:rsidR="008E17C2" w:rsidRPr="00EA3EA1">
        <w:rPr>
          <w:vertAlign w:val="superscript"/>
        </w:rPr>
        <w:t>th</w:t>
      </w:r>
      <w:r w:rsidR="008E17C2" w:rsidRPr="00EA3EA1">
        <w:t xml:space="preserve"> grade EL status, with current</w:t>
      </w:r>
      <w:r w:rsidR="00E163A5">
        <w:t xml:space="preserve"> </w:t>
      </w:r>
      <w:r w:rsidR="008E17C2" w:rsidRPr="00EA3EA1">
        <w:t>ELs first identified in 6</w:t>
      </w:r>
      <w:r w:rsidR="008E17C2" w:rsidRPr="00F077A0">
        <w:rPr>
          <w:vertAlign w:val="superscript"/>
        </w:rPr>
        <w:t>th</w:t>
      </w:r>
      <w:r w:rsidR="008E17C2" w:rsidRPr="00F077A0">
        <w:t xml:space="preserve"> grade or later as the omitted category. </w:t>
      </w:r>
      <w:r w:rsidR="007257A7" w:rsidRPr="00F077A0">
        <w:t>EC participation led to an increase of 10.</w:t>
      </w:r>
      <w:r w:rsidR="008E17C2" w:rsidRPr="00F077A0">
        <w:t>9</w:t>
      </w:r>
      <w:r w:rsidR="007257A7" w:rsidRPr="00F077A0">
        <w:t xml:space="preserve"> college credits earned in the 12</w:t>
      </w:r>
      <w:r w:rsidR="007257A7" w:rsidRPr="00F077A0">
        <w:rPr>
          <w:vertAlign w:val="superscript"/>
        </w:rPr>
        <w:t>th</w:t>
      </w:r>
      <w:r w:rsidR="007257A7" w:rsidRPr="00F077A0">
        <w:t xml:space="preserve"> grade, equivalent to </w:t>
      </w:r>
      <w:r w:rsidR="008E17C2" w:rsidRPr="00F077A0">
        <w:t xml:space="preserve">about </w:t>
      </w:r>
      <w:r w:rsidR="007257A7" w:rsidRPr="00F077A0">
        <w:t>two semester-long courses</w:t>
      </w:r>
      <w:r w:rsidR="009E5B8F" w:rsidRPr="00F077A0">
        <w:t xml:space="preserve"> (column 1)</w:t>
      </w:r>
      <w:r w:rsidR="007257A7" w:rsidRPr="00F077A0">
        <w:t xml:space="preserve">. </w:t>
      </w:r>
      <w:r w:rsidR="009E5B8F" w:rsidRPr="00F077A0">
        <w:t>EC opportunities had a very small (</w:t>
      </w:r>
      <w:r w:rsidR="008E17C2" w:rsidRPr="00F077A0">
        <w:t>0.7</w:t>
      </w:r>
      <w:r w:rsidR="00BF6370" w:rsidRPr="00F077A0">
        <w:t xml:space="preserve"> </w:t>
      </w:r>
      <w:r w:rsidR="009E5B8F" w:rsidRPr="00F077A0">
        <w:t>p</w:t>
      </w:r>
      <w:r w:rsidR="00BF6370" w:rsidRPr="00F077A0">
        <w:t xml:space="preserve">ercentage </w:t>
      </w:r>
      <w:r w:rsidR="009E5B8F" w:rsidRPr="00F077A0">
        <w:t>p</w:t>
      </w:r>
      <w:r w:rsidR="00BF6370" w:rsidRPr="00F077A0">
        <w:t>oint</w:t>
      </w:r>
      <w:r w:rsidR="009E5B8F" w:rsidRPr="00F077A0">
        <w:t xml:space="preserve">) </w:t>
      </w:r>
      <w:r w:rsidR="008E17C2" w:rsidRPr="00F077A0">
        <w:t xml:space="preserve">negative </w:t>
      </w:r>
      <w:r w:rsidR="009E5B8F" w:rsidRPr="00F077A0">
        <w:t>effect on immediate college attendance after high school, which is not statistically significant</w:t>
      </w:r>
      <w:r w:rsidR="00C47DC9" w:rsidRPr="00F077A0">
        <w:t xml:space="preserve"> (column </w:t>
      </w:r>
      <w:r w:rsidR="008E17C2" w:rsidRPr="00F077A0">
        <w:t>2</w:t>
      </w:r>
      <w:r w:rsidR="00C47DC9" w:rsidRPr="00F077A0">
        <w:t>)</w:t>
      </w:r>
      <w:r w:rsidR="009E5B8F" w:rsidRPr="00F077A0">
        <w:t xml:space="preserve">. </w:t>
      </w:r>
      <w:r w:rsidR="005611B5" w:rsidRPr="00F82D72">
        <w:t>The estimated</w:t>
      </w:r>
      <w:r w:rsidR="002C4F48">
        <w:t xml:space="preserve"> effect</w:t>
      </w:r>
      <w:r w:rsidR="005611B5" w:rsidRPr="00F82D72">
        <w:t xml:space="preserve"> on first attending a four-year college after high school is -</w:t>
      </w:r>
      <w:r w:rsidR="0002301D" w:rsidRPr="00D45266">
        <w:t>6.</w:t>
      </w:r>
      <w:r w:rsidR="008E17C2" w:rsidRPr="00C557AA">
        <w:t>9</w:t>
      </w:r>
      <w:r w:rsidR="005611B5" w:rsidRPr="00C11D37">
        <w:t xml:space="preserve"> percentage points</w:t>
      </w:r>
      <w:r w:rsidR="00C47DC9" w:rsidRPr="00C11D37">
        <w:t xml:space="preserve"> (column </w:t>
      </w:r>
      <w:r w:rsidR="008E17C2" w:rsidRPr="00C11D37">
        <w:t>3</w:t>
      </w:r>
      <w:r w:rsidR="00C47DC9" w:rsidRPr="00C11D37">
        <w:t>)</w:t>
      </w:r>
      <w:r w:rsidR="005611B5" w:rsidRPr="00C11D37">
        <w:t xml:space="preserve">. </w:t>
      </w:r>
      <w:r w:rsidR="008E17C2" w:rsidRPr="00F077A0">
        <w:t xml:space="preserve">The estimate </w:t>
      </w:r>
      <w:r w:rsidR="00E163A5">
        <w:t>for</w:t>
      </w:r>
      <w:r w:rsidR="008E17C2" w:rsidRPr="00F077A0">
        <w:t xml:space="preserve"> on-time graduation is positive and significant</w:t>
      </w:r>
      <w:r w:rsidR="00E163A5">
        <w:t>,</w:t>
      </w:r>
      <w:r w:rsidR="008E17C2" w:rsidRPr="00F077A0">
        <w:t xml:space="preserve"> 8.6 percentage points (column 4). </w:t>
      </w:r>
      <w:r w:rsidR="0002301D" w:rsidRPr="00C11D37">
        <w:t>As shown in Table</w:t>
      </w:r>
      <w:r w:rsidR="00B70E60" w:rsidRPr="00C11D37">
        <w:t xml:space="preserve"> </w:t>
      </w:r>
      <w:r w:rsidR="008E17C2" w:rsidRPr="00C11D37">
        <w:t>4</w:t>
      </w:r>
      <w:r w:rsidR="0002301D" w:rsidRPr="00C11D37">
        <w:t xml:space="preserve">, synthetic control estimates are </w:t>
      </w:r>
      <w:proofErr w:type="gramStart"/>
      <w:r w:rsidR="008E17C2" w:rsidRPr="00C11D37">
        <w:t>similar</w:t>
      </w:r>
      <w:r w:rsidR="0002301D" w:rsidRPr="00C11D37">
        <w:t xml:space="preserve"> to</w:t>
      </w:r>
      <w:proofErr w:type="gramEnd"/>
      <w:r w:rsidR="0002301D" w:rsidRPr="00C11D37">
        <w:t xml:space="preserve"> these DiD estimates.</w:t>
      </w:r>
      <w:r w:rsidR="00EF2202">
        <w:t xml:space="preserve"> </w:t>
      </w:r>
    </w:p>
    <w:p w14:paraId="485B982D" w14:textId="77777777" w:rsidR="00EF2202" w:rsidRDefault="00EF2202" w:rsidP="00EF2202">
      <w:pPr>
        <w:spacing w:line="480" w:lineRule="auto"/>
        <w:jc w:val="center"/>
      </w:pPr>
      <w:r>
        <w:t>[Table 3 about here]</w:t>
      </w:r>
    </w:p>
    <w:p w14:paraId="59951BE2" w14:textId="2E638FF3" w:rsidR="00EF2202" w:rsidRDefault="00EF2202" w:rsidP="00EF2202">
      <w:pPr>
        <w:spacing w:line="480" w:lineRule="auto"/>
        <w:jc w:val="center"/>
      </w:pPr>
      <w:r>
        <w:t>[Table 4 about here]</w:t>
      </w:r>
    </w:p>
    <w:p w14:paraId="4CFA941D" w14:textId="6E0AA20A" w:rsidR="00794F08" w:rsidRDefault="004858BE" w:rsidP="00A40F25">
      <w:pPr>
        <w:spacing w:line="480" w:lineRule="auto"/>
        <w:ind w:firstLine="720"/>
      </w:pPr>
      <w:r>
        <w:t xml:space="preserve">To </w:t>
      </w:r>
      <w:r w:rsidR="006B7956">
        <w:t>explore effect heterogeneity</w:t>
      </w:r>
      <w:r>
        <w:t xml:space="preserve">, </w:t>
      </w:r>
      <w:r w:rsidR="00EF2202">
        <w:t>Appendix Table A2 reports DiD estimates for separate regressions by EL subgroup</w:t>
      </w:r>
      <w:r w:rsidR="004A4A0F">
        <w:t>, since there may be differences among the ever-EL group</w:t>
      </w:r>
      <w:r w:rsidR="00EF2202">
        <w:t xml:space="preserve">. All </w:t>
      </w:r>
      <w:r w:rsidR="00E163A5">
        <w:t xml:space="preserve">four </w:t>
      </w:r>
      <w:r w:rsidR="00EF2202">
        <w:t>ever-EL</w:t>
      </w:r>
      <w:r w:rsidR="00E163A5">
        <w:t xml:space="preserve"> subgroup</w:t>
      </w:r>
      <w:r w:rsidR="00EF2202">
        <w:t>s had positive and significant DiD estimates for college credits earned in 12</w:t>
      </w:r>
      <w:r w:rsidR="00EF2202" w:rsidRPr="00EF2202">
        <w:rPr>
          <w:vertAlign w:val="superscript"/>
        </w:rPr>
        <w:t>th</w:t>
      </w:r>
      <w:r w:rsidR="00EF2202">
        <w:t xml:space="preserve"> grade, but the magnitudes of the estimates were larger for students who have been ELs since kindergarten or 1</w:t>
      </w:r>
      <w:r w:rsidR="00EF2202" w:rsidRPr="00EF2202">
        <w:rPr>
          <w:vertAlign w:val="superscript"/>
        </w:rPr>
        <w:t>st</w:t>
      </w:r>
      <w:r w:rsidR="00EF2202">
        <w:t xml:space="preserve"> grade and for reclassified ELs. For immediate college enrollment, all DiD estimates were positive, but only the estimate for reclassified ELs was significant. Estimated effects on enrolling in a four-year college was negative and marginally significant for newcomer immigrants who were classified as ELs in 6</w:t>
      </w:r>
      <w:r w:rsidR="00EF2202" w:rsidRPr="00EF2202">
        <w:rPr>
          <w:vertAlign w:val="superscript"/>
        </w:rPr>
        <w:t>th</w:t>
      </w:r>
      <w:r w:rsidR="00EF2202">
        <w:t xml:space="preserve"> grade or later but small and non-significant for the </w:t>
      </w:r>
      <w:r w:rsidR="00EF2202">
        <w:lastRenderedPageBreak/>
        <w:t xml:space="preserve">other subgroups. Finally, estimates for on-time high school graduation was </w:t>
      </w:r>
      <w:r w:rsidR="005C1AD5">
        <w:t>small and non-significant for current ELs classified initially between 2</w:t>
      </w:r>
      <w:r w:rsidR="005C1AD5" w:rsidRPr="005C1AD5">
        <w:rPr>
          <w:vertAlign w:val="superscript"/>
        </w:rPr>
        <w:t>nd</w:t>
      </w:r>
      <w:r w:rsidR="005C1AD5">
        <w:t xml:space="preserve"> and 5</w:t>
      </w:r>
      <w:r w:rsidR="005C1AD5" w:rsidRPr="005C1AD5">
        <w:rPr>
          <w:vertAlign w:val="superscript"/>
        </w:rPr>
        <w:t>th</w:t>
      </w:r>
      <w:r w:rsidR="005C1AD5">
        <w:t xml:space="preserve"> grade but large, </w:t>
      </w:r>
      <w:r w:rsidR="00EF2202">
        <w:t>positive</w:t>
      </w:r>
      <w:r w:rsidR="005C1AD5">
        <w:t>, and significant</w:t>
      </w:r>
      <w:r w:rsidR="00EF2202">
        <w:t xml:space="preserve"> </w:t>
      </w:r>
      <w:r w:rsidR="005C1AD5">
        <w:t xml:space="preserve">for the other </w:t>
      </w:r>
      <w:r w:rsidR="00EF2202">
        <w:t>EL</w:t>
      </w:r>
      <w:r w:rsidR="005C1AD5">
        <w:t xml:space="preserve"> </w:t>
      </w:r>
      <w:r w:rsidR="00EF2202">
        <w:t>s</w:t>
      </w:r>
      <w:r w:rsidR="005C1AD5">
        <w:t>ubgroups.</w:t>
      </w:r>
    </w:p>
    <w:p w14:paraId="3D482798" w14:textId="54C2A04D" w:rsidR="00342D2D" w:rsidRDefault="00FF37B2" w:rsidP="00630164">
      <w:pPr>
        <w:spacing w:line="480" w:lineRule="auto"/>
        <w:ind w:firstLine="720"/>
      </w:pPr>
      <w:r w:rsidRPr="00C11D37">
        <w:t xml:space="preserve">Table </w:t>
      </w:r>
      <w:r w:rsidR="008E17C2" w:rsidRPr="00C11D37">
        <w:t>5</w:t>
      </w:r>
      <w:r w:rsidRPr="00C11D37">
        <w:t xml:space="preserve"> presents the event-study estimates for ELs</w:t>
      </w:r>
      <w:r w:rsidR="00402416">
        <w:t xml:space="preserve">, which </w:t>
      </w:r>
      <w:r w:rsidR="006B7956">
        <w:t>provide evidence</w:t>
      </w:r>
      <w:r w:rsidR="00402416">
        <w:t xml:space="preserve"> about </w:t>
      </w:r>
      <w:r w:rsidR="006B7956">
        <w:t>outcome</w:t>
      </w:r>
      <w:r w:rsidR="00717B01">
        <w:t xml:space="preserve"> trends</w:t>
      </w:r>
      <w:r w:rsidRPr="00C11D37">
        <w:t xml:space="preserve">. </w:t>
      </w:r>
      <w:bookmarkStart w:id="11" w:name="_Hlk51161913"/>
      <w:r w:rsidR="00FD6B01" w:rsidRPr="00C11D37">
        <w:t>For college credits earned in 12</w:t>
      </w:r>
      <w:r w:rsidR="00FD6B01" w:rsidRPr="00C11D37">
        <w:rPr>
          <w:vertAlign w:val="superscript"/>
        </w:rPr>
        <w:t>th</w:t>
      </w:r>
      <w:r w:rsidR="00FD6B01" w:rsidRPr="00C11D37">
        <w:t xml:space="preserve"> grade and attending a four-year college, the null estimates in the pre-program (“lead”) years provide more reassurance that the </w:t>
      </w:r>
      <w:r w:rsidR="00F00DED" w:rsidRPr="00C11D37">
        <w:t xml:space="preserve">outcome trends for treated and controls schools were parallel. </w:t>
      </w:r>
      <w:bookmarkEnd w:id="11"/>
      <w:r w:rsidR="00F00DED" w:rsidRPr="00C11D37">
        <w:t>For</w:t>
      </w:r>
      <w:r w:rsidR="00D52D7B">
        <w:t xml:space="preserve"> </w:t>
      </w:r>
      <w:r w:rsidR="00F00DED" w:rsidRPr="00C11D37">
        <w:t>immediate college enrollment</w:t>
      </w:r>
      <w:r w:rsidR="00D52D7B" w:rsidRPr="00D52D7B">
        <w:t xml:space="preserve"> </w:t>
      </w:r>
      <w:r w:rsidR="00D52D7B">
        <w:t>and on-time</w:t>
      </w:r>
      <w:r w:rsidR="00D52D7B" w:rsidRPr="00C11D37">
        <w:t xml:space="preserve"> high school graduation</w:t>
      </w:r>
      <w:r w:rsidR="00F00DED" w:rsidRPr="00C11D37">
        <w:t xml:space="preserve">, the significant estimates for lead year 3 suggest some deviation from the common trends in that year. We consider this in our interpretation of the estimates on these two outcomes in the discussion section below. </w:t>
      </w:r>
    </w:p>
    <w:p w14:paraId="0BAEC4D9" w14:textId="4EC6D78D" w:rsidR="00FF37B2" w:rsidRDefault="00F00DED" w:rsidP="00630164">
      <w:pPr>
        <w:spacing w:line="480" w:lineRule="auto"/>
        <w:ind w:firstLine="720"/>
      </w:pPr>
      <w:r w:rsidRPr="00C11D37">
        <w:t xml:space="preserve">To further probe the validity of our EL DiD results, we examine the event-study estimates </w:t>
      </w:r>
      <w:r w:rsidR="00BB37D2" w:rsidRPr="00C11D37">
        <w:t>for ELs in smaller schools and for non-ELs in the district</w:t>
      </w:r>
      <w:r w:rsidRPr="00C11D37">
        <w:t xml:space="preserve">. </w:t>
      </w:r>
      <w:r w:rsidR="00630164" w:rsidRPr="00C11D37">
        <w:t xml:space="preserve">As </w:t>
      </w:r>
      <w:r w:rsidR="00D52D7B">
        <w:t>reported in Online</w:t>
      </w:r>
      <w:r w:rsidR="00630164" w:rsidRPr="00C11D37">
        <w:t xml:space="preserve"> </w:t>
      </w:r>
      <w:r w:rsidR="006E2417" w:rsidRPr="00C11D37">
        <w:t xml:space="preserve">Appendix </w:t>
      </w:r>
      <w:r w:rsidR="00630164" w:rsidRPr="00C11D37">
        <w:t>Tables</w:t>
      </w:r>
      <w:r w:rsidR="00D52D7B">
        <w:t xml:space="preserve"> OA1 and OA2</w:t>
      </w:r>
      <w:r w:rsidR="00630164" w:rsidRPr="00C11D37">
        <w:t>, similar significant estimates were found for lead year 3 in the two restricted samples for immediate college enrollment</w:t>
      </w:r>
      <w:r w:rsidR="00D52D7B">
        <w:t xml:space="preserve"> and </w:t>
      </w:r>
      <w:r w:rsidR="00D52D7B" w:rsidRPr="00C11D37">
        <w:t>high school graduation</w:t>
      </w:r>
      <w:r w:rsidR="00630164" w:rsidRPr="00C11D37">
        <w:t xml:space="preserve">. </w:t>
      </w:r>
      <w:r w:rsidR="00D52D7B">
        <w:t xml:space="preserve">However, </w:t>
      </w:r>
      <w:r w:rsidR="00BB37D2" w:rsidRPr="00C11D37">
        <w:t>Table</w:t>
      </w:r>
      <w:r w:rsidR="006E2417" w:rsidRPr="00C11D37">
        <w:t xml:space="preserve"> </w:t>
      </w:r>
      <w:r w:rsidR="00D52D7B">
        <w:t>OA3 shows that</w:t>
      </w:r>
      <w:r w:rsidR="00BB37D2" w:rsidRPr="00C11D37">
        <w:t xml:space="preserve"> </w:t>
      </w:r>
      <w:proofErr w:type="gramStart"/>
      <w:r w:rsidR="00BB37D2" w:rsidRPr="00C11D37">
        <w:t>w</w:t>
      </w:r>
      <w:r w:rsidRPr="00C11D37">
        <w:t>ith the exception of</w:t>
      </w:r>
      <w:proofErr w:type="gramEnd"/>
      <w:r w:rsidRPr="00C11D37">
        <w:t xml:space="preserve"> </w:t>
      </w:r>
      <w:r w:rsidR="00D52D7B">
        <w:t>on-time</w:t>
      </w:r>
      <w:r w:rsidRPr="00C11D37">
        <w:t xml:space="preserve"> high school graduation in lead year 1, the other estimates provide </w:t>
      </w:r>
      <w:r w:rsidR="0099796B" w:rsidRPr="00C11D37">
        <w:t xml:space="preserve">some </w:t>
      </w:r>
      <w:r w:rsidRPr="00C11D37">
        <w:t xml:space="preserve">evidence </w:t>
      </w:r>
      <w:r w:rsidR="0099796B" w:rsidRPr="00C11D37">
        <w:t>in support of</w:t>
      </w:r>
      <w:r w:rsidRPr="00C11D37">
        <w:t xml:space="preserve"> </w:t>
      </w:r>
      <w:r w:rsidR="0099796B" w:rsidRPr="00C11D37">
        <w:t xml:space="preserve">the </w:t>
      </w:r>
      <w:r w:rsidRPr="00C11D37">
        <w:t>parallel</w:t>
      </w:r>
      <w:r w:rsidR="00D52D7B">
        <w:t>-</w:t>
      </w:r>
      <w:r w:rsidRPr="00C11D37">
        <w:t xml:space="preserve">trends </w:t>
      </w:r>
      <w:r w:rsidR="0099796B" w:rsidRPr="00C11D37">
        <w:t>assumption for non-ELs</w:t>
      </w:r>
      <w:r w:rsidRPr="00C11D37">
        <w:t xml:space="preserve">. This </w:t>
      </w:r>
      <w:r w:rsidR="0099796B" w:rsidRPr="00C11D37">
        <w:t>offers a basis for interpreting the DDD results below.</w:t>
      </w:r>
    </w:p>
    <w:p w14:paraId="61402D20" w14:textId="0F544DEF" w:rsidR="00D52D7B" w:rsidRPr="00C11D37" w:rsidRDefault="00D52D7B" w:rsidP="00D52D7B">
      <w:pPr>
        <w:spacing w:line="480" w:lineRule="auto"/>
        <w:jc w:val="center"/>
      </w:pPr>
      <w:r>
        <w:t>[Table 5 about here]</w:t>
      </w:r>
    </w:p>
    <w:p w14:paraId="2753A847" w14:textId="23AEDFED" w:rsidR="00630164" w:rsidRPr="00C11D37" w:rsidRDefault="00630164" w:rsidP="00630164">
      <w:pPr>
        <w:spacing w:line="480" w:lineRule="auto"/>
        <w:rPr>
          <w:b/>
          <w:bCs/>
        </w:rPr>
      </w:pPr>
      <w:r w:rsidRPr="00C11D37">
        <w:rPr>
          <w:b/>
          <w:bCs/>
        </w:rPr>
        <w:t>DDD Results</w:t>
      </w:r>
    </w:p>
    <w:p w14:paraId="3498EA27" w14:textId="4C6B3CD1" w:rsidR="0037608F" w:rsidRDefault="00F00DED" w:rsidP="0037608F">
      <w:pPr>
        <w:spacing w:line="480" w:lineRule="auto"/>
        <w:ind w:firstLine="720"/>
      </w:pPr>
      <w:r w:rsidRPr="00C11D37">
        <w:t xml:space="preserve">Tables </w:t>
      </w:r>
      <w:r w:rsidR="0099796B" w:rsidRPr="00C11D37">
        <w:t>6</w:t>
      </w:r>
      <w:r w:rsidRPr="00C11D37">
        <w:t xml:space="preserve"> present</w:t>
      </w:r>
      <w:r w:rsidR="00630164" w:rsidRPr="00C11D37">
        <w:t>s DDD estimates, which provide an indication for EC’s effects on ELs net of the effects on non-ELs</w:t>
      </w:r>
      <w:r w:rsidR="0002301D" w:rsidRPr="00C11D37">
        <w:t xml:space="preserve"> in the same school</w:t>
      </w:r>
      <w:r w:rsidR="00205069">
        <w:t>—a check on our main findings</w:t>
      </w:r>
      <w:r w:rsidR="00630164" w:rsidRPr="00C11D37">
        <w:t xml:space="preserve">. </w:t>
      </w:r>
      <w:r w:rsidR="0037608F" w:rsidRPr="00C11D37">
        <w:t>With the event-study analysis for non-ELs (Table</w:t>
      </w:r>
      <w:r w:rsidR="00D52D7B">
        <w:t xml:space="preserve"> OA3</w:t>
      </w:r>
      <w:r w:rsidR="0037608F" w:rsidRPr="00C11D37">
        <w:t>) providing some evidence in support of the parallel trends assumption for non-ELs, we have more reassurance for interpreting the DDD estimate</w:t>
      </w:r>
      <w:r w:rsidR="004E25A5">
        <w:t>s</w:t>
      </w:r>
      <w:r w:rsidR="0037608F" w:rsidRPr="00C11D37">
        <w:t xml:space="preserve"> </w:t>
      </w:r>
      <w:r w:rsidR="004E25A5">
        <w:t>for</w:t>
      </w:r>
      <w:r w:rsidR="0037608F" w:rsidRPr="00C11D37">
        <w:t xml:space="preserve"> </w:t>
      </w:r>
      <w:r w:rsidR="0037608F" w:rsidRPr="00C11D37">
        <w:lastRenderedPageBreak/>
        <w:t>college credits, immediate college enrollment, and four-year college attendance, though results for on-time high school graduation should be interpreted as suggestive.</w:t>
      </w:r>
    </w:p>
    <w:p w14:paraId="69E0B30E" w14:textId="1828632A" w:rsidR="00D52D7B" w:rsidRPr="00C11D37" w:rsidRDefault="00D52D7B" w:rsidP="00D52D7B">
      <w:pPr>
        <w:spacing w:line="480" w:lineRule="auto"/>
        <w:jc w:val="center"/>
      </w:pPr>
      <w:r>
        <w:t>[Table 6 about here]</w:t>
      </w:r>
    </w:p>
    <w:p w14:paraId="6498E4F6" w14:textId="6D0EDED9" w:rsidR="00FD6B01" w:rsidRPr="00C11D37" w:rsidRDefault="00630164" w:rsidP="00A40F25">
      <w:pPr>
        <w:spacing w:line="480" w:lineRule="auto"/>
        <w:ind w:firstLine="720"/>
      </w:pPr>
      <w:r w:rsidRPr="00C11D37">
        <w:t>Estimates for college credits earned, immediate college attendance</w:t>
      </w:r>
      <w:r w:rsidR="0099796B" w:rsidRPr="00C11D37">
        <w:t>, and on-time high school graduation</w:t>
      </w:r>
      <w:r w:rsidRPr="00C11D37">
        <w:t xml:space="preserve"> are small and </w:t>
      </w:r>
      <w:r w:rsidR="0099796B" w:rsidRPr="00C11D37">
        <w:t>non-</w:t>
      </w:r>
      <w:r w:rsidRPr="00C11D37">
        <w:t xml:space="preserve">significant. But the reduction in the probability of attending a four-year college remains large </w:t>
      </w:r>
      <w:r w:rsidR="0002301D" w:rsidRPr="00C11D37">
        <w:t xml:space="preserve">at </w:t>
      </w:r>
      <w:r w:rsidR="002952E4" w:rsidRPr="00C11D37">
        <w:t>9.5</w:t>
      </w:r>
      <w:r w:rsidR="0002301D" w:rsidRPr="00C11D37">
        <w:t xml:space="preserve"> </w:t>
      </w:r>
      <w:r w:rsidRPr="00C11D37">
        <w:t>percentage points</w:t>
      </w:r>
      <w:r w:rsidR="0002301D" w:rsidRPr="00C11D37">
        <w:t xml:space="preserve"> </w:t>
      </w:r>
      <w:r w:rsidR="004B1873" w:rsidRPr="00C11D37">
        <w:t xml:space="preserve">though </w:t>
      </w:r>
      <w:r w:rsidR="002952E4" w:rsidRPr="00C11D37">
        <w:t xml:space="preserve">marginally </w:t>
      </w:r>
      <w:r w:rsidRPr="00C11D37">
        <w:t>significant</w:t>
      </w:r>
      <w:r w:rsidR="0002301D" w:rsidRPr="00C11D37">
        <w:t>, perhaps due to larger standard errors associated with DDD estimation</w:t>
      </w:r>
      <w:r w:rsidRPr="00C11D37">
        <w:t>. Non-EL DiD results (</w:t>
      </w:r>
      <w:r w:rsidR="00D52D7B">
        <w:t xml:space="preserve">Online </w:t>
      </w:r>
      <w:r w:rsidR="00BC74DB" w:rsidRPr="00C11D37">
        <w:t xml:space="preserve">Appendix </w:t>
      </w:r>
      <w:r w:rsidRPr="00C11D37">
        <w:t xml:space="preserve">Table </w:t>
      </w:r>
      <w:r w:rsidR="00D52D7B">
        <w:t>OA4</w:t>
      </w:r>
      <w:r w:rsidRPr="00C11D37">
        <w:t xml:space="preserve">) show that non-ELs did not change their college sector choice </w:t>
      </w:r>
      <w:proofErr w:type="gramStart"/>
      <w:r w:rsidRPr="00C11D37">
        <w:t>as a result of</w:t>
      </w:r>
      <w:proofErr w:type="gramEnd"/>
      <w:r w:rsidRPr="00C11D37">
        <w:t xml:space="preserve"> EC participation (estimate = 0.00</w:t>
      </w:r>
      <w:r w:rsidR="004B1873" w:rsidRPr="00C11D37">
        <w:t>2</w:t>
      </w:r>
      <w:r w:rsidRPr="00C11D37">
        <w:t xml:space="preserve">). This suggests that ELs were the ones driving the </w:t>
      </w:r>
      <w:r w:rsidR="004B1873" w:rsidRPr="00C11D37">
        <w:t>reduction in four-year college attendance</w:t>
      </w:r>
      <w:r w:rsidRPr="00C11D37">
        <w:t xml:space="preserve">. </w:t>
      </w:r>
    </w:p>
    <w:p w14:paraId="1091D69C" w14:textId="77777777" w:rsidR="00382F10" w:rsidRPr="00A022D5" w:rsidRDefault="00382F10" w:rsidP="00382F10">
      <w:pPr>
        <w:spacing w:line="480" w:lineRule="auto"/>
        <w:jc w:val="center"/>
        <w:rPr>
          <w:b/>
          <w:bCs/>
        </w:rPr>
      </w:pPr>
      <w:r w:rsidRPr="00A022D5">
        <w:rPr>
          <w:b/>
          <w:bCs/>
        </w:rPr>
        <w:t>Discussion</w:t>
      </w:r>
    </w:p>
    <w:p w14:paraId="3A798465" w14:textId="3653C465" w:rsidR="00D0507A" w:rsidRDefault="00D0507A" w:rsidP="00D0507A">
      <w:pPr>
        <w:spacing w:line="480" w:lineRule="auto"/>
        <w:ind w:firstLine="720"/>
        <w:rPr>
          <w:color w:val="000000" w:themeColor="text1"/>
        </w:rPr>
      </w:pPr>
      <w:r>
        <w:rPr>
          <w:color w:val="000000" w:themeColor="text1"/>
        </w:rPr>
        <w:t>This study presents the estimated effects of a developing program that offers Early College opportunities based on</w:t>
      </w:r>
      <w:r w:rsidR="001A4098">
        <w:rPr>
          <w:color w:val="000000" w:themeColor="text1"/>
        </w:rPr>
        <w:t xml:space="preserve"> four years of pre-program and</w:t>
      </w:r>
      <w:r>
        <w:rPr>
          <w:color w:val="000000" w:themeColor="text1"/>
        </w:rPr>
        <w:t xml:space="preserve"> three years of </w:t>
      </w:r>
      <w:r w:rsidR="00C65FD3">
        <w:rPr>
          <w:color w:val="000000" w:themeColor="text1"/>
        </w:rPr>
        <w:t xml:space="preserve">post-program </w:t>
      </w:r>
      <w:r>
        <w:rPr>
          <w:color w:val="000000" w:themeColor="text1"/>
        </w:rPr>
        <w:t xml:space="preserve">data. </w:t>
      </w:r>
      <w:r w:rsidR="00884A70">
        <w:rPr>
          <w:color w:val="000000" w:themeColor="text1"/>
        </w:rPr>
        <w:t>The estimated EC effect on</w:t>
      </w:r>
      <w:r>
        <w:rPr>
          <w:color w:val="000000" w:themeColor="text1"/>
        </w:rPr>
        <w:t xml:space="preserve"> the number of college credits earned during 12</w:t>
      </w:r>
      <w:r w:rsidRPr="00AB47C6">
        <w:rPr>
          <w:color w:val="000000" w:themeColor="text1"/>
          <w:vertAlign w:val="superscript"/>
        </w:rPr>
        <w:t>th</w:t>
      </w:r>
      <w:r>
        <w:rPr>
          <w:color w:val="000000" w:themeColor="text1"/>
        </w:rPr>
        <w:t xml:space="preserve"> grade </w:t>
      </w:r>
      <w:r w:rsidR="00884A70">
        <w:rPr>
          <w:color w:val="000000" w:themeColor="text1"/>
        </w:rPr>
        <w:t>was</w:t>
      </w:r>
      <w:r>
        <w:rPr>
          <w:color w:val="000000" w:themeColor="text1"/>
        </w:rPr>
        <w:t xml:space="preserve"> </w:t>
      </w:r>
      <w:r w:rsidR="00884A70">
        <w:rPr>
          <w:color w:val="000000" w:themeColor="text1"/>
        </w:rPr>
        <w:t xml:space="preserve">the equivalent of </w:t>
      </w:r>
      <w:r>
        <w:rPr>
          <w:color w:val="000000" w:themeColor="text1"/>
        </w:rPr>
        <w:t xml:space="preserve">about </w:t>
      </w:r>
      <w:r w:rsidR="007E3D6A">
        <w:rPr>
          <w:color w:val="000000" w:themeColor="text1"/>
        </w:rPr>
        <w:t>two</w:t>
      </w:r>
      <w:r>
        <w:rPr>
          <w:color w:val="000000" w:themeColor="text1"/>
        </w:rPr>
        <w:t xml:space="preserve"> </w:t>
      </w:r>
      <w:r w:rsidR="007E3D6A">
        <w:rPr>
          <w:color w:val="000000" w:themeColor="text1"/>
        </w:rPr>
        <w:t>semester</w:t>
      </w:r>
      <w:r>
        <w:rPr>
          <w:color w:val="000000" w:themeColor="text1"/>
        </w:rPr>
        <w:t>-long college course</w:t>
      </w:r>
      <w:r w:rsidR="007E3D6A">
        <w:rPr>
          <w:color w:val="000000" w:themeColor="text1"/>
        </w:rPr>
        <w:t>s</w:t>
      </w:r>
      <w:r>
        <w:rPr>
          <w:color w:val="000000" w:themeColor="text1"/>
        </w:rPr>
        <w:t xml:space="preserve">. However, the program had no </w:t>
      </w:r>
      <w:r w:rsidR="002C4F48">
        <w:rPr>
          <w:color w:val="000000" w:themeColor="text1"/>
        </w:rPr>
        <w:t>significant effect</w:t>
      </w:r>
      <w:r>
        <w:rPr>
          <w:color w:val="000000" w:themeColor="text1"/>
        </w:rPr>
        <w:t xml:space="preserve"> on the probability of enrolling in any college immediately after high school, and the </w:t>
      </w:r>
      <w:r w:rsidR="004E25A5">
        <w:rPr>
          <w:color w:val="000000" w:themeColor="text1"/>
        </w:rPr>
        <w:t xml:space="preserve">estimated </w:t>
      </w:r>
      <w:r w:rsidR="00884A70">
        <w:rPr>
          <w:color w:val="000000" w:themeColor="text1"/>
        </w:rPr>
        <w:t xml:space="preserve">effect on the </w:t>
      </w:r>
      <w:r>
        <w:rPr>
          <w:color w:val="000000" w:themeColor="text1"/>
        </w:rPr>
        <w:t xml:space="preserve">probability of attending a four-year college </w:t>
      </w:r>
      <w:r w:rsidR="00884A70">
        <w:rPr>
          <w:color w:val="000000" w:themeColor="text1"/>
        </w:rPr>
        <w:t>was negative and significant</w:t>
      </w:r>
      <w:r>
        <w:rPr>
          <w:color w:val="000000" w:themeColor="text1"/>
        </w:rPr>
        <w:t xml:space="preserve">. There is also suggestive evidence for a positive effect on high school graduation. We discuss each of these in detail below. </w:t>
      </w:r>
    </w:p>
    <w:p w14:paraId="1219E1AD" w14:textId="77777777" w:rsidR="00382F10" w:rsidRPr="00E1619C" w:rsidRDefault="00382F10" w:rsidP="00382F10">
      <w:pPr>
        <w:spacing w:line="480" w:lineRule="auto"/>
        <w:rPr>
          <w:b/>
        </w:rPr>
      </w:pPr>
      <w:r w:rsidRPr="00E1619C">
        <w:rPr>
          <w:b/>
        </w:rPr>
        <w:t>College Credits and Subsequent Attendance</w:t>
      </w:r>
    </w:p>
    <w:p w14:paraId="05F3553C" w14:textId="4EFE2A3B" w:rsidR="00382F10" w:rsidRPr="00E1619C" w:rsidRDefault="00382F10" w:rsidP="00382F10">
      <w:pPr>
        <w:spacing w:line="480" w:lineRule="auto"/>
        <w:ind w:firstLine="720"/>
      </w:pPr>
      <w:r w:rsidRPr="00E1619C">
        <w:t>Although participation in the EC program led to a large and significant increase in the number of college credits earned in 12</w:t>
      </w:r>
      <w:r w:rsidRPr="00E1619C">
        <w:rPr>
          <w:vertAlign w:val="superscript"/>
        </w:rPr>
        <w:t>th</w:t>
      </w:r>
      <w:r w:rsidRPr="00E1619C">
        <w:t xml:space="preserve"> grade, we found no significant effect on immediate attendance at any college. Given an increase in earned college credits while in high school, we </w:t>
      </w:r>
      <w:r w:rsidRPr="00E1619C">
        <w:lastRenderedPageBreak/>
        <w:t>might expect students to have momentum to continue in postsecondary enrollment after high school graduation</w:t>
      </w:r>
      <w:r w:rsidR="00BD4CA5">
        <w:t xml:space="preserve"> </w:t>
      </w:r>
      <w:r w:rsidR="00DF16A6">
        <w:fldChar w:fldCharType="begin" w:fldLock="1"/>
      </w:r>
      <w:r w:rsidR="00BA3D9A">
        <w:instrText>ADDIN CSL_CITATION {"citationItems":[{"id":"ITEM-1","itemData":{"DOI":"10.1177/0091552115569846","ISSN":"19402325","author":[{"dropping-particle":"","family":"Wang","given":"Xueli","non-dropping-particle":"","parse-names":false,"suffix":""},{"dropping-particle":"","family":"Chan","given":"Hsun-yu","non-dropping-particle":"","parse-names":false,"suffix":""},{"dropping-particle":"","family":"Phelps","given":"L. Allen","non-dropping-particle":"","parse-names":false,"suffix":""},{"dropping-particle":"","family":"Washbon","given":"Janet I.","non-dropping-particle":"","parse-names":false,"suffix":""}],"container-title":"Community College Review","id":"ITEM-1","issue":"2","issued":{"date-parts":[["2015"]]},"page":"165-190","title":"Fuel for success: Academic momentum as a mediator between dual enrollment and educational outcomes of two-year technical college students","type":"article-journal","volume":"43"},"uris":["http://www.mendeley.com/documents/?uuid=a9ceb29b-f049-4f94-8ed7-4c6de56d01ea"]}],"mendeley":{"formattedCitation":"(Wang et al., 2015)","plainTextFormattedCitation":"(Wang et al., 2015)","previouslyFormattedCitation":"(Wang et al., 2015)"},"properties":{"noteIndex":0},"schema":"https://github.com/citation-style-language/schema/raw/master/csl-citation.json"}</w:instrText>
      </w:r>
      <w:r w:rsidR="00DF16A6">
        <w:fldChar w:fldCharType="separate"/>
      </w:r>
      <w:r w:rsidR="00DF16A6" w:rsidRPr="00DF16A6">
        <w:rPr>
          <w:noProof/>
        </w:rPr>
        <w:t>(Wang et al., 2015)</w:t>
      </w:r>
      <w:r w:rsidR="00DF16A6">
        <w:fldChar w:fldCharType="end"/>
      </w:r>
      <w:r w:rsidRPr="00E1619C">
        <w:t xml:space="preserve">. The earned college credits may have motivated students to pursue the benefits of a postsecondary education. However, we do not observe this. The program succeeded in inducing students to start college coursework, but it did not induce students to continue after high school. Although we have no definitive explanation for these results, we explore </w:t>
      </w:r>
      <w:r w:rsidR="000A5E8C" w:rsidRPr="00CB1DBD">
        <w:rPr>
          <w:color w:val="0070C0"/>
        </w:rPr>
        <w:t>three</w:t>
      </w:r>
      <w:r w:rsidR="00E90149" w:rsidRPr="000A5E8C">
        <w:t xml:space="preserve"> </w:t>
      </w:r>
      <w:r w:rsidRPr="00E1619C">
        <w:t xml:space="preserve">potential reasons for this finding. </w:t>
      </w:r>
    </w:p>
    <w:p w14:paraId="631998CA" w14:textId="55A78392" w:rsidR="00382F10" w:rsidRPr="00E1619C" w:rsidRDefault="00382F10" w:rsidP="00594572">
      <w:pPr>
        <w:spacing w:line="480" w:lineRule="auto"/>
        <w:ind w:firstLine="720"/>
      </w:pPr>
      <w:r w:rsidRPr="00E1619C">
        <w:t xml:space="preserve">First, it is possible that certain EC model features, such as extended opportunities for credit accumulation and acceleration, </w:t>
      </w:r>
      <w:r w:rsidRPr="00EB1B86">
        <w:t xml:space="preserve">are of </w:t>
      </w:r>
      <w:r w:rsidRPr="004E25A5">
        <w:rPr>
          <w:i/>
          <w:iCs/>
        </w:rPr>
        <w:t>greater</w:t>
      </w:r>
      <w:r w:rsidRPr="00EB1B86">
        <w:t xml:space="preserve"> importance for ELs </w:t>
      </w:r>
      <w:r w:rsidR="00854260" w:rsidRPr="00EB1B86">
        <w:t>than non-ELs</w:t>
      </w:r>
      <w:r w:rsidR="00AF5226">
        <w:t>. Although p</w:t>
      </w:r>
      <w:r w:rsidR="00C77B16" w:rsidRPr="00F8593C">
        <w:t xml:space="preserve">rior research suggests </w:t>
      </w:r>
      <w:r w:rsidR="00BA3D9A" w:rsidRPr="00F8593C">
        <w:t>that a “moderate dosage” consisting of one or two courses</w:t>
      </w:r>
      <w:r w:rsidR="00245787">
        <w:t xml:space="preserve"> of dual enrollment</w:t>
      </w:r>
      <w:r w:rsidR="00BA3D9A" w:rsidRPr="00F8593C">
        <w:t xml:space="preserve"> yields the strongest results </w:t>
      </w:r>
      <w:r w:rsidR="0066480D" w:rsidRPr="00F8593C">
        <w:t xml:space="preserve">for </w:t>
      </w:r>
      <w:r w:rsidR="00E559E8" w:rsidRPr="00F8593C">
        <w:t>short term outcomes</w:t>
      </w:r>
      <w:r w:rsidR="003204D5" w:rsidRPr="00EB1B86">
        <w:t xml:space="preserve"> </w:t>
      </w:r>
      <w:r w:rsidR="00E559E8" w:rsidRPr="00EB1B86">
        <w:t>(e.g., immediate college enrollment)</w:t>
      </w:r>
      <w:r w:rsidR="0066480D" w:rsidRPr="00EB1B86">
        <w:t xml:space="preserve"> </w:t>
      </w:r>
      <w:r w:rsidR="003204D5" w:rsidRPr="00EB1B86">
        <w:t xml:space="preserve">among non-ELs </w:t>
      </w:r>
      <w:r w:rsidR="00BA3D9A" w:rsidRPr="00EB1B86">
        <w:fldChar w:fldCharType="begin" w:fldLock="1"/>
      </w:r>
      <w:r w:rsidR="00183C1E">
        <w:instrText>ADDIN CSL_CITATION {"citationItems":[{"id":"ITEM-1","itemData":{"author":[{"dropping-particle":"","family":"Karp","given":"Melinda Mechur","non-dropping-particle":"","parse-names":false,"suffix":""},{"dropping-particle":"","family":"Calcagno","given":"Juan Carlos","non-dropping-particle":"","parse-names":false,"suffix":""},{"dropping-particle":"","family":"Hughes","given":"Katherine L.","non-dropping-particle":"","parse-names":false,"suffix":""},{"dropping-particle":"","family":"Jeong","given":"Dong Wook","non-dropping-particle":"","parse-names":false,"suffix":""},{"dropping-particle":"","family":"Bailey","given":"Thomas R.","non-dropping-particle":"","parse-names":false,"suffix":""}],"id":"ITEM-1","issued":{"date-parts":[["2007"]]},"number-of-pages":"1-83","publisher-place":"New York, NY","title":"The postsecondary achievement of participants in dual enrollment: An analysis of student outcomes in two states","type":"report"},"uris":["http://www.mendeley.com/documents/?uuid=17634f33-5507-4dd0-bd29-9de66839e4d8"]}],"mendeley":{"formattedCitation":"(Karp, Calcagno, Hughes, Jeong, &amp; Bailey, 2007)","manualFormatting":"(Karp et al., 2007)","plainTextFormattedCitation":"(Karp, Calcagno, Hughes, Jeong, &amp; Bailey, 2007)","previouslyFormattedCitation":"(Karp, Calcagno, Hughes, Jeong, &amp; Bailey, 2007)"},"properties":{"noteIndex":0},"schema":"https://github.com/citation-style-language/schema/raw/master/csl-citation.json"}</w:instrText>
      </w:r>
      <w:r w:rsidR="00BA3D9A" w:rsidRPr="00EB1B86">
        <w:fldChar w:fldCharType="separate"/>
      </w:r>
      <w:r w:rsidR="00BA3D9A" w:rsidRPr="00EB1B86">
        <w:rPr>
          <w:noProof/>
        </w:rPr>
        <w:t>(Karp</w:t>
      </w:r>
      <w:r w:rsidR="004E25A5">
        <w:rPr>
          <w:noProof/>
        </w:rPr>
        <w:t xml:space="preserve"> et al., </w:t>
      </w:r>
      <w:r w:rsidR="00BA3D9A" w:rsidRPr="00EB1B86">
        <w:rPr>
          <w:noProof/>
        </w:rPr>
        <w:t>2007)</w:t>
      </w:r>
      <w:r w:rsidR="00BA3D9A" w:rsidRPr="00EB1B86">
        <w:fldChar w:fldCharType="end"/>
      </w:r>
      <w:r w:rsidR="00AF5226">
        <w:t xml:space="preserve">, the </w:t>
      </w:r>
      <w:r w:rsidRPr="006E4FCB">
        <w:t>type of EC experience studied in this paper, which did not extend to all four years of high school, may not have been sufficient for</w:t>
      </w:r>
      <w:r w:rsidR="00C02A79" w:rsidRPr="006E4FCB">
        <w:t xml:space="preserve"> </w:t>
      </w:r>
      <w:r w:rsidR="004E25A5">
        <w:t>ELs</w:t>
      </w:r>
      <w:r w:rsidR="00594572">
        <w:t>—</w:t>
      </w:r>
      <w:r w:rsidR="00A414C9">
        <w:t xml:space="preserve">possibly </w:t>
      </w:r>
      <w:r w:rsidR="005C658F">
        <w:t>due to</w:t>
      </w:r>
      <w:r w:rsidR="00A414C9">
        <w:t xml:space="preserve"> limited</w:t>
      </w:r>
      <w:r w:rsidR="00885AC6">
        <w:t xml:space="preserve"> cost reduction incentives or </w:t>
      </w:r>
      <w:r w:rsidR="0001748C">
        <w:t xml:space="preserve">other </w:t>
      </w:r>
      <w:r w:rsidR="00E44F98">
        <w:t>academic</w:t>
      </w:r>
      <w:r w:rsidR="00425723">
        <w:t xml:space="preserve"> characteristics</w:t>
      </w:r>
      <w:r w:rsidR="00594572">
        <w:t xml:space="preserve"> of students in our sample</w:t>
      </w:r>
      <w:r w:rsidRPr="008B03EF">
        <w:t>. As opposed to receiving</w:t>
      </w:r>
      <w:r w:rsidRPr="00E1619C">
        <w:t xml:space="preserve"> two years of college credit, an </w:t>
      </w:r>
      <w:r w:rsidR="007058B9">
        <w:t>AA</w:t>
      </w:r>
      <w:r w:rsidRPr="00E1619C">
        <w:t xml:space="preserve"> degree, or a certificate, </w:t>
      </w:r>
      <w:r w:rsidR="00F23F24">
        <w:t xml:space="preserve">EL </w:t>
      </w:r>
      <w:r w:rsidRPr="00E1619C">
        <w:t>students in our study received credit</w:t>
      </w:r>
      <w:r w:rsidR="00D06C1B">
        <w:t xml:space="preserve">s for </w:t>
      </w:r>
      <w:r w:rsidR="00E73B09">
        <w:t xml:space="preserve">approximately </w:t>
      </w:r>
      <w:r w:rsidR="00D06C1B">
        <w:t>two semester courses. T</w:t>
      </w:r>
      <w:r w:rsidRPr="00E1619C">
        <w:t xml:space="preserve">his may have not offered a significant reduction in college costs for ELs and therefore may have not provided enough of an incentive to continue their postsecondary education. </w:t>
      </w:r>
      <w:r w:rsidR="00F52CE3">
        <w:t>Alternatively,</w:t>
      </w:r>
      <w:r w:rsidR="009C6B06">
        <w:t xml:space="preserve"> despite limited evidence,</w:t>
      </w:r>
      <w:r w:rsidR="00F52CE3">
        <w:t xml:space="preserve"> </w:t>
      </w:r>
      <w:r w:rsidR="004E25A5">
        <w:t>it has been</w:t>
      </w:r>
      <w:r w:rsidR="0021662E">
        <w:t xml:space="preserve"> suggest</w:t>
      </w:r>
      <w:r w:rsidR="004E25A5">
        <w:t>ed</w:t>
      </w:r>
      <w:r w:rsidR="0021662E">
        <w:t xml:space="preserve"> that </w:t>
      </w:r>
      <w:r w:rsidR="00B3519C">
        <w:t xml:space="preserve">dual enrollment </w:t>
      </w:r>
      <w:r w:rsidR="0021662E">
        <w:t>programs which</w:t>
      </w:r>
      <w:r w:rsidR="0045139C">
        <w:t xml:space="preserve"> have a</w:t>
      </w:r>
      <w:r w:rsidR="0083589D">
        <w:t>n earlier start or</w:t>
      </w:r>
      <w:r w:rsidR="0045139C">
        <w:t xml:space="preserve"> higher course intensit</w:t>
      </w:r>
      <w:r w:rsidR="00E91D87">
        <w:t>y</w:t>
      </w:r>
      <w:r w:rsidR="00947AB2">
        <w:t xml:space="preserve"> </w:t>
      </w:r>
      <w:r w:rsidR="001E1017">
        <w:t>may be</w:t>
      </w:r>
      <w:r w:rsidR="00947AB2">
        <w:t xml:space="preserve"> more effective towards students with lower</w:t>
      </w:r>
      <w:r w:rsidR="00B86378">
        <w:t>-</w:t>
      </w:r>
      <w:r w:rsidR="00947AB2">
        <w:t xml:space="preserve"> or middle</w:t>
      </w:r>
      <w:r w:rsidR="00B86378">
        <w:t>-performing</w:t>
      </w:r>
      <w:r w:rsidR="00947AB2">
        <w:t xml:space="preserve"> status</w:t>
      </w:r>
      <w:r w:rsidR="004F1B17">
        <w:t xml:space="preserve"> </w:t>
      </w:r>
      <w:r w:rsidR="009216D9">
        <w:fldChar w:fldCharType="begin" w:fldLock="1"/>
      </w:r>
      <w:r w:rsidR="006B0382">
        <w:instrText>ADDIN CSL_CITATION {"citationItems":[{"id":"ITEM-1","itemData":{"author":[{"dropping-particle":"","family":"Bailey","given":"Thomas","non-dropping-particle":"","parse-names":false,"suffix":""},{"dropping-particle":"","family":"Karp","given":"Melinda Mechur","non-dropping-particle":"","parse-names":false,"suffix":""}],"id":"ITEM-1","issued":{"date-parts":[["2003"]]},"number-of-pages":"1-52","publisher-place":"New York, NY","title":"Promoting College Access and Success: A Review of Credit-Based Transition Programs","type":"report"},"uris":["http://www.mendeley.com/documents/?uuid=c439df7f-d439-4ca7-bceb-98d54e55ca8c"]}],"mendeley":{"formattedCitation":"(Bailey &amp; Karp, 2003)","manualFormatting":"(Bailey &amp; Karp, 2003; Fink et al., 2017)","plainTextFormattedCitation":"(Bailey &amp; Karp, 2003)","previouslyFormattedCitation":"(Bailey &amp; Karp, 2003)"},"properties":{"noteIndex":0},"schema":"https://github.com/citation-style-language/schema/raw/master/csl-citation.json"}</w:instrText>
      </w:r>
      <w:r w:rsidR="009216D9">
        <w:fldChar w:fldCharType="separate"/>
      </w:r>
      <w:r w:rsidR="009216D9" w:rsidRPr="009216D9">
        <w:rPr>
          <w:noProof/>
        </w:rPr>
        <w:t>(Bailey &amp; Karp, 2003</w:t>
      </w:r>
      <w:r w:rsidR="008D0A24">
        <w:rPr>
          <w:noProof/>
        </w:rPr>
        <w:t>; F</w:t>
      </w:r>
      <w:r w:rsidR="00A76017">
        <w:rPr>
          <w:noProof/>
        </w:rPr>
        <w:t>i</w:t>
      </w:r>
      <w:r w:rsidR="008D0A24">
        <w:rPr>
          <w:noProof/>
        </w:rPr>
        <w:t>nk et al., 2017</w:t>
      </w:r>
      <w:r w:rsidR="009216D9" w:rsidRPr="009216D9">
        <w:rPr>
          <w:noProof/>
        </w:rPr>
        <w:t>)</w:t>
      </w:r>
      <w:r w:rsidR="009216D9">
        <w:fldChar w:fldCharType="end"/>
      </w:r>
      <w:r w:rsidR="00947AB2">
        <w:t xml:space="preserve">—this may similarly be the case </w:t>
      </w:r>
      <w:r w:rsidR="00A33D83">
        <w:t xml:space="preserve">for </w:t>
      </w:r>
      <w:r w:rsidR="000C2BF6">
        <w:t xml:space="preserve">some of the </w:t>
      </w:r>
      <w:r w:rsidR="00A33D83">
        <w:t>EL students in our sample.</w:t>
      </w:r>
      <w:r w:rsidRPr="00E1619C">
        <w:t xml:space="preserve"> </w:t>
      </w:r>
      <w:r w:rsidR="00982058">
        <w:t>A</w:t>
      </w:r>
      <w:r w:rsidR="009837B0">
        <w:t xml:space="preserve"> more “classic”</w:t>
      </w:r>
      <w:r w:rsidR="00982058" w:rsidRPr="00E1619C">
        <w:t xml:space="preserve"> EC design for ELs that begins in 9</w:t>
      </w:r>
      <w:r w:rsidR="00982058" w:rsidRPr="00E1619C">
        <w:rPr>
          <w:vertAlign w:val="superscript"/>
        </w:rPr>
        <w:t>th</w:t>
      </w:r>
      <w:r w:rsidR="00982058" w:rsidRPr="00E1619C">
        <w:t xml:space="preserve"> or 10</w:t>
      </w:r>
      <w:r w:rsidR="00982058" w:rsidRPr="00E1619C">
        <w:rPr>
          <w:vertAlign w:val="superscript"/>
        </w:rPr>
        <w:t>th</w:t>
      </w:r>
      <w:r w:rsidR="00982058" w:rsidRPr="00E1619C">
        <w:t xml:space="preserve"> grade and provides more opportunities to earn a greater number of college credits or credentials may show more positive outcomes in this regard.</w:t>
      </w:r>
      <w:r w:rsidR="008C4818">
        <w:t xml:space="preserve"> </w:t>
      </w:r>
      <w:r w:rsidRPr="00E1619C">
        <w:t xml:space="preserve">Future studies could </w:t>
      </w:r>
      <w:r w:rsidR="00B23599">
        <w:t xml:space="preserve">more closely </w:t>
      </w:r>
      <w:r w:rsidRPr="00E1619C">
        <w:lastRenderedPageBreak/>
        <w:t>examine</w:t>
      </w:r>
      <w:r w:rsidR="001C51A9">
        <w:t xml:space="preserve"> the</w:t>
      </w:r>
      <w:r w:rsidRPr="00E1619C">
        <w:t xml:space="preserve"> college credit thresholds </w:t>
      </w:r>
      <w:r w:rsidR="00615C2C">
        <w:t xml:space="preserve">or coursework intensity </w:t>
      </w:r>
      <w:r w:rsidRPr="00E1619C">
        <w:t>that push ELs to continue</w:t>
      </w:r>
      <w:r w:rsidR="004E25A5">
        <w:t xml:space="preserve"> college</w:t>
      </w:r>
      <w:r w:rsidRPr="00E1619C">
        <w:t xml:space="preserve"> or provide enough financial incentive to pursue a postsecondary degree, and how these may differ or compare to other disadvantaged youth.</w:t>
      </w:r>
    </w:p>
    <w:p w14:paraId="68076DD9" w14:textId="79DEBAFE" w:rsidR="00382F10" w:rsidRDefault="00382F10" w:rsidP="00904B79">
      <w:pPr>
        <w:spacing w:line="480" w:lineRule="auto"/>
        <w:ind w:firstLine="720"/>
      </w:pPr>
      <w:r w:rsidRPr="00E1619C">
        <w:t>Secondly, the EC experience and earned college credits may have provided an unstable, diminished, or late boost in college aspirations for ELs that was not sufficient to induce continued college enrollment immediately after high school. Receiving a “taste of college” shapes student orientations towards pursuing a college degree in complex ways—aspirations can rise, fall, or change over time (Alexander</w:t>
      </w:r>
      <w:r w:rsidR="00B70679">
        <w:t xml:space="preserve"> et al.</w:t>
      </w:r>
      <w:r w:rsidRPr="00E1619C">
        <w:t xml:space="preserve">, 2008). If </w:t>
      </w:r>
      <w:r w:rsidR="00B502F1">
        <w:t xml:space="preserve">the </w:t>
      </w:r>
      <w:r w:rsidRPr="00E1619C">
        <w:t xml:space="preserve">college course-taking experience sends </w:t>
      </w:r>
      <w:r w:rsidRPr="00B71FC2">
        <w:t>negative</w:t>
      </w:r>
      <w:r w:rsidRPr="00E1619C">
        <w:t xml:space="preserve"> signals </w:t>
      </w:r>
      <w:r w:rsidR="004E25A5" w:rsidRPr="00E1619C">
        <w:t xml:space="preserve">that confirm lack of college readiness </w:t>
      </w:r>
      <w:r w:rsidRPr="00E1619C">
        <w:t>to lower</w:t>
      </w:r>
      <w:r w:rsidR="00B502F1">
        <w:t>-</w:t>
      </w:r>
      <w:r w:rsidRPr="00E1619C">
        <w:t xml:space="preserve">performing EL students, then the null effect we see in immediate college-going might not be surprising. However, studies suggest that academic performance plays a more limited role in diminishing college </w:t>
      </w:r>
      <w:r w:rsidRPr="004E25A5">
        <w:rPr>
          <w:i/>
          <w:iCs/>
        </w:rPr>
        <w:t>aspirations</w:t>
      </w:r>
      <w:r w:rsidRPr="00E1619C">
        <w:t xml:space="preserve"> for ELs than might be assumed (Kanno &amp; Comley, 2013)</w:t>
      </w:r>
      <w:r w:rsidR="00355D3A">
        <w:t>.</w:t>
      </w:r>
      <w:r w:rsidR="00904B79">
        <w:t xml:space="preserve"> </w:t>
      </w:r>
      <w:r w:rsidR="003C7DC1">
        <w:t xml:space="preserve">Furthermore, existing research </w:t>
      </w:r>
      <w:r w:rsidR="003C7DC1" w:rsidRPr="00827B81">
        <w:t>on</w:t>
      </w:r>
      <w:r w:rsidR="003C7DC1">
        <w:t xml:space="preserve"> similar</w:t>
      </w:r>
      <w:r w:rsidR="003C7DC1" w:rsidRPr="00827B81">
        <w:t xml:space="preserve"> </w:t>
      </w:r>
      <w:r w:rsidR="003C7DC1" w:rsidRPr="00E11104">
        <w:t>dual enrollment</w:t>
      </w:r>
      <w:r w:rsidR="003C7DC1">
        <w:rPr>
          <w:i/>
          <w:iCs/>
        </w:rPr>
        <w:t xml:space="preserve"> </w:t>
      </w:r>
      <w:r w:rsidR="003C7DC1">
        <w:t xml:space="preserve">programs suggests that college enrollment rates for students in the </w:t>
      </w:r>
      <w:r w:rsidR="003C7DC1" w:rsidRPr="00E11104">
        <w:rPr>
          <w:i/>
          <w:iCs/>
        </w:rPr>
        <w:t>bottom</w:t>
      </w:r>
      <w:r w:rsidR="003C7DC1">
        <w:t xml:space="preserve"> quartile of academic achievement (as measured by high school grade point average) are greater than for those at the top quartile </w:t>
      </w:r>
      <w:r w:rsidR="003C7DC1">
        <w:fldChar w:fldCharType="begin" w:fldLock="1"/>
      </w:r>
      <w:r w:rsidR="003C7DC1">
        <w:instrText>ADDIN CSL_CITATION {"citationItems":[{"id":"ITEM-1","itemData":{"author":[{"dropping-particle":"","family":"Karp","given":"Melinda Mechur","non-dropping-particle":"","parse-names":false,"suffix":""},{"dropping-particle":"","family":"Calcagno","given":"Juan Carlos","non-dropping-particle":"","parse-names":false,"suffix":""},{"dropping-particle":"","family":"Hughes","given":"Katherine L.","non-dropping-particle":"","parse-names":false,"suffix":""},{"dropping-particle":"","family":"Jeong","given":"Dong Wook","non-dropping-particle":"","parse-names":false,"suffix":""},{"dropping-particle":"","family":"Bailey","given":"Thomas R.","non-dropping-particle":"","parse-names":false,"suffix":""}],"id":"ITEM-1","issued":{"date-parts":[["2007"]]},"number-of-pages":"1-83","publisher-place":"New York, NY","title":"The postsecondary achievement of participants in dual enrollment: An analysis of student outcomes in two states","type":"report"},"uris":["http://www.mendeley.com/documents/?uuid=17634f33-5507-4dd0-bd29-9de66839e4d8"]}],"mendeley":{"formattedCitation":"(Karp et al., 2007)","plainTextFormattedCitation":"(Karp et al., 2007)","previouslyFormattedCitation":"(Karp et al., 2007)"},"properties":{"noteIndex":0},"schema":"https://github.com/citation-style-language/schema/raw/master/csl-citation.json"}</w:instrText>
      </w:r>
      <w:r w:rsidR="003C7DC1">
        <w:fldChar w:fldCharType="separate"/>
      </w:r>
      <w:r w:rsidR="003C7DC1" w:rsidRPr="00904B79">
        <w:rPr>
          <w:noProof/>
        </w:rPr>
        <w:t>(Karp et al., 2007)</w:t>
      </w:r>
      <w:r w:rsidR="003C7DC1">
        <w:fldChar w:fldCharType="end"/>
      </w:r>
      <w:r w:rsidR="003C7DC1">
        <w:t xml:space="preserve">. </w:t>
      </w:r>
      <w:r w:rsidR="004C31FC">
        <w:t>Indeed, r</w:t>
      </w:r>
      <w:r w:rsidRPr="00E1619C">
        <w:t xml:space="preserve">ather than revealing reduced aspirations, students in our survey indicated </w:t>
      </w:r>
      <w:r w:rsidR="00F8593C">
        <w:t>competing</w:t>
      </w:r>
      <w:r w:rsidR="00F8593C" w:rsidRPr="00E1619C">
        <w:t xml:space="preserve"> </w:t>
      </w:r>
      <w:r w:rsidRPr="00E1619C">
        <w:t xml:space="preserve">desires </w:t>
      </w:r>
      <w:r w:rsidR="0018577C" w:rsidRPr="00E1619C">
        <w:t>regarding</w:t>
      </w:r>
      <w:r w:rsidRPr="00E1619C">
        <w:t xml:space="preserve"> their plans after high school: high aspirations for obtaining a college degree and securing a job to help their family</w:t>
      </w:r>
      <w:r w:rsidR="00B70679">
        <w:t>. This s</w:t>
      </w:r>
      <w:r w:rsidRPr="00E1619C">
        <w:t>uggest</w:t>
      </w:r>
      <w:r w:rsidR="00B70679">
        <w:t>s</w:t>
      </w:r>
      <w:r w:rsidRPr="00E1619C">
        <w:t xml:space="preserve"> that EL students </w:t>
      </w:r>
      <w:r w:rsidR="0015255D">
        <w:t xml:space="preserve">may </w:t>
      </w:r>
      <w:r w:rsidRPr="00E1619C">
        <w:t xml:space="preserve">face other </w:t>
      </w:r>
      <w:r w:rsidR="00E53DE0">
        <w:t>obstacles</w:t>
      </w:r>
      <w:r w:rsidR="00E53DE0" w:rsidRPr="00E1619C">
        <w:t xml:space="preserve"> </w:t>
      </w:r>
      <w:r w:rsidRPr="00E1619C">
        <w:t xml:space="preserve">that compel them to postpone or discontinue their postsecondary education </w:t>
      </w:r>
      <w:r w:rsidRPr="00E1619C">
        <w:rPr>
          <w:bCs/>
        </w:rPr>
        <w:t>(Razfar &amp; Simon, 2011)</w:t>
      </w:r>
      <w:r w:rsidRPr="00E1619C">
        <w:t xml:space="preserve">. </w:t>
      </w:r>
      <w:r w:rsidR="00A80AFE">
        <w:t>Although i</w:t>
      </w:r>
      <w:r w:rsidRPr="00E1619C">
        <w:t>t is possible that ELs in this sample could return to college in later years</w:t>
      </w:r>
      <w:r w:rsidR="00A80AFE">
        <w:t xml:space="preserve">, further research </w:t>
      </w:r>
      <w:r w:rsidR="00E65928">
        <w:t>could</w:t>
      </w:r>
      <w:r w:rsidR="00A80AFE">
        <w:t xml:space="preserve"> be conducted to investigate </w:t>
      </w:r>
      <w:r w:rsidR="00CE4D00">
        <w:t xml:space="preserve">the </w:t>
      </w:r>
      <w:r w:rsidR="00AA507F">
        <w:t>variables</w:t>
      </w:r>
      <w:r w:rsidR="0034468A">
        <w:t xml:space="preserve"> tha</w:t>
      </w:r>
      <w:r w:rsidR="002F1638">
        <w:t xml:space="preserve">t </w:t>
      </w:r>
      <w:r w:rsidR="001946D6">
        <w:t xml:space="preserve">diminish </w:t>
      </w:r>
      <w:r w:rsidR="002C0FC2">
        <w:t xml:space="preserve">immediate </w:t>
      </w:r>
      <w:r w:rsidR="001946D6">
        <w:t>EL postsecondary enrollment</w:t>
      </w:r>
      <w:r w:rsidR="006638E8">
        <w:t xml:space="preserve">, especially as they relate to </w:t>
      </w:r>
      <w:r w:rsidR="004E7684">
        <w:t>college</w:t>
      </w:r>
      <w:r w:rsidR="00293B05">
        <w:t xml:space="preserve"> </w:t>
      </w:r>
      <w:r w:rsidR="00A74655">
        <w:t xml:space="preserve">aspirations and </w:t>
      </w:r>
      <w:r w:rsidR="006638E8">
        <w:t>academic performance</w:t>
      </w:r>
      <w:r w:rsidRPr="00E1619C">
        <w:t>.</w:t>
      </w:r>
      <w:r w:rsidR="00CA5A93">
        <w:t xml:space="preserve"> </w:t>
      </w:r>
    </w:p>
    <w:p w14:paraId="3D1EB38D" w14:textId="3CC00DF7" w:rsidR="00F70E06" w:rsidRPr="00CB1DBD" w:rsidRDefault="00F70E06" w:rsidP="00F70E06">
      <w:pPr>
        <w:spacing w:line="480" w:lineRule="auto"/>
        <w:ind w:firstLine="720"/>
        <w:rPr>
          <w:color w:val="0070C0"/>
        </w:rPr>
      </w:pPr>
      <w:bookmarkStart w:id="12" w:name="_Hlk89421272"/>
      <w:r w:rsidRPr="00CB1DBD">
        <w:rPr>
          <w:color w:val="0070C0"/>
        </w:rPr>
        <w:lastRenderedPageBreak/>
        <w:t xml:space="preserve">Thirdly, the effect of the EC program to boost </w:t>
      </w:r>
      <w:r w:rsidR="00192752" w:rsidRPr="00CB1DBD">
        <w:rPr>
          <w:color w:val="0070C0"/>
        </w:rPr>
        <w:t xml:space="preserve">immediate </w:t>
      </w:r>
      <w:r w:rsidRPr="00CB1DBD">
        <w:rPr>
          <w:color w:val="0070C0"/>
        </w:rPr>
        <w:t xml:space="preserve">college attendance may have been limited because </w:t>
      </w:r>
      <w:r w:rsidR="00A2595F" w:rsidRPr="00CB1DBD">
        <w:rPr>
          <w:color w:val="0070C0"/>
        </w:rPr>
        <w:t xml:space="preserve">participating </w:t>
      </w:r>
      <w:r w:rsidR="008F12F7" w:rsidRPr="00CB1DBD">
        <w:rPr>
          <w:color w:val="0070C0"/>
        </w:rPr>
        <w:t>students enrolled in</w:t>
      </w:r>
      <w:r w:rsidR="00C90482" w:rsidRPr="00CB1DBD">
        <w:rPr>
          <w:color w:val="0070C0"/>
        </w:rPr>
        <w:t xml:space="preserve"> </w:t>
      </w:r>
      <w:r w:rsidR="00FB6566" w:rsidRPr="00CB1DBD">
        <w:rPr>
          <w:color w:val="0070C0"/>
        </w:rPr>
        <w:t xml:space="preserve">dual-credit </w:t>
      </w:r>
      <w:r w:rsidR="00C90482" w:rsidRPr="00CB1DBD">
        <w:rPr>
          <w:color w:val="0070C0"/>
        </w:rPr>
        <w:t>college</w:t>
      </w:r>
      <w:r w:rsidR="008F12F7" w:rsidRPr="00CB1DBD">
        <w:rPr>
          <w:color w:val="0070C0"/>
        </w:rPr>
        <w:t xml:space="preserve"> courses with</w:t>
      </w:r>
      <w:r w:rsidRPr="00CB1DBD">
        <w:rPr>
          <w:color w:val="0070C0"/>
        </w:rPr>
        <w:t xml:space="preserve"> a career or vocational focus. A key benefit of dual enrollment described in prior literature is advancement towards completion of general education requirements (e.g., An &amp; Taylor, 2019; Blankenberger, Lichtenberger, Witt, &amp; Franklin, 2017)—taking </w:t>
      </w:r>
      <w:r w:rsidRPr="00CB1DBD">
        <w:rPr>
          <w:i/>
          <w:iCs/>
          <w:color w:val="0070C0"/>
        </w:rPr>
        <w:t>academic</w:t>
      </w:r>
      <w:r w:rsidRPr="00CB1DBD">
        <w:rPr>
          <w:color w:val="0070C0"/>
        </w:rPr>
        <w:t xml:space="preserve"> coursework via dual enrollment during high school can support students’ transition to higher education by strengthening academic skills and reducing the likelihood of testing into developmental education courses. Although students in our study had the option of choosing </w:t>
      </w:r>
      <w:r w:rsidR="001664C5" w:rsidRPr="00CB1DBD">
        <w:rPr>
          <w:color w:val="0070C0"/>
        </w:rPr>
        <w:t>coursework with a more academic focus</w:t>
      </w:r>
      <w:r w:rsidRPr="00CB1DBD">
        <w:rPr>
          <w:color w:val="0070C0"/>
        </w:rPr>
        <w:t xml:space="preserve"> at the community college, the </w:t>
      </w:r>
      <w:r w:rsidR="00AA3B8B" w:rsidRPr="00CB1DBD">
        <w:rPr>
          <w:color w:val="0070C0"/>
        </w:rPr>
        <w:t xml:space="preserve">courses offered </w:t>
      </w:r>
      <w:r w:rsidR="00D1583E" w:rsidRPr="00CB1DBD">
        <w:rPr>
          <w:color w:val="0070C0"/>
        </w:rPr>
        <w:t>via</w:t>
      </w:r>
      <w:r w:rsidR="00AA3B8B" w:rsidRPr="00CB1DBD">
        <w:rPr>
          <w:color w:val="0070C0"/>
        </w:rPr>
        <w:t xml:space="preserve"> the</w:t>
      </w:r>
      <w:r w:rsidRPr="00CB1DBD">
        <w:rPr>
          <w:color w:val="0070C0"/>
        </w:rPr>
        <w:t xml:space="preserve"> program </w:t>
      </w:r>
      <w:r w:rsidR="00AA3B8B" w:rsidRPr="00CB1DBD">
        <w:rPr>
          <w:color w:val="0070C0"/>
        </w:rPr>
        <w:t>pathways</w:t>
      </w:r>
      <w:r w:rsidRPr="00CB1DBD">
        <w:rPr>
          <w:color w:val="0070C0"/>
        </w:rPr>
        <w:t xml:space="preserve"> may not have served to reduce the number of general education credits that are often required to obtain an AA degree or 4-year transfer eligibility. </w:t>
      </w:r>
      <w:r w:rsidR="00915454" w:rsidRPr="00CB1DBD">
        <w:rPr>
          <w:color w:val="0070C0"/>
        </w:rPr>
        <w:t>Indeed, f</w:t>
      </w:r>
      <w:r w:rsidRPr="00CB1DBD">
        <w:rPr>
          <w:color w:val="0070C0"/>
        </w:rPr>
        <w:t>or ELs, these general education requirements can often be</w:t>
      </w:r>
      <w:r w:rsidR="00AC37C9" w:rsidRPr="00CB1DBD">
        <w:rPr>
          <w:color w:val="0070C0"/>
        </w:rPr>
        <w:t xml:space="preserve"> particularly</w:t>
      </w:r>
      <w:r w:rsidRPr="00CB1DBD">
        <w:rPr>
          <w:color w:val="0070C0"/>
        </w:rPr>
        <w:t xml:space="preserve"> lengthy</w:t>
      </w:r>
      <w:r w:rsidR="009B6875" w:rsidRPr="00CB1DBD">
        <w:rPr>
          <w:color w:val="0070C0"/>
        </w:rPr>
        <w:t>. F</w:t>
      </w:r>
      <w:r w:rsidRPr="00CB1DBD">
        <w:rPr>
          <w:color w:val="0070C0"/>
        </w:rPr>
        <w:t xml:space="preserve">or example, </w:t>
      </w:r>
      <w:r w:rsidR="00EB7711" w:rsidRPr="00CB1DBD">
        <w:rPr>
          <w:color w:val="0070C0"/>
        </w:rPr>
        <w:t xml:space="preserve">at community colleges, </w:t>
      </w:r>
      <w:r w:rsidRPr="00CB1DBD">
        <w:rPr>
          <w:color w:val="0070C0"/>
        </w:rPr>
        <w:t xml:space="preserve">language learners are often placed into non-credit English as a Second Language (ESL) or remedial English coursework, which can create major roadblocks to postsecondary attainment </w:t>
      </w:r>
      <w:r w:rsidR="000F6EF9" w:rsidRPr="00CB1DBD">
        <w:rPr>
          <w:color w:val="0070C0"/>
        </w:rPr>
        <w:fldChar w:fldCharType="begin" w:fldLock="1"/>
      </w:r>
      <w:r w:rsidR="000F6EF9" w:rsidRPr="00CB1DBD">
        <w:rPr>
          <w:color w:val="0070C0"/>
        </w:rPr>
        <w:instrText>ADDIN CSL_CITATION {"citationItems":[{"id":"ITEM-1","itemData":{"abstract":"Demographic and postsecondary enrollment data suggest that the proportion of community college students who need support to access curricula in English is large and will continue to grow in the coming years. Yet there is limited research on the postsecondary experiences and outcomes of these English learners (ELs), and most of the studies that are available focus exclusively on the subset of ELs who enroll in ESL courses. Informed by relevant research literature, this paper examines factors within the community college context that affect the experiences and academic outcomes of the EL population broadly, and, given that they can be more easily identified and have been the subject of much more study, students who enroll in ESL courses in particular. We describe ELs and their academic needs and strengths, and we provide a brief discussion of the national and state policy landscape regarding EL students. We then provide perspectives from the research literature on ESL assessment and placement, instructional delivery, and student identity. We conclude with a brief discussion of the implications of these findings for policy, practice, and future research.","author":[{"dropping-particle":"","family":"Raufman","given":"Julia","non-dropping-particle":"","parse-names":false,"suffix":""},{"dropping-particle":"","family":"Brathwaite","given":"Jessica","non-dropping-particle":"","parse-names":false,"suffix":""},{"dropping-particle":"","family":"Kalamkarian","given":"Hoori S.","non-dropping-particle":"","parse-names":false,"suffix":""}],"container-title":"CCRC Working Paper No. 109","id":"ITEM-1","issue":"May","issued":{"date-parts":[["2019"]]},"number-of-pages":"1-37","publisher-place":"New York, NY","title":"English learners and ESL programs in the community college: A review of the literature","type":"report"},"uris":["http://www.mendeley.com/documents/?uuid=b30fc2e9-09b4-4cfe-9435-a83a7b9388f4"]}],"mendeley":{"formattedCitation":"(Raufman, Brathwaite, &amp; Kalamkarian, 2019)","plainTextFormattedCitation":"(Raufman, Brathwaite, &amp; Kalamkarian, 2019)"},"properties":{"noteIndex":0},"schema":"https://github.com/citation-style-language/schema/raw/master/csl-citation.json"}</w:instrText>
      </w:r>
      <w:r w:rsidR="000F6EF9" w:rsidRPr="00CB1DBD">
        <w:rPr>
          <w:color w:val="0070C0"/>
        </w:rPr>
        <w:fldChar w:fldCharType="separate"/>
      </w:r>
      <w:r w:rsidR="000F6EF9" w:rsidRPr="00CB1DBD">
        <w:rPr>
          <w:noProof/>
          <w:color w:val="0070C0"/>
        </w:rPr>
        <w:t>(Raufman</w:t>
      </w:r>
      <w:r w:rsidR="00CB1DBD" w:rsidRPr="00CB1DBD">
        <w:rPr>
          <w:noProof/>
          <w:color w:val="0070C0"/>
        </w:rPr>
        <w:t xml:space="preserve"> et al.</w:t>
      </w:r>
      <w:r w:rsidR="000F6EF9" w:rsidRPr="00CB1DBD">
        <w:rPr>
          <w:noProof/>
          <w:color w:val="0070C0"/>
        </w:rPr>
        <w:t>, 2019)</w:t>
      </w:r>
      <w:r w:rsidR="000F6EF9" w:rsidRPr="00CB1DBD">
        <w:rPr>
          <w:color w:val="0070C0"/>
        </w:rPr>
        <w:fldChar w:fldCharType="end"/>
      </w:r>
      <w:r w:rsidR="000F6EF9" w:rsidRPr="00CB1DBD">
        <w:rPr>
          <w:color w:val="0070C0"/>
        </w:rPr>
        <w:t>.</w:t>
      </w:r>
      <w:r w:rsidRPr="00CB1DBD">
        <w:rPr>
          <w:color w:val="0070C0"/>
        </w:rPr>
        <w:t xml:space="preserve"> Perhaps credits earned in </w:t>
      </w:r>
      <w:proofErr w:type="gramStart"/>
      <w:r w:rsidRPr="00CB1DBD">
        <w:rPr>
          <w:color w:val="0070C0"/>
        </w:rPr>
        <w:t>vocational</w:t>
      </w:r>
      <w:proofErr w:type="gramEnd"/>
      <w:r w:rsidRPr="00CB1DBD">
        <w:rPr>
          <w:color w:val="0070C0"/>
        </w:rPr>
        <w:t xml:space="preserve"> or </w:t>
      </w:r>
      <w:r w:rsidR="00CB1DBD">
        <w:rPr>
          <w:color w:val="0070C0"/>
        </w:rPr>
        <w:t>career</w:t>
      </w:r>
      <w:r w:rsidR="00CC33CE" w:rsidRPr="00CB1DBD">
        <w:rPr>
          <w:color w:val="0070C0"/>
        </w:rPr>
        <w:t xml:space="preserve"> </w:t>
      </w:r>
      <w:r w:rsidRPr="00CB1DBD">
        <w:rPr>
          <w:color w:val="0070C0"/>
        </w:rPr>
        <w:t xml:space="preserve">pathways matter less for immediate college enrollment among ELs when they may also face numerous general education requirements. Additional research is needed to investigate the </w:t>
      </w:r>
      <w:r w:rsidR="00334F48" w:rsidRPr="00CB1DBD">
        <w:rPr>
          <w:color w:val="0070C0"/>
        </w:rPr>
        <w:t>effect of different</w:t>
      </w:r>
      <w:r w:rsidRPr="00CB1DBD">
        <w:rPr>
          <w:color w:val="0070C0"/>
        </w:rPr>
        <w:t xml:space="preserve"> </w:t>
      </w:r>
      <w:r w:rsidRPr="00CB1DBD">
        <w:rPr>
          <w:i/>
          <w:iCs/>
          <w:color w:val="0070C0"/>
        </w:rPr>
        <w:t>type</w:t>
      </w:r>
      <w:r w:rsidR="00334F48" w:rsidRPr="00CB1DBD">
        <w:rPr>
          <w:i/>
          <w:iCs/>
          <w:color w:val="0070C0"/>
        </w:rPr>
        <w:t>s</w:t>
      </w:r>
      <w:r w:rsidRPr="00CB1DBD">
        <w:rPr>
          <w:color w:val="0070C0"/>
        </w:rPr>
        <w:t xml:space="preserve"> of </w:t>
      </w:r>
      <w:r w:rsidR="00BA5B21" w:rsidRPr="00CB1DBD">
        <w:rPr>
          <w:color w:val="0070C0"/>
        </w:rPr>
        <w:t xml:space="preserve">course </w:t>
      </w:r>
      <w:r w:rsidRPr="00CB1DBD">
        <w:rPr>
          <w:color w:val="0070C0"/>
        </w:rPr>
        <w:t>credit offered</w:t>
      </w:r>
      <w:r w:rsidR="00422431" w:rsidRPr="00CB1DBD">
        <w:rPr>
          <w:color w:val="0070C0"/>
        </w:rPr>
        <w:t xml:space="preserve"> to ELs in these programs</w:t>
      </w:r>
      <w:r w:rsidRPr="00CB1DBD">
        <w:rPr>
          <w:color w:val="0070C0"/>
        </w:rPr>
        <w:t xml:space="preserve">. </w:t>
      </w:r>
    </w:p>
    <w:bookmarkEnd w:id="12"/>
    <w:p w14:paraId="69B9905E" w14:textId="72462562" w:rsidR="00F24633" w:rsidRPr="00E1619C" w:rsidRDefault="00382F10" w:rsidP="00EC257A">
      <w:pPr>
        <w:spacing w:line="480" w:lineRule="auto"/>
        <w:rPr>
          <w:b/>
          <w:bCs/>
        </w:rPr>
      </w:pPr>
      <w:r w:rsidRPr="00E1619C">
        <w:rPr>
          <w:b/>
          <w:bCs/>
        </w:rPr>
        <w:t>Starting at a Four-Year College</w:t>
      </w:r>
    </w:p>
    <w:p w14:paraId="3A96B402" w14:textId="4BFAC423" w:rsidR="000140B3" w:rsidRDefault="00382F10" w:rsidP="000D74FE">
      <w:pPr>
        <w:spacing w:line="480" w:lineRule="auto"/>
        <w:ind w:firstLine="720"/>
      </w:pPr>
      <w:r w:rsidRPr="00E1619C">
        <w:t>The program’s negative effect on starting at a four-year college after high school merits further attention. Again, this is a finding that differs from the positive effects EC participation has on four-year college enrollment observed for other underrepresented racial/ethnic minorities and first-generation college attendees (Berger et al., 2013)</w:t>
      </w:r>
      <w:r w:rsidR="00A67A2F">
        <w:t>.</w:t>
      </w:r>
      <w:r w:rsidR="000140B3">
        <w:t xml:space="preserve"> </w:t>
      </w:r>
      <w:r w:rsidR="000140B3" w:rsidRPr="00E1619C">
        <w:t xml:space="preserve">Given the benefits EC </w:t>
      </w:r>
      <w:r w:rsidR="000140B3">
        <w:t xml:space="preserve">and dual </w:t>
      </w:r>
      <w:r w:rsidR="000140B3">
        <w:lastRenderedPageBreak/>
        <w:t xml:space="preserve">enrollment </w:t>
      </w:r>
      <w:r w:rsidR="000140B3" w:rsidRPr="00E1619C">
        <w:t xml:space="preserve">provides for other traditionally underrepresented youth, we expected </w:t>
      </w:r>
      <w:r w:rsidR="000140B3">
        <w:t>the program under study</w:t>
      </w:r>
      <w:r w:rsidR="000140B3" w:rsidRPr="00E1619C">
        <w:t xml:space="preserve"> to have similar benefits for ELs. Instead, these results serve as a cautionary tale for researchers and policymakers interested in extending existing college access interventions to ELs, indicating that greater scrutiny of potential unintended effects is warranted along with increased awareness of the specific needs of this population.</w:t>
      </w:r>
      <w:r w:rsidR="000140B3">
        <w:t xml:space="preserve"> </w:t>
      </w:r>
    </w:p>
    <w:p w14:paraId="0BA13FB7" w14:textId="377AA5EC" w:rsidR="00901B67" w:rsidRPr="00E1619C" w:rsidRDefault="000140B3" w:rsidP="00A67A2F">
      <w:pPr>
        <w:spacing w:line="480" w:lineRule="auto"/>
      </w:pPr>
      <w:r>
        <w:t xml:space="preserve"> </w:t>
      </w:r>
      <w:r w:rsidR="00873F91">
        <w:tab/>
      </w:r>
      <w:r w:rsidR="00382F10" w:rsidRPr="00E1619C">
        <w:t xml:space="preserve">Encouraging disadvantaged students to begin their postsecondary careers at a four-year as opposed to a two-year college after high school is desirable because it increases the probability of degree attainment (Schudde &amp; Brown, 2019). Furthermore, four-year colleges are associated with better outcomes: they have higher average degree completion rates compared to two-year colleges, and bachelor’s degree holders enjoy higher median salary ($15,300 difference at age 25) and lower unemployment rates (0.2 percentage point difference) than </w:t>
      </w:r>
      <w:proofErr w:type="gramStart"/>
      <w:r w:rsidR="00382F10" w:rsidRPr="00E1619C">
        <w:t>associate’s</w:t>
      </w:r>
      <w:proofErr w:type="gramEnd"/>
      <w:r w:rsidR="00382F10" w:rsidRPr="00E1619C">
        <w:t xml:space="preserve"> degree holders (Ma</w:t>
      </w:r>
      <w:r w:rsidR="00BA705B">
        <w:t xml:space="preserve"> et al.</w:t>
      </w:r>
      <w:r w:rsidR="00382F10" w:rsidRPr="00E1619C">
        <w:t xml:space="preserve">, 2019). Commencing a postsecondary career at a four-year college is particularly relevant for ELs since </w:t>
      </w:r>
      <w:r w:rsidR="00BA705B">
        <w:t>degree completion</w:t>
      </w:r>
      <w:r w:rsidR="00382F10" w:rsidRPr="00E1619C">
        <w:t xml:space="preserve"> remains a largely elusive outcome for many (Kanno &amp; Cromley, 201</w:t>
      </w:r>
      <w:r w:rsidR="002E4B75">
        <w:t>5</w:t>
      </w:r>
      <w:r w:rsidR="00382F10" w:rsidRPr="00E1619C">
        <w:t xml:space="preserve">). </w:t>
      </w:r>
    </w:p>
    <w:p w14:paraId="3C113737" w14:textId="6F770513" w:rsidR="005674FD" w:rsidRDefault="00382F10" w:rsidP="00E137A8">
      <w:pPr>
        <w:spacing w:line="480" w:lineRule="auto"/>
        <w:ind w:firstLine="720"/>
      </w:pPr>
      <w:bookmarkStart w:id="13" w:name="_Hlk78981306"/>
      <w:r w:rsidRPr="00E1619C">
        <w:t>The negative estimate suggests a couple of unintended effects. First, EC appears to be inducing ELs</w:t>
      </w:r>
      <w:r w:rsidR="001E39A7">
        <w:t xml:space="preserve"> </w:t>
      </w:r>
      <w:r w:rsidRPr="00E1619C">
        <w:t>to substitute out of the four-year sector and attend two-year colleges instead</w:t>
      </w:r>
      <w:r w:rsidR="00A67A2F">
        <w:t xml:space="preserve">. </w:t>
      </w:r>
      <w:r w:rsidR="00712CDB">
        <w:t>Again, it</w:t>
      </w:r>
      <w:r w:rsidR="007372C6">
        <w:t xml:space="preserve"> is unclear why we observe this pattern—</w:t>
      </w:r>
      <w:r w:rsidR="004715FC">
        <w:t>specific</w:t>
      </w:r>
      <w:r w:rsidR="001040BD">
        <w:t xml:space="preserve"> </w:t>
      </w:r>
      <w:r w:rsidR="009E24BA">
        <w:t>features</w:t>
      </w:r>
      <w:r w:rsidR="004D4A83">
        <w:t xml:space="preserve"> of the EC model studie</w:t>
      </w:r>
      <w:r w:rsidR="004840D8">
        <w:t>d</w:t>
      </w:r>
      <w:r w:rsidR="004715FC">
        <w:t xml:space="preserve">, such as the </w:t>
      </w:r>
      <w:r w:rsidR="00DD55A3">
        <w:t>late</w:t>
      </w:r>
      <w:r w:rsidR="00A95FD2">
        <w:t>r</w:t>
      </w:r>
      <w:r w:rsidR="00DD55A3">
        <w:t xml:space="preserve"> start and </w:t>
      </w:r>
      <w:r w:rsidR="00F46ECA">
        <w:t xml:space="preserve">career and </w:t>
      </w:r>
      <w:r w:rsidR="004715FC">
        <w:t>vocational</w:t>
      </w:r>
      <w:r w:rsidR="00296707">
        <w:t xml:space="preserve"> type of</w:t>
      </w:r>
      <w:r w:rsidR="004715FC">
        <w:t xml:space="preserve"> pathways offered</w:t>
      </w:r>
      <w:r w:rsidR="0097691B">
        <w:t>, may offer possible explanations</w:t>
      </w:r>
      <w:r w:rsidR="004715FC">
        <w:t xml:space="preserve">. </w:t>
      </w:r>
      <w:r w:rsidR="00F62DAF">
        <w:t xml:space="preserve">Past studies </w:t>
      </w:r>
      <w:r w:rsidR="00AB7A6A">
        <w:t>on</w:t>
      </w:r>
      <w:r w:rsidR="00082904">
        <w:t xml:space="preserve"> </w:t>
      </w:r>
      <w:r w:rsidR="00440B28">
        <w:t>related</w:t>
      </w:r>
      <w:r w:rsidR="00377CD0">
        <w:t xml:space="preserve"> </w:t>
      </w:r>
      <w:r w:rsidR="00C40411">
        <w:t>interventions</w:t>
      </w:r>
      <w:r w:rsidR="00322550">
        <w:t xml:space="preserve"> with</w:t>
      </w:r>
      <w:r w:rsidR="00D20FF7">
        <w:t xml:space="preserve"> some</w:t>
      </w:r>
      <w:r w:rsidR="00322550">
        <w:t xml:space="preserve"> </w:t>
      </w:r>
      <w:r w:rsidR="00246813">
        <w:t>similar</w:t>
      </w:r>
      <w:r w:rsidR="00322550">
        <w:t xml:space="preserve"> </w:t>
      </w:r>
      <w:r w:rsidR="00600086">
        <w:t xml:space="preserve">program </w:t>
      </w:r>
      <w:r w:rsidR="006263C8">
        <w:t>structures</w:t>
      </w:r>
      <w:r w:rsidR="002B6E2B">
        <w:t>, such as Tech Prep,</w:t>
      </w:r>
      <w:r w:rsidR="00905F6B">
        <w:t xml:space="preserve"> point to </w:t>
      </w:r>
      <w:r w:rsidR="00BD2DAA">
        <w:t>comparable</w:t>
      </w:r>
      <w:r w:rsidR="00905F6B">
        <w:t xml:space="preserve"> </w:t>
      </w:r>
      <w:r w:rsidR="008A3E23">
        <w:t>results</w:t>
      </w:r>
      <w:r w:rsidR="009A1ED3">
        <w:t xml:space="preserve"> in this regard</w:t>
      </w:r>
      <w:r w:rsidR="00905F6B">
        <w:t xml:space="preserve">. </w:t>
      </w:r>
      <w:r w:rsidR="00B96B20">
        <w:t xml:space="preserve">Although </w:t>
      </w:r>
      <w:r w:rsidR="00206993">
        <w:t xml:space="preserve">Tech Prep </w:t>
      </w:r>
      <w:r w:rsidR="00272E31">
        <w:t>programs</w:t>
      </w:r>
      <w:r w:rsidR="00B96B20">
        <w:t xml:space="preserve"> can vary in structure, they similarly</w:t>
      </w:r>
      <w:r w:rsidR="00E25A12">
        <w:t xml:space="preserve"> </w:t>
      </w:r>
      <w:r w:rsidR="0097691B">
        <w:t>provide</w:t>
      </w:r>
      <w:r w:rsidR="00272E31">
        <w:t xml:space="preserve"> articulated pathways</w:t>
      </w:r>
      <w:r w:rsidR="00BA133F">
        <w:t xml:space="preserve">, </w:t>
      </w:r>
      <w:r w:rsidR="00076B55">
        <w:t xml:space="preserve">with </w:t>
      </w:r>
      <w:r w:rsidR="00DF5583">
        <w:t xml:space="preserve">planned </w:t>
      </w:r>
      <w:r w:rsidR="002A1896">
        <w:t xml:space="preserve">high school </w:t>
      </w:r>
      <w:r w:rsidR="00DF5583">
        <w:t>course sequences</w:t>
      </w:r>
      <w:r w:rsidR="001C1193">
        <w:t xml:space="preserve"> typically offered during the last two years of high school</w:t>
      </w:r>
      <w:r w:rsidR="002A1896">
        <w:t xml:space="preserve"> that extend into two years of postsecondary education in an occupation or apprenticeship </w:t>
      </w:r>
      <w:r w:rsidR="00DE2F88">
        <w:t>program</w:t>
      </w:r>
      <w:r w:rsidR="0097691B">
        <w:t>,</w:t>
      </w:r>
      <w:r w:rsidR="00DE2F88">
        <w:t xml:space="preserve"> </w:t>
      </w:r>
      <w:r w:rsidR="00727CC9">
        <w:t>resulting</w:t>
      </w:r>
      <w:r w:rsidR="00DE2F88">
        <w:t xml:space="preserve"> in an associate</w:t>
      </w:r>
      <w:r w:rsidR="0097691B">
        <w:t>’s</w:t>
      </w:r>
      <w:r w:rsidR="00DE2F88">
        <w:t xml:space="preserve"> </w:t>
      </w:r>
      <w:r w:rsidR="00DE2F88">
        <w:lastRenderedPageBreak/>
        <w:t>degree or certificate</w:t>
      </w:r>
      <w:r w:rsidR="00EF73D0">
        <w:t xml:space="preserve"> </w:t>
      </w:r>
      <w:r w:rsidR="00EF73D0">
        <w:fldChar w:fldCharType="begin" w:fldLock="1"/>
      </w:r>
      <w:r w:rsidR="0029268B">
        <w:instrText>ADDIN CSL_CITATION {"citationItems":[{"id":"ITEM-1","itemData":{"URL":"https://www2.ed.gov/about/offices/list/ovae/pi/cte/techprep.html","accessed":{"date-parts":[["2021","8","4"]]},"author":[{"dropping-particle":"","family":"Lyons","given":"Chris","non-dropping-particle":"","parse-names":false,"suffix":""}],"container-title":"Office of Career, Technical, and Adult Education","id":"ITEM-1","issued":{"date-parts":[["2014"]]},"title":"Tech Prep Education","type":"webpage"},"uris":["http://www.mendeley.com/documents/?uuid=0a3dbfb7-1679-4919-8fb0-1a16926776b3"]},{"id":"ITEM-2","itemData":{"DOI":"10.1007/978-3-030-03457-3_3","ISBN":"9783030034573","abstract":"In the past couple of decades, the number of high school students taking college courses via dual enrollment has increased dramatically, and it is becoming more common for high school students to graduate with a substantial number of college credits. We review the empirical studies on dual enrollment, paying attention to research that centers on the student and student outcomes. Our study differs from prior works that provide a comprehensive account of dual enrollment in that these papers either have focused on a general overview of the literature or have concentrated on a specific domain of dual enrollment policy. Because we focus on the student, we can spend more time analyzing the condition of the empirical research. This chapter examines evidence about who participates in dual enrollment and the relation between dual enrollment and educational outcomes. It explores differences in dual enrollment participation and outcomes by student demographics, examines what accounts for differences in dual enrollment outcomes, and compares outcomes from dual enrollment to Advanced Placement. The chapter concludes with directions for future research.","author":[{"dropping-particle":"","family":"An","given":"Brian P.","non-dropping-particle":"","parse-names":false,"suffix":""},{"dropping-particle":"","family":"Taylor","given":"Jason L.","non-dropping-particle":"","parse-names":false,"suffix":""}],"chapter-number":"3","container-title":"Higher Education: Handbook of Theory and Research","editor":[{"dropping-particle":"","family":"Paulsen","given":"M.B.","non-dropping-particle":"","parse-names":false,"suffix":""},{"dropping-particle":"","family":"Perna","given":"Laura W.","non-dropping-particle":"","parse-names":false,"suffix":""}],"id":"ITEM-2","issued":{"date-parts":[["2019"]]},"page":"99-151","publisher":"Springer, Cham","title":"A review of empirical studies on dual enrollment: Assessing educational outcomes","type":"chapter"},"uris":["http://www.mendeley.com/documents/?uuid=00d43850-16ac-473b-bb60-3e7e88a44fc4"]}],"mendeley":{"formattedCitation":"(An &amp; Taylor, 2019; Lyons, 2014)","plainTextFormattedCitation":"(An &amp; Taylor, 2019; Lyons, 2014)","previouslyFormattedCitation":"(An &amp; Taylor, 2019; Lyons, 2014)"},"properties":{"noteIndex":0},"schema":"https://github.com/citation-style-language/schema/raw/master/csl-citation.json"}</w:instrText>
      </w:r>
      <w:r w:rsidR="00EF73D0">
        <w:fldChar w:fldCharType="separate"/>
      </w:r>
      <w:r w:rsidR="00CF08F7" w:rsidRPr="00CF08F7">
        <w:rPr>
          <w:noProof/>
        </w:rPr>
        <w:t>(An &amp; Taylor, 2019; Lyons, 2014)</w:t>
      </w:r>
      <w:r w:rsidR="00EF73D0">
        <w:fldChar w:fldCharType="end"/>
      </w:r>
      <w:r w:rsidR="00EF73D0">
        <w:t xml:space="preserve">. </w:t>
      </w:r>
      <w:r w:rsidR="00CB2348">
        <w:t>Researchers have found that</w:t>
      </w:r>
      <w:r w:rsidR="00803BBC">
        <w:t xml:space="preserve"> even though</w:t>
      </w:r>
      <w:r w:rsidR="00CB2348">
        <w:t xml:space="preserve"> </w:t>
      </w:r>
      <w:r w:rsidR="00946324">
        <w:t>Tech Prep programs improve</w:t>
      </w:r>
      <w:r w:rsidR="00EE462D">
        <w:t xml:space="preserve"> </w:t>
      </w:r>
      <w:r w:rsidR="00946324">
        <w:t xml:space="preserve">high school graduation rates </w:t>
      </w:r>
      <w:r w:rsidR="008A589C">
        <w:t xml:space="preserve">and two-year college enrollment </w:t>
      </w:r>
      <w:r w:rsidR="00946324">
        <w:t>among participants, they</w:t>
      </w:r>
      <w:r w:rsidR="004E7B13">
        <w:t xml:space="preserve"> similarly</w:t>
      </w:r>
      <w:r w:rsidR="00803338">
        <w:t xml:space="preserve"> </w:t>
      </w:r>
      <w:r w:rsidR="006F236B">
        <w:t>reduce the probability of immediate enrollment in a four-year college</w:t>
      </w:r>
      <w:r w:rsidR="00946324">
        <w:t xml:space="preserve"> </w:t>
      </w:r>
      <w:r w:rsidR="00857FBD">
        <w:fldChar w:fldCharType="begin" w:fldLock="1"/>
      </w:r>
      <w:r w:rsidR="00AC7B3D">
        <w:instrText>ADDIN CSL_CITATION {"citationItems":[{"id":"ITEM-1","itemData":{"DOI":"10.1016/j.econedurev.2005.07.006","ISSN":"02727757","abstract":"By promoting articulation agreements between high schools and community colleges, Tech-Prep programs aim to smooth the transition to college for the middle majority of US high school students. This paper employs a family fixed effects approach to assess the effectiveness of Tech-Prep programs in increasing educational attainment. Using data from six rounds of the 1997 NLSY and controlling for both selection and within-family spillovers, I find that Tech-Prep programs help participants complete high school and encourage enrollment in two-year colleges. On the other hand, these gains come at the expense of four-year college enrollment, suggesting that Tech-Prep programs may divert students from four-year to two-year colleges in the years immediately following high school. While Tech-Prep programs appear to increase overall educational attainment, they may be falling short of their goal of promoting college enrollment among the middle majority. © 2006 Elsevier Ltd. All rights reserved.","author":[{"dropping-particle":"","family":"Cellini","given":"Stephanie Riegg","non-dropping-particle":"","parse-names":false,"suffix":""}],"container-title":"Economics of Education Review","id":"ITEM-1","issue":"4","issued":{"date-parts":[["2006"]]},"page":"394-411","title":"Smoothing the transition to college? The effect of Tech-Prep programs on educational attainment","type":"article-journal","volume":"25"},"uris":["http://www.mendeley.com/documents/?uuid=4d245728-2898-48ff-9ac1-9066043c43c1"]}],"mendeley":{"formattedCitation":"(Cellini, 2006)","plainTextFormattedCitation":"(Cellini, 2006)","previouslyFormattedCitation":"(Cellini, 2006)"},"properties":{"noteIndex":0},"schema":"https://github.com/citation-style-language/schema/raw/master/csl-citation.json"}</w:instrText>
      </w:r>
      <w:r w:rsidR="00857FBD">
        <w:fldChar w:fldCharType="separate"/>
      </w:r>
      <w:r w:rsidR="00857FBD" w:rsidRPr="00857FBD">
        <w:rPr>
          <w:noProof/>
        </w:rPr>
        <w:t>(Cellini, 2006)</w:t>
      </w:r>
      <w:r w:rsidR="00857FBD">
        <w:fldChar w:fldCharType="end"/>
      </w:r>
      <w:r w:rsidR="00857FBD">
        <w:t>.</w:t>
      </w:r>
      <w:r w:rsidR="009B182E">
        <w:t xml:space="preserve"> </w:t>
      </w:r>
      <w:r w:rsidR="00353FBD">
        <w:t>Case study research ha</w:t>
      </w:r>
      <w:r w:rsidR="00DE49BE">
        <w:t>s</w:t>
      </w:r>
      <w:r w:rsidR="00353FBD">
        <w:t xml:space="preserve"> noted that a key issue </w:t>
      </w:r>
      <w:r w:rsidR="00946324">
        <w:t>with the Tech Prep model has been that</w:t>
      </w:r>
      <w:r w:rsidR="00F565A7">
        <w:t xml:space="preserve"> college-level coursework taken during</w:t>
      </w:r>
      <w:r w:rsidR="00946324">
        <w:t xml:space="preserve"> high school </w:t>
      </w:r>
      <w:r w:rsidR="009B182E">
        <w:t>does</w:t>
      </w:r>
      <w:r w:rsidR="00946324">
        <w:t xml:space="preserve"> not </w:t>
      </w:r>
      <w:r w:rsidR="00DD1278">
        <w:t xml:space="preserve">always </w:t>
      </w:r>
      <w:r w:rsidR="00E418AF">
        <w:t xml:space="preserve">automatically </w:t>
      </w:r>
      <w:r w:rsidR="00946324">
        <w:t xml:space="preserve">count towards college credit </w:t>
      </w:r>
      <w:r w:rsidR="00F55ED7">
        <w:fldChar w:fldCharType="begin" w:fldLock="1"/>
      </w:r>
      <w:r w:rsidR="00183C1E">
        <w:instrText>ADDIN CSL_CITATION {"citationItems":[{"id":"ITEM-1","itemData":{"ISBN":"9789079658039","author":[{"dropping-particle":"","family":"Hughes","given":"Katherine L.","non-dropping-particle":"","parse-names":false,"suffix":""},{"dropping-particle":"","family":"Karp","given":"Melinda Mechur","non-dropping-particle":"","parse-names":false,"suffix":""},{"dropping-particle":"","family":"Fermin","given":"Baranda J.","non-dropping-particle":"","parse-names":false,"suffix":""},{"dropping-particle":"","family":"Bailey","given":"Thomas R.","non-dropping-particle":"","parse-names":false,"suffix":""}],"id":"ITEM-1","issued":{"date-parts":[["2005"]]},"number-of-pages":"1-113","publisher-place":"Washington, D.C.","title":"Pathways to College Access and Success","type":"report"},"uris":["http://www.mendeley.com/documents/?uuid=f3294ba0-4f4c-4bb3-b527-2a61f0114947"]}],"mendeley":{"formattedCitation":"(Hughes, Karp, Fermin, &amp; Bailey, 2005)","manualFormatting":"(Hughes et al., 2005)","plainTextFormattedCitation":"(Hughes, Karp, Fermin, &amp; Bailey, 2005)","previouslyFormattedCitation":"(Hughes, Karp, Fermin, &amp; Bailey, 2005)"},"properties":{"noteIndex":0},"schema":"https://github.com/citation-style-language/schema/raw/master/csl-citation.json"}</w:instrText>
      </w:r>
      <w:r w:rsidR="00F55ED7">
        <w:fldChar w:fldCharType="separate"/>
      </w:r>
      <w:r w:rsidR="00F55ED7" w:rsidRPr="00F55ED7">
        <w:rPr>
          <w:noProof/>
        </w:rPr>
        <w:t>(Hughes</w:t>
      </w:r>
      <w:r w:rsidR="0097691B">
        <w:rPr>
          <w:noProof/>
        </w:rPr>
        <w:t xml:space="preserve"> et al.</w:t>
      </w:r>
      <w:r w:rsidR="00F55ED7" w:rsidRPr="00F55ED7">
        <w:rPr>
          <w:noProof/>
        </w:rPr>
        <w:t>, 2005)</w:t>
      </w:r>
      <w:r w:rsidR="00F55ED7">
        <w:fldChar w:fldCharType="end"/>
      </w:r>
      <w:r w:rsidR="00F55ED7">
        <w:t>.</w:t>
      </w:r>
      <w:r w:rsidR="009F5E43">
        <w:t xml:space="preserve"> </w:t>
      </w:r>
      <w:r w:rsidR="00DE49BE">
        <w:t>I</w:t>
      </w:r>
      <w:r w:rsidR="009E0DA6">
        <w:t>n response,</w:t>
      </w:r>
      <w:r w:rsidR="005133A2">
        <w:t xml:space="preserve"> more recent program models have incorporated dual enrollment </w:t>
      </w:r>
      <w:r w:rsidR="00DC0E8F">
        <w:t>opportunities with career and vocational pathways</w:t>
      </w:r>
      <w:r w:rsidR="0029268B">
        <w:t xml:space="preserve"> </w:t>
      </w:r>
      <w:r w:rsidR="0029268B">
        <w:fldChar w:fldCharType="begin" w:fldLock="1"/>
      </w:r>
      <w:r w:rsidR="00E76DDA">
        <w:instrText>ADDIN CSL_CITATION {"citationItems":[{"id":"ITEM-1","itemData":{"DOI":"10.1007/978-3-030-03457-3_3","ISBN":"9783030034573","abstract":"In the past couple of decades, the number of high school students taking college courses via dual enrollment has increased dramatically, and it is becoming more common for high school students to graduate with a substantial number of college credits. We review the empirical studies on dual enrollment, paying attention to research that centers on the student and student outcomes. Our study differs from prior works that provide a comprehensive account of dual enrollment in that these papers either have focused on a general overview of the literature or have concentrated on a specific domain of dual enrollment policy. Because we focus on the student, we can spend more time analyzing the condition of the empirical research. This chapter examines evidence about who participates in dual enrollment and the relation between dual enrollment and educational outcomes. It explores differences in dual enrollment participation and outcomes by student demographics, examines what accounts for differences in dual enrollment outcomes, and compares outcomes from dual enrollment to Advanced Placement. The chapter concludes with directions for future research.","author":[{"dropping-particle":"","family":"An","given":"Brian P.","non-dropping-particle":"","parse-names":false,"suffix":""},{"dropping-particle":"","family":"Taylor","given":"Jason L.","non-dropping-particle":"","parse-names":false,"suffix":""}],"chapter-number":"3","container-title":"Higher Education: Handbook of Theory and Research","editor":[{"dropping-particle":"","family":"Paulsen","given":"M.B.","non-dropping-particle":"","parse-names":false,"suffix":""},{"dropping-particle":"","family":"Perna","given":"Laura W.","non-dropping-particle":"","parse-names":false,"suffix":""}],"id":"ITEM-1","issued":{"date-parts":[["2019"]]},"page":"99-151","publisher":"Springer, Cham","title":"A review of empirical studies on dual enrollment: Assessing educational outcomes","type":"chapter"},"uris":["http://www.mendeley.com/documents/?uuid=00d43850-16ac-473b-bb60-3e7e88a44fc4"]},{"id":"ITEM-2","itemData":{"author":[{"dropping-particle":"","family":"Karp","given":"Melinda Mechur","non-dropping-particle":"","parse-names":false,"suffix":""},{"dropping-particle":"","family":"Calcagno","given":"Juan Carlos","non-dropping-particle":"","parse-names":false,"suffix":""},{"dropping-particle":"","family":"Hughes","given":"Katherine L.","non-dropping-particle":"","parse-names":false,"suffix":""},{"dropping-particle":"","family":"Jeong","given":"Dong Wook","non-dropping-particle":"","parse-names":false,"suffix":""},{"dropping-particle":"","family":"Bailey","given":"Thomas R.","non-dropping-particle":"","parse-names":false,"suffix":""}],"id":"ITEM-2","issued":{"date-parts":[["2007"]]},"number-of-pages":"1-83","publisher-place":"New York, NY","title":"The postsecondary achievement of participants in dual enrollment: An analysis of student outcomes in two states","type":"report"},"uris":["http://www.mendeley.com/documents/?uuid=17634f33-5507-4dd0-bd29-9de66839e4d8"]}],"mendeley":{"formattedCitation":"(An &amp; Taylor, 2019; Karp et al., 2007)","plainTextFormattedCitation":"(An &amp; Taylor, 2019; Karp et al., 2007)","previouslyFormattedCitation":"(An &amp; Taylor, 2019; Karp et al., 2007)"},"properties":{"noteIndex":0},"schema":"https://github.com/citation-style-language/schema/raw/master/csl-citation.json"}</w:instrText>
      </w:r>
      <w:r w:rsidR="0029268B">
        <w:fldChar w:fldCharType="separate"/>
      </w:r>
      <w:r w:rsidR="00A7262B" w:rsidRPr="00A7262B">
        <w:rPr>
          <w:noProof/>
        </w:rPr>
        <w:t>(An &amp; Taylor, 2019; Karp et al., 2007)</w:t>
      </w:r>
      <w:r w:rsidR="0029268B">
        <w:fldChar w:fldCharType="end"/>
      </w:r>
      <w:r w:rsidR="00DC0E8F">
        <w:t>. Findings from these</w:t>
      </w:r>
      <w:r w:rsidR="00051B52">
        <w:t xml:space="preserve"> newer</w:t>
      </w:r>
      <w:r w:rsidR="00DC0E8F">
        <w:t xml:space="preserve"> types of dual enrollment programs in Florida and New York City indicate the opposite trends: </w:t>
      </w:r>
      <w:r w:rsidR="0097691B">
        <w:t>career or technical education</w:t>
      </w:r>
      <w:r w:rsidR="00DC0E8F">
        <w:t xml:space="preserve"> opportunities combined with dual enrollment </w:t>
      </w:r>
      <w:r w:rsidR="00DC0E8F">
        <w:rPr>
          <w:i/>
          <w:iCs/>
        </w:rPr>
        <w:t xml:space="preserve">increase </w:t>
      </w:r>
      <w:r w:rsidR="00DC0E8F">
        <w:t xml:space="preserve">the likelihood of enrolling in a four-year institution by 8.6 percentage points for participating students </w:t>
      </w:r>
      <w:r w:rsidR="00AC7B3D">
        <w:fldChar w:fldCharType="begin" w:fldLock="1"/>
      </w:r>
      <w:r w:rsidR="00CF08F7">
        <w:instrText>ADDIN CSL_CITATION {"citationItems":[{"id":"ITEM-1","itemData":{"author":[{"dropping-particle":"","family":"Karp","given":"Melinda Mechur","non-dropping-particle":"","parse-names":false,"suffix":""},{"dropping-particle":"","family":"Calcagno","given":"Juan Carlos","non-dropping-particle":"","parse-names":false,"suffix":""},{"dropping-particle":"","family":"Hughes","given":"Katherine L.","non-dropping-particle":"","parse-names":false,"suffix":""},{"dropping-particle":"","family":"Jeong","given":"Dong Wook","non-dropping-particle":"","parse-names":false,"suffix":""},{"dropping-particle":"","family":"Bailey","given":"Thomas R.","non-dropping-particle":"","parse-names":false,"suffix":""}],"id":"ITEM-1","issued":{"date-parts":[["2007"]]},"number-of-pages":"1-83","publisher-place":"New York, NY","title":"The postsecondary achievement of participants in dual enrollment: An analysis of student outcomes in two states","type":"report"},"uris":["http://www.mendeley.com/documents/?uuid=17634f33-5507-4dd0-bd29-9de66839e4d8"]}],"mendeley":{"formattedCitation":"(Karp et al., 2007)","plainTextFormattedCitation":"(Karp et al., 2007)","previouslyFormattedCitation":"(Karp et al., 2007)"},"properties":{"noteIndex":0},"schema":"https://github.com/citation-style-language/schema/raw/master/csl-citation.json"}</w:instrText>
      </w:r>
      <w:r w:rsidR="00AC7B3D">
        <w:fldChar w:fldCharType="separate"/>
      </w:r>
      <w:r w:rsidR="00AC7B3D" w:rsidRPr="00AC7B3D">
        <w:rPr>
          <w:noProof/>
        </w:rPr>
        <w:t>(Karp et al., 2007)</w:t>
      </w:r>
      <w:r w:rsidR="00AC7B3D">
        <w:fldChar w:fldCharType="end"/>
      </w:r>
      <w:r w:rsidR="00AC7B3D">
        <w:t>.</w:t>
      </w:r>
      <w:r w:rsidR="005674FD">
        <w:t xml:space="preserve"> These patterns </w:t>
      </w:r>
      <w:r w:rsidR="00C042E9">
        <w:t xml:space="preserve">suggest that </w:t>
      </w:r>
      <w:r w:rsidR="000A4138">
        <w:t xml:space="preserve">more research is needed to investigate the </w:t>
      </w:r>
      <w:r w:rsidR="00D500B1">
        <w:t xml:space="preserve">specific program features </w:t>
      </w:r>
      <w:r w:rsidR="00D94989">
        <w:t xml:space="preserve">of EC </w:t>
      </w:r>
      <w:r w:rsidR="00492FBE">
        <w:t>interventions</w:t>
      </w:r>
      <w:r w:rsidR="00D94989">
        <w:t xml:space="preserve"> </w:t>
      </w:r>
      <w:r w:rsidR="00A605F0">
        <w:t>that affect the type of</w:t>
      </w:r>
      <w:r w:rsidR="00D500B1">
        <w:t xml:space="preserve"> EL postsecondary enrollment</w:t>
      </w:r>
      <w:r w:rsidR="00477696">
        <w:t xml:space="preserve">, especially </w:t>
      </w:r>
      <w:r w:rsidR="00612EAA">
        <w:t>among models offering</w:t>
      </w:r>
      <w:r w:rsidR="00477696">
        <w:t xml:space="preserve"> a vocational or career track</w:t>
      </w:r>
      <w:r w:rsidR="00A83478">
        <w:t>. U</w:t>
      </w:r>
      <w:r w:rsidR="00D500B1">
        <w:t xml:space="preserve">nlike </w:t>
      </w:r>
      <w:r w:rsidR="00CD7A93">
        <w:t xml:space="preserve">some </w:t>
      </w:r>
      <w:r w:rsidR="00D500B1">
        <w:t xml:space="preserve">Tech Prep programs, the EC model under study </w:t>
      </w:r>
      <w:r w:rsidR="00D500B1" w:rsidRPr="0097691B">
        <w:rPr>
          <w:i/>
          <w:iCs/>
        </w:rPr>
        <w:t>did</w:t>
      </w:r>
      <w:r w:rsidR="00D500B1">
        <w:t xml:space="preserve"> </w:t>
      </w:r>
      <w:r w:rsidR="00E824BC">
        <w:t>provide</w:t>
      </w:r>
      <w:r w:rsidR="00D500B1">
        <w:t xml:space="preserve"> students </w:t>
      </w:r>
      <w:r w:rsidR="006D4AAA">
        <w:t xml:space="preserve">with </w:t>
      </w:r>
      <w:r w:rsidR="00D500B1">
        <w:t>both high school and college credit</w:t>
      </w:r>
      <w:r w:rsidR="00832D06">
        <w:t>, so the</w:t>
      </w:r>
      <w:r w:rsidR="003102F7">
        <w:t xml:space="preserve"> program</w:t>
      </w:r>
      <w:r w:rsidR="003A5843">
        <w:t xml:space="preserve"> limitations </w:t>
      </w:r>
      <w:r w:rsidR="00603A93">
        <w:t xml:space="preserve">that induce two-year rather than four-year enrollment </w:t>
      </w:r>
      <w:r w:rsidR="00683EDD">
        <w:t>remain</w:t>
      </w:r>
      <w:r w:rsidR="003A5843">
        <w:t xml:space="preserve"> </w:t>
      </w:r>
      <w:r w:rsidR="008C2B38">
        <w:t>ambiguous</w:t>
      </w:r>
      <w:r w:rsidR="00D94989">
        <w:t xml:space="preserve">. </w:t>
      </w:r>
    </w:p>
    <w:p w14:paraId="492E51C7" w14:textId="4F8F1F31" w:rsidR="000E25D8" w:rsidRDefault="00382F10" w:rsidP="001541EC">
      <w:pPr>
        <w:spacing w:line="480" w:lineRule="auto"/>
        <w:ind w:firstLine="720"/>
      </w:pPr>
      <w:r w:rsidRPr="00E1619C">
        <w:t xml:space="preserve">Another unintended consequence occurs among </w:t>
      </w:r>
      <w:proofErr w:type="gramStart"/>
      <w:r w:rsidR="00451926" w:rsidRPr="00E1619C">
        <w:t>higher</w:t>
      </w:r>
      <w:r w:rsidR="00BA705B">
        <w:t>-</w:t>
      </w:r>
      <w:r w:rsidR="00451926" w:rsidRPr="00E1619C">
        <w:t>achieving</w:t>
      </w:r>
      <w:proofErr w:type="gramEnd"/>
      <w:r w:rsidRPr="00E1619C">
        <w:t xml:space="preserve"> EL students who may have attended college with or without the EC credits and who were choosing between a two-year and four-year college. These students may have under-matched by choosing a two-year college </w:t>
      </w:r>
      <w:proofErr w:type="gramStart"/>
      <w:r w:rsidRPr="00E1619C">
        <w:t>as a result of</w:t>
      </w:r>
      <w:proofErr w:type="gramEnd"/>
      <w:r w:rsidRPr="00E1619C">
        <w:t xml:space="preserve"> their participation in EC. </w:t>
      </w:r>
      <w:r w:rsidR="00520273">
        <w:t>T</w:t>
      </w:r>
      <w:r w:rsidR="004E29AB">
        <w:t>his</w:t>
      </w:r>
      <w:r w:rsidR="00C4606A">
        <w:t xml:space="preserve"> may </w:t>
      </w:r>
      <w:r w:rsidR="0097691B">
        <w:t>also</w:t>
      </w:r>
      <w:r w:rsidR="007009E4">
        <w:t xml:space="preserve"> </w:t>
      </w:r>
      <w:r w:rsidR="00C4606A">
        <w:t xml:space="preserve">be partly explained by the course offerings for the EC program, which primarily included pathways for career or technical education and relatively few courses that would transfer toward academic majors at four-year colleges. </w:t>
      </w:r>
      <w:r w:rsidRPr="00E1619C">
        <w:t xml:space="preserve">Based </w:t>
      </w:r>
      <w:r w:rsidRPr="00E1619C">
        <w:lastRenderedPageBreak/>
        <w:t xml:space="preserve">on the differential degree completion rates and labor market outcomes between the two college sectors, we might be concerned about the long-run effects of the program. </w:t>
      </w:r>
    </w:p>
    <w:bookmarkEnd w:id="13"/>
    <w:p w14:paraId="73D4E733" w14:textId="77777777" w:rsidR="00845633" w:rsidRPr="00A022D5" w:rsidRDefault="00845633" w:rsidP="00845633">
      <w:pPr>
        <w:spacing w:line="480" w:lineRule="auto"/>
        <w:rPr>
          <w:b/>
        </w:rPr>
      </w:pPr>
      <w:r w:rsidRPr="00A022D5">
        <w:rPr>
          <w:b/>
        </w:rPr>
        <w:t>High School Graduation</w:t>
      </w:r>
    </w:p>
    <w:p w14:paraId="49B68E15" w14:textId="68630CEF" w:rsidR="00845633" w:rsidRPr="00E1619C" w:rsidRDefault="00845633" w:rsidP="00845633">
      <w:pPr>
        <w:spacing w:line="480" w:lineRule="auto"/>
        <w:ind w:firstLine="720"/>
      </w:pPr>
      <w:r w:rsidRPr="00A022D5">
        <w:t>We find suggestive evidence for a positive effect on high school graduation. This is worth further inquiry.</w:t>
      </w:r>
      <w:r w:rsidRPr="00F82D72">
        <w:t xml:space="preserve"> Compared to non-ELs, </w:t>
      </w:r>
      <w:r w:rsidRPr="00D45266">
        <w:t>adolescent</w:t>
      </w:r>
      <w:r w:rsidRPr="00C557AA">
        <w:t xml:space="preserve"> ELs graduate </w:t>
      </w:r>
      <w:r w:rsidR="00BA705B">
        <w:t xml:space="preserve">from high school </w:t>
      </w:r>
      <w:r w:rsidRPr="00C557AA">
        <w:t>on time at much lower rates (83%</w:t>
      </w:r>
      <w:r w:rsidRPr="00381788">
        <w:t xml:space="preserve"> and 65%, respectively, ED Data Express, 2017). Data from the first year of our survey, which sampled 11</w:t>
      </w:r>
      <w:r w:rsidRPr="008E2E86">
        <w:rPr>
          <w:vertAlign w:val="superscript"/>
        </w:rPr>
        <w:t>th</w:t>
      </w:r>
      <w:r w:rsidRPr="003528E5">
        <w:t xml:space="preserve"> and 12</w:t>
      </w:r>
      <w:r w:rsidRPr="00AC2148">
        <w:rPr>
          <w:vertAlign w:val="superscript"/>
        </w:rPr>
        <w:t>th</w:t>
      </w:r>
      <w:r w:rsidRPr="00213DF4">
        <w:t xml:space="preserve"> grade students in EC and control high schools, show that as many as one in three students reported having a close friend drop out of high school. This alarming figure is corroborated by administrative data from the district.</w:t>
      </w:r>
      <w:r w:rsidRPr="00E1619C">
        <w:t xml:space="preserve"> More than 30% of students who enrolled in 9</w:t>
      </w:r>
      <w:r w:rsidRPr="00E1619C">
        <w:rPr>
          <w:vertAlign w:val="superscript"/>
        </w:rPr>
        <w:t>th</w:t>
      </w:r>
      <w:r w:rsidRPr="00E1619C">
        <w:t xml:space="preserve"> grade had missing enrollment records for either 11</w:t>
      </w:r>
      <w:r w:rsidRPr="00E1619C">
        <w:rPr>
          <w:vertAlign w:val="superscript"/>
        </w:rPr>
        <w:t>th</w:t>
      </w:r>
      <w:r w:rsidRPr="00E1619C">
        <w:t xml:space="preserve"> or 12</w:t>
      </w:r>
      <w:r w:rsidRPr="00E1619C">
        <w:rPr>
          <w:vertAlign w:val="superscript"/>
        </w:rPr>
        <w:t>th</w:t>
      </w:r>
      <w:r w:rsidRPr="00E1619C">
        <w:t xml:space="preserve"> grade. According to school administrators, many ELs feel that after spending one or two years in U.S. schools they have developed sufficient competency in the English language for survival and employment; they subsequently lose interest in </w:t>
      </w:r>
      <w:r w:rsidR="00BA705B">
        <w:t>continu</w:t>
      </w:r>
      <w:r w:rsidRPr="00E1619C">
        <w:t xml:space="preserve">ing their education because they perceive the high school diploma to provide minimal additional value. </w:t>
      </w:r>
    </w:p>
    <w:p w14:paraId="03FBF439" w14:textId="62C8BE0C" w:rsidR="00845633" w:rsidRPr="008C42ED" w:rsidRDefault="00845633" w:rsidP="008C42ED">
      <w:pPr>
        <w:spacing w:line="480" w:lineRule="auto"/>
        <w:ind w:firstLine="720"/>
        <w:rPr>
          <w:color w:val="000000" w:themeColor="text1"/>
        </w:rPr>
      </w:pPr>
      <w:r w:rsidRPr="00E1619C">
        <w:t>The program features of EC are intended to address this type of disengagement. Although we do not currently have robust evidence for a positive impact on high school graduation, the suggestive evidence is encouraging. By offering engaging college opportunities with structured academic support, the program may provide an incentive for students who would have otherwise left high school before 12</w:t>
      </w:r>
      <w:r w:rsidRPr="00E1619C">
        <w:rPr>
          <w:vertAlign w:val="superscript"/>
        </w:rPr>
        <w:t>th</w:t>
      </w:r>
      <w:r w:rsidRPr="00E1619C">
        <w:t xml:space="preserve"> grade to stay for the diploma and complete a major milestone necessary for college access. </w:t>
      </w:r>
      <w:r w:rsidR="001C440F">
        <w:t xml:space="preserve">Indeed, existing research suggests that vocational or career oriented dual enrollment </w:t>
      </w:r>
      <w:r w:rsidR="004517B3">
        <w:t>opportunities</w:t>
      </w:r>
      <w:r w:rsidR="001C440F">
        <w:t xml:space="preserve"> do not hinder the probability of students graduating from high school or attending college </w:t>
      </w:r>
      <w:r w:rsidR="001C440F">
        <w:fldChar w:fldCharType="begin" w:fldLock="1"/>
      </w:r>
      <w:r w:rsidR="00F8442D">
        <w:instrText>ADDIN CSL_CITATION {"citationItems":[{"id":"ITEM-1","itemData":{"author":[{"dropping-particle":"","family":"Karp","given":"Melinda Mechur","non-dropping-particle":"","parse-names":false,"suffix":""},{"dropping-particle":"","family":"Calcagno","given":"Juan Carlos","non-dropping-particle":"","parse-names":false,"suffix":""},{"dropping-particle":"","family":"Hughes","given":"Katherine L.","non-dropping-particle":"","parse-names":false,"suffix":""},{"dropping-particle":"","family":"Jeong","given":"Dong Wook","non-dropping-particle":"","parse-names":false,"suffix":""},{"dropping-particle":"","family":"Bailey","given":"Thomas R.","non-dropping-particle":"","parse-names":false,"suffix":""}],"id":"ITEM-1","issued":{"date-parts":[["2007"]]},"number-of-pages":"1-83","publisher-place":"New York, NY","title":"The postsecondary achievement of participants in dual enrollment: An analysis of student outcomes in two states","type":"report"},"uris":["http://www.mendeley.com/documents/?uuid=17634f33-5507-4dd0-bd29-9de66839e4d8"]}],"mendeley":{"formattedCitation":"(Karp et al., 2007)","plainTextFormattedCitation":"(Karp et al., 2007)","previouslyFormattedCitation":"(Karp et al., 2007)"},"properties":{"noteIndex":0},"schema":"https://github.com/citation-style-language/schema/raw/master/csl-citation.json"}</w:instrText>
      </w:r>
      <w:r w:rsidR="001C440F">
        <w:fldChar w:fldCharType="separate"/>
      </w:r>
      <w:r w:rsidR="001C440F" w:rsidRPr="001C440F">
        <w:rPr>
          <w:noProof/>
        </w:rPr>
        <w:t>(Karp et al., 2007)</w:t>
      </w:r>
      <w:r w:rsidR="001C440F">
        <w:fldChar w:fldCharType="end"/>
      </w:r>
      <w:r w:rsidR="008B0EDA">
        <w:t xml:space="preserve">; and some </w:t>
      </w:r>
      <w:r w:rsidR="00E05362">
        <w:t xml:space="preserve">programs with related </w:t>
      </w:r>
      <w:r w:rsidR="009732A9">
        <w:t>structures</w:t>
      </w:r>
      <w:r w:rsidR="00E05362">
        <w:t>, such as Tech Prep,</w:t>
      </w:r>
      <w:r w:rsidR="008B0EDA">
        <w:rPr>
          <w:i/>
          <w:iCs/>
        </w:rPr>
        <w:t xml:space="preserve"> </w:t>
      </w:r>
      <w:r w:rsidR="008B0EDA">
        <w:t>similarly improve graduation rates</w:t>
      </w:r>
      <w:r w:rsidR="00E76DDA">
        <w:t xml:space="preserve"> </w:t>
      </w:r>
      <w:r w:rsidR="00E76DDA">
        <w:fldChar w:fldCharType="begin" w:fldLock="1"/>
      </w:r>
      <w:r w:rsidR="00F15316">
        <w:instrText>ADDIN CSL_CITATION {"citationItems":[{"id":"ITEM-1","itemData":{"DOI":"10.1016/j.econedurev.2005.07.006","ISSN":"02727757","abstract":"By promoting articulation agreements between high schools and community colleges, Tech-Prep programs aim to smooth the transition to college for the middle majority of US high school students. This paper employs a family fixed effects approach to assess the effectiveness of Tech-Prep programs in increasing educational attainment. Using data from six rounds of the 1997 NLSY and controlling for both selection and within-family spillovers, I find that Tech-Prep programs help participants complete high school and encourage enrollment in two-year colleges. On the other hand, these gains come at the expense of four-year college enrollment, suggesting that Tech-Prep programs may divert students from four-year to two-year colleges in the years immediately following high school. While Tech-Prep programs appear to increase overall educational attainment, they may be falling short of their goal of promoting college enrollment among the middle majority. © 2006 Elsevier Ltd. All rights reserved.","author":[{"dropping-particle":"","family":"Cellini","given":"Stephanie Riegg","non-dropping-particle":"","parse-names":false,"suffix":""}],"container-title":"Economics of Education Review","id":"ITEM-1","issue":"4","issued":{"date-parts":[["2006"]]},"page":"394-411","title":"Smoothing the transition to college? The effect of Tech-Prep programs on educational attainment","type":"article-journal","volume":"25"},"uris":["http://www.mendeley.com/documents/?uuid=4d245728-2898-48ff-9ac1-9066043c43c1"]}],"mendeley":{"formattedCitation":"(Cellini, 2006)","plainTextFormattedCitation":"(Cellini, 2006)","previouslyFormattedCitation":"(Cellini, 2006)"},"properties":{"noteIndex":0},"schema":"https://github.com/citation-style-language/schema/raw/master/csl-citation.json"}</w:instrText>
      </w:r>
      <w:r w:rsidR="00E76DDA">
        <w:fldChar w:fldCharType="separate"/>
      </w:r>
      <w:r w:rsidR="00E76DDA" w:rsidRPr="00E76DDA">
        <w:rPr>
          <w:noProof/>
        </w:rPr>
        <w:t>(Cellini, 2006)</w:t>
      </w:r>
      <w:r w:rsidR="00E76DDA">
        <w:fldChar w:fldCharType="end"/>
      </w:r>
      <w:r w:rsidR="001C440F">
        <w:t xml:space="preserve">. </w:t>
      </w:r>
      <w:r w:rsidRPr="00E1619C">
        <w:t>To date, only 11</w:t>
      </w:r>
      <w:r w:rsidRPr="00E1619C">
        <w:rPr>
          <w:vertAlign w:val="superscript"/>
        </w:rPr>
        <w:t>th</w:t>
      </w:r>
      <w:r w:rsidRPr="00E1619C">
        <w:t xml:space="preserve"> and 12</w:t>
      </w:r>
      <w:r w:rsidRPr="00E1619C">
        <w:rPr>
          <w:vertAlign w:val="superscript"/>
        </w:rPr>
        <w:t>th</w:t>
      </w:r>
      <w:r w:rsidRPr="00E1619C">
        <w:t xml:space="preserve"> </w:t>
      </w:r>
      <w:r w:rsidRPr="00E1619C">
        <w:lastRenderedPageBreak/>
        <w:t>graders have participated in the program. However, younger students and their families in the district are becoming more familiar with the program as time passes. If they perceive EC participation as an onramp to better labor market opportunities, 9</w:t>
      </w:r>
      <w:r w:rsidRPr="00E1619C">
        <w:rPr>
          <w:vertAlign w:val="superscript"/>
        </w:rPr>
        <w:t>th</w:t>
      </w:r>
      <w:r w:rsidRPr="00E1619C">
        <w:t xml:space="preserve"> and 10</w:t>
      </w:r>
      <w:r w:rsidRPr="00E1619C">
        <w:rPr>
          <w:vertAlign w:val="superscript"/>
        </w:rPr>
        <w:t>th</w:t>
      </w:r>
      <w:r w:rsidRPr="00E1619C">
        <w:t xml:space="preserve"> graders could be enticed to stay in school longer. </w:t>
      </w:r>
    </w:p>
    <w:p w14:paraId="3CA1A6FC" w14:textId="77777777" w:rsidR="00382F10" w:rsidRPr="00E1619C" w:rsidRDefault="00382F10" w:rsidP="006B7956">
      <w:pPr>
        <w:keepNext/>
        <w:spacing w:line="480" w:lineRule="auto"/>
        <w:jc w:val="center"/>
        <w:rPr>
          <w:b/>
          <w:bCs/>
        </w:rPr>
      </w:pPr>
      <w:r w:rsidRPr="00E1619C">
        <w:rPr>
          <w:b/>
          <w:bCs/>
        </w:rPr>
        <w:t>Conclusion</w:t>
      </w:r>
    </w:p>
    <w:p w14:paraId="208FD390" w14:textId="4A2FC7D9" w:rsidR="00382F10" w:rsidRPr="00E1619C" w:rsidRDefault="00793185" w:rsidP="00382F10">
      <w:pPr>
        <w:spacing w:line="480" w:lineRule="auto"/>
        <w:ind w:firstLine="720"/>
      </w:pPr>
      <w:r>
        <w:t>In this paper,</w:t>
      </w:r>
      <w:r w:rsidR="00382F10" w:rsidRPr="00E1619C">
        <w:t xml:space="preserve"> we have looked at the </w:t>
      </w:r>
      <w:r w:rsidR="002C4F48">
        <w:t>effects</w:t>
      </w:r>
      <w:r w:rsidR="00382F10" w:rsidRPr="00E1619C">
        <w:t xml:space="preserve"> of the Early College program on high school graduation and subsequent college enrollment for EL students. Our study contributes to the growing need to better understand the academic and postsecondary experiences of ELs. The results from our analysis suggest that the effects of EC may only partially extend to EL students in the same ways it does for other underrepresented groups, at least with regards to immediate and four-year college enrollment. These results corroborate some descriptive case study research</w:t>
      </w:r>
      <w:r w:rsidR="00382F10" w:rsidRPr="00E1619C">
        <w:rPr>
          <w:b/>
          <w:bCs/>
        </w:rPr>
        <w:t xml:space="preserve"> </w:t>
      </w:r>
      <w:r w:rsidR="00382F10" w:rsidRPr="00E1619C">
        <w:t xml:space="preserve">suggesting that removing institutional barriers to more rigorous coursework may be “necessary but not sufficient” for ELs (Thompson, 2017). </w:t>
      </w:r>
    </w:p>
    <w:p w14:paraId="48B3EFC3" w14:textId="0F49750E" w:rsidR="00382F10" w:rsidRPr="00F71EEE" w:rsidRDefault="00382F10" w:rsidP="00887C04">
      <w:pPr>
        <w:spacing w:line="480" w:lineRule="auto"/>
        <w:ind w:firstLine="720"/>
      </w:pPr>
      <w:r w:rsidRPr="00E1619C">
        <w:t xml:space="preserve">Given the limited number of college access interventions specifically targeted at ELs, it is discouraging to see that there are limitations to extending an existing program to this student population. However, our work is informative in showcasing where EC may move the needle and where it may not—credits </w:t>
      </w:r>
      <w:r w:rsidR="00B70679">
        <w:t xml:space="preserve">for two college courses </w:t>
      </w:r>
      <w:r w:rsidRPr="00E1619C">
        <w:t xml:space="preserve">may not be sufficient to push students towards continuing their college education, but the opportunity to earn more of these credits earlier in their high school career may have different </w:t>
      </w:r>
      <w:r w:rsidR="00956640">
        <w:t>results</w:t>
      </w:r>
      <w:r w:rsidRPr="00E1619C">
        <w:t xml:space="preserve">. EC may also have a dynamic effect on college aspirations and student performance that we were not able to explore in this paper. Additionally, EC may simply not sufficiently address some of the other obstacles that affect EL students, such as financial and family obligations. </w:t>
      </w:r>
      <w:r w:rsidRPr="00F82D72">
        <w:t>Núñez</w:t>
      </w:r>
      <w:r w:rsidRPr="00D45266">
        <w:t xml:space="preserve"> </w:t>
      </w:r>
      <w:r w:rsidR="00250059">
        <w:t>and colleagues</w:t>
      </w:r>
      <w:r w:rsidRPr="00D45266">
        <w:t xml:space="preserve"> (2016), </w:t>
      </w:r>
      <w:r w:rsidR="00250059">
        <w:t>for example</w:t>
      </w:r>
      <w:r w:rsidRPr="00D45266">
        <w:t>, ha</w:t>
      </w:r>
      <w:r w:rsidRPr="00C557AA">
        <w:t xml:space="preserve">ve </w:t>
      </w:r>
      <w:r w:rsidRPr="00F71EEE">
        <w:t>suggested exploring other approaches to improve access</w:t>
      </w:r>
      <w:r w:rsidR="00B93CD3">
        <w:t xml:space="preserve"> for ELs</w:t>
      </w:r>
      <w:r w:rsidRPr="00F71EEE">
        <w:t>, such as</w:t>
      </w:r>
      <w:r w:rsidR="00887C04">
        <w:t xml:space="preserve"> </w:t>
      </w:r>
      <w:r w:rsidR="007B71DA" w:rsidRPr="00CB1DBD">
        <w:rPr>
          <w:color w:val="0070C0"/>
        </w:rPr>
        <w:t>more thoughtfully</w:t>
      </w:r>
      <w:r w:rsidR="006B6424" w:rsidRPr="00CB1DBD">
        <w:rPr>
          <w:color w:val="0070C0"/>
        </w:rPr>
        <w:t xml:space="preserve"> </w:t>
      </w:r>
      <w:r w:rsidR="00253CE7" w:rsidRPr="00CB1DBD">
        <w:rPr>
          <w:color w:val="0070C0"/>
        </w:rPr>
        <w:lastRenderedPageBreak/>
        <w:t>an</w:t>
      </w:r>
      <w:r w:rsidR="00CB1DBD" w:rsidRPr="00CB1DBD">
        <w:rPr>
          <w:color w:val="0070C0"/>
        </w:rPr>
        <w:t>d</w:t>
      </w:r>
      <w:r w:rsidR="00253CE7" w:rsidRPr="00CB1DBD">
        <w:rPr>
          <w:color w:val="0070C0"/>
        </w:rPr>
        <w:t xml:space="preserve"> intentionally </w:t>
      </w:r>
      <w:r w:rsidR="00887C04" w:rsidRPr="00CB1DBD">
        <w:rPr>
          <w:color w:val="0070C0"/>
        </w:rPr>
        <w:t xml:space="preserve">integrating </w:t>
      </w:r>
      <w:r w:rsidR="00F64B1E" w:rsidRPr="00CB1DBD">
        <w:rPr>
          <w:color w:val="0070C0"/>
        </w:rPr>
        <w:t>both</w:t>
      </w:r>
      <w:r w:rsidR="00F64B1E" w:rsidRPr="00CB1DBD">
        <w:rPr>
          <w:i/>
          <w:iCs/>
          <w:color w:val="0070C0"/>
        </w:rPr>
        <w:t xml:space="preserve"> </w:t>
      </w:r>
      <w:r w:rsidR="00887C04" w:rsidRPr="00CB1DBD">
        <w:rPr>
          <w:color w:val="0070C0"/>
        </w:rPr>
        <w:t xml:space="preserve">academic and vocational education to provide </w:t>
      </w:r>
      <w:r w:rsidRPr="00CB1DBD">
        <w:rPr>
          <w:i/>
          <w:iCs/>
          <w:color w:val="0070C0"/>
        </w:rPr>
        <w:t>multiple</w:t>
      </w:r>
      <w:r w:rsidRPr="00CB1DBD">
        <w:rPr>
          <w:color w:val="0070C0"/>
        </w:rPr>
        <w:t xml:space="preserve"> pathways to </w:t>
      </w:r>
      <w:r w:rsidR="00442D88" w:rsidRPr="00CB1DBD">
        <w:rPr>
          <w:color w:val="0070C0"/>
        </w:rPr>
        <w:t xml:space="preserve">career and </w:t>
      </w:r>
      <w:r w:rsidRPr="00CB1DBD">
        <w:rPr>
          <w:color w:val="0070C0"/>
        </w:rPr>
        <w:t xml:space="preserve">postsecondary success </w:t>
      </w:r>
      <w:r w:rsidRPr="00F71EEE">
        <w:t xml:space="preserve">(Gandara, 2008; Oakes &amp; Saunders, </w:t>
      </w:r>
      <w:r w:rsidRPr="00D129E0">
        <w:t xml:space="preserve">2008). </w:t>
      </w:r>
      <w:bookmarkStart w:id="14" w:name="_Hlk79072657"/>
      <w:bookmarkStart w:id="15" w:name="_Hlk79073012"/>
      <w:r w:rsidR="00D36BB8">
        <w:t xml:space="preserve">This recommendation is corroborated by existing </w:t>
      </w:r>
      <w:r w:rsidR="00B2118E" w:rsidRPr="00D129E0">
        <w:t>s</w:t>
      </w:r>
      <w:r w:rsidR="00BE04FF" w:rsidRPr="00D129E0">
        <w:t>tudies of dual enrollment</w:t>
      </w:r>
      <w:bookmarkEnd w:id="14"/>
      <w:r w:rsidR="00BE04FF" w:rsidRPr="00D129E0">
        <w:t xml:space="preserve"> </w:t>
      </w:r>
      <w:bookmarkEnd w:id="15"/>
      <w:r w:rsidR="00BE04FF" w:rsidRPr="00D129E0">
        <w:t xml:space="preserve">with </w:t>
      </w:r>
      <w:r w:rsidR="0097691B">
        <w:t>career or technical</w:t>
      </w:r>
      <w:r w:rsidR="00BE04FF" w:rsidRPr="00D129E0">
        <w:t xml:space="preserve"> </w:t>
      </w:r>
      <w:r w:rsidR="00054738">
        <w:t xml:space="preserve">education </w:t>
      </w:r>
      <w:r w:rsidR="00BE04FF" w:rsidRPr="00D129E0">
        <w:t>options</w:t>
      </w:r>
      <w:r w:rsidR="00D36BB8">
        <w:t>, which</w:t>
      </w:r>
      <w:r w:rsidR="00BE04FF" w:rsidRPr="00D129E0">
        <w:t xml:space="preserve"> suggest that participants have an increased likelihood of enrolling a </w:t>
      </w:r>
      <w:r w:rsidR="001C5C06" w:rsidRPr="00D129E0">
        <w:t>four</w:t>
      </w:r>
      <w:r w:rsidR="00BE04FF" w:rsidRPr="00D129E0">
        <w:t xml:space="preserve">-year college as well as improved academic performance (as measured by GPA) once in college </w:t>
      </w:r>
      <w:r w:rsidR="00F8442D" w:rsidRPr="00D129E0">
        <w:fldChar w:fldCharType="begin" w:fldLock="1"/>
      </w:r>
      <w:r w:rsidR="007D1A23" w:rsidRPr="00D129E0">
        <w:instrText>ADDIN CSL_CITATION {"citationItems":[{"id":"ITEM-1","itemData":{"author":[{"dropping-particle":"","family":"Karp","given":"Melinda Mechur","non-dropping-particle":"","parse-names":false,"suffix":""},{"dropping-particle":"","family":"Calcagno","given":"Juan Carlos","non-dropping-particle":"","parse-names":false,"suffix":""},{"dropping-particle":"","family":"Hughes","given":"Katherine L.","non-dropping-particle":"","parse-names":false,"suffix":""},{"dropping-particle":"","family":"Jeong","given":"Dong Wook","non-dropping-particle":"","parse-names":false,"suffix":""},{"dropping-particle":"","family":"Bailey","given":"Thomas R.","non-dropping-particle":"","parse-names":false,"suffix":""}],"id":"ITEM-1","issued":{"date-parts":[["2007"]]},"number-of-pages":"1-83","publisher-place":"New York, NY","title":"The postsecondary achievement of participants in dual enrollment: An analysis of student outcomes in two states","type":"report"},"uris":["http://www.mendeley.com/documents/?uuid=17634f33-5507-4dd0-bd29-9de66839e4d8"]},{"id":"ITEM-2","itemData":{"DOI":"10.1177/0091552115569846","ISSN":"19402325","author":[{"dropping-particle":"","family":"Wang","given":"Xueli","non-dropping-particle":"","parse-names":false,"suffix":""},{"dropping-particle":"","family":"Chan","given":"Hsun-yu","non-dropping-particle":"","parse-names":false,"suffix":""},{"dropping-particle":"","family":"Phelps","given":"L. Allen","non-dropping-particle":"","parse-names":false,"suffix":""},{"dropping-particle":"","family":"Washbon","given":"Janet I.","non-dropping-particle":"","parse-names":false,"suffix":""}],"container-title":"Community College Review","id":"ITEM-2","issue":"2","issued":{"date-parts":[["2015"]]},"page":"165-190","title":"Fuel for success: Academic momentum as a mediator between dual enrollment and educational outcomes of two-year technical college students","type":"article-journal","volume":"43"},"uris":["http://www.mendeley.com/documents/?uuid=a9ceb29b-f049-4f94-8ed7-4c6de56d01ea"]}],"mendeley":{"formattedCitation":"(Karp et al., 2007; Wang et al., 2015)","plainTextFormattedCitation":"(Karp et al., 2007; Wang et al., 2015)","previouslyFormattedCitation":"(Karp et al., 2007; Wang et al., 2015)"},"properties":{"noteIndex":0},"schema":"https://github.com/citation-style-language/schema/raw/master/csl-citation.json"}</w:instrText>
      </w:r>
      <w:r w:rsidR="00F8442D" w:rsidRPr="00D129E0">
        <w:fldChar w:fldCharType="separate"/>
      </w:r>
      <w:r w:rsidR="00C72D1C" w:rsidRPr="00D129E0">
        <w:rPr>
          <w:noProof/>
        </w:rPr>
        <w:t>(Karp et al., 2007; Wang et al., 2015)</w:t>
      </w:r>
      <w:r w:rsidR="00F8442D" w:rsidRPr="00D129E0">
        <w:fldChar w:fldCharType="end"/>
      </w:r>
      <w:r w:rsidR="00D129E0">
        <w:t xml:space="preserve">—however, we know little about </w:t>
      </w:r>
      <w:r w:rsidR="00D36BB8">
        <w:t>which specific program features</w:t>
      </w:r>
      <w:r w:rsidR="00464827">
        <w:t xml:space="preserve"> of these interventions</w:t>
      </w:r>
      <w:r w:rsidR="00D36BB8">
        <w:t xml:space="preserve"> </w:t>
      </w:r>
      <w:r w:rsidR="00D129E0">
        <w:t xml:space="preserve">may </w:t>
      </w:r>
      <w:r w:rsidR="00633F10">
        <w:t xml:space="preserve">best </w:t>
      </w:r>
      <w:r w:rsidR="00D129E0">
        <w:t xml:space="preserve">apply to the EL student population. </w:t>
      </w:r>
    </w:p>
    <w:p w14:paraId="5D668000" w14:textId="60697AE7" w:rsidR="00B34E69" w:rsidRDefault="00476506" w:rsidP="00B34E69">
      <w:pPr>
        <w:spacing w:line="480" w:lineRule="auto"/>
        <w:ind w:firstLine="720"/>
      </w:pPr>
      <w:r>
        <w:t>Only recently have a handful of descriptive, multivariate studies begun to examine how the plurality of EL identities, such as immigrant advantage and undocumented immigrant status</w:t>
      </w:r>
      <w:r w:rsidR="00DA5604">
        <w:t xml:space="preserve">, converge to shape </w:t>
      </w:r>
      <w:r w:rsidR="001D29AE">
        <w:t>postsecondary</w:t>
      </w:r>
      <w:r w:rsidR="00DA5604">
        <w:t xml:space="preserve"> path</w:t>
      </w:r>
      <w:r w:rsidR="001D29AE">
        <w:t>ways</w:t>
      </w:r>
      <w:r w:rsidR="00955484">
        <w:t xml:space="preserve"> in different ways than other disadvantaged youth</w:t>
      </w:r>
      <w:r>
        <w:t xml:space="preserve"> (Callahan &amp; Humphries, 2016; Cromley &amp; Kanno, 2013; Cromley &amp; Kanno, 2015; Rodriguez &amp; Cruz, 2009).</w:t>
      </w:r>
      <w:r w:rsidR="003C72FD">
        <w:t xml:space="preserve"> But r</w:t>
      </w:r>
      <w:r w:rsidR="003C72FD" w:rsidRPr="00F71EEE">
        <w:t>esearchers need to continue studying and theorizing the ways in which ELs’ intersecting demographic characteristics play into their postsecondary access and attainment</w:t>
      </w:r>
      <w:r w:rsidR="003C72FD">
        <w:t xml:space="preserve"> using data from a variety of policy contexts. </w:t>
      </w:r>
      <w:bookmarkStart w:id="16" w:name="_Hlk78980958"/>
      <w:bookmarkStart w:id="17" w:name="_Hlk78981094"/>
      <w:r w:rsidR="00BA705B">
        <w:t xml:space="preserve">This study </w:t>
      </w:r>
      <w:r w:rsidR="00490209">
        <w:t xml:space="preserve">focuses on a large district in California with a long history of educating diverse immigrant student populations. </w:t>
      </w:r>
      <w:r w:rsidR="00DA5604">
        <w:t xml:space="preserve">However, the </w:t>
      </w:r>
      <w:r w:rsidR="00490209">
        <w:t xml:space="preserve">district’s extensive and unique experience serving ELs makes our results unlikely to generalize to smaller and new-destination districts. Researchers need to </w:t>
      </w:r>
      <w:r w:rsidR="004B265B">
        <w:t xml:space="preserve">continue </w:t>
      </w:r>
      <w:r w:rsidR="00490209">
        <w:t>gather</w:t>
      </w:r>
      <w:r w:rsidR="004B265B">
        <w:t>ing</w:t>
      </w:r>
      <w:r w:rsidR="00490209">
        <w:t xml:space="preserve"> much more evidence across the nation</w:t>
      </w:r>
      <w:r w:rsidR="004B265B">
        <w:t>, because w</w:t>
      </w:r>
      <w:r w:rsidR="00382F10" w:rsidRPr="00F71EEE">
        <w:t>e still know relatively little about how the overlapping features of the EL experience affect their trajectories after they leave high school</w:t>
      </w:r>
      <w:r w:rsidR="004B265B">
        <w:t>.</w:t>
      </w:r>
      <w:r w:rsidR="00666A4C">
        <w:t xml:space="preserve"> </w:t>
      </w:r>
      <w:bookmarkEnd w:id="16"/>
      <w:r w:rsidR="004B265B">
        <w:t>W</w:t>
      </w:r>
      <w:r w:rsidR="00382F10" w:rsidRPr="00F71EEE">
        <w:t xml:space="preserve">e plan to investigate </w:t>
      </w:r>
      <w:r w:rsidR="00904EB9">
        <w:t xml:space="preserve">some of </w:t>
      </w:r>
      <w:r w:rsidR="00382F10" w:rsidRPr="00F71EEE">
        <w:t xml:space="preserve">these matters in future work that traces student experiences </w:t>
      </w:r>
      <w:r w:rsidR="00BA705B" w:rsidRPr="00F71EEE">
        <w:t xml:space="preserve">more closely </w:t>
      </w:r>
      <w:r w:rsidR="00382F10" w:rsidRPr="00F71EEE">
        <w:t xml:space="preserve">through interviews. </w:t>
      </w:r>
    </w:p>
    <w:p w14:paraId="76AF8C0D" w14:textId="101C543C" w:rsidR="00382F10" w:rsidRPr="00F71EEE" w:rsidRDefault="003509DE">
      <w:pPr>
        <w:spacing w:line="480" w:lineRule="auto"/>
        <w:ind w:firstLine="720"/>
      </w:pPr>
      <w:r>
        <w:t>A few other limitations for this study are worth noting. First, as with all designs that employ fixed effects, we are</w:t>
      </w:r>
      <w:r w:rsidR="00EB70FE">
        <w:t xml:space="preserve"> </w:t>
      </w:r>
      <w:r w:rsidR="007632F1">
        <w:t xml:space="preserve">unable to account for unobserved time-varying school or cohort </w:t>
      </w:r>
      <w:r w:rsidR="007632F1">
        <w:lastRenderedPageBreak/>
        <w:t xml:space="preserve">characteristics that are correlated with both EC implementation and the outcomes. We interpret our estimates with consideration for potential biases related to unobserved, omitted covariates. </w:t>
      </w:r>
      <w:bookmarkStart w:id="18" w:name="_Hlk78980293"/>
      <w:r w:rsidR="007632F1">
        <w:t xml:space="preserve">Second, </w:t>
      </w:r>
      <w:r w:rsidR="00EB70FE">
        <w:t xml:space="preserve">our analysis on college credits only included credits earned from enrolling in community college classes while students were still in high school and </w:t>
      </w:r>
      <w:r w:rsidR="008C0B38">
        <w:t>did</w:t>
      </w:r>
      <w:r w:rsidR="00EB70FE">
        <w:t xml:space="preserve"> not consider Advanced Placement, International Baccalaureate, or similar programs that award students with credits once enroll in college. We were unable to account for the credits that students in the study cohorts may have received from these other programs after they started college.</w:t>
      </w:r>
      <w:bookmarkEnd w:id="18"/>
      <w:r w:rsidR="00EB70FE">
        <w:t xml:space="preserve"> </w:t>
      </w:r>
      <w:r w:rsidR="00B70679" w:rsidRPr="00E1619C">
        <w:t>A</w:t>
      </w:r>
      <w:r w:rsidR="00BA705B">
        <w:t>nother</w:t>
      </w:r>
      <w:r w:rsidR="00B70679" w:rsidRPr="00E1619C">
        <w:t xml:space="preserve"> limitation of this study is that we were not able to </w:t>
      </w:r>
      <w:r w:rsidR="00490209">
        <w:t>detail</w:t>
      </w:r>
      <w:r w:rsidR="00B70679" w:rsidRPr="00E1619C">
        <w:t xml:space="preserve"> student performance or aspiration</w:t>
      </w:r>
      <w:r w:rsidR="00490209">
        <w:t>s</w:t>
      </w:r>
      <w:r w:rsidR="00B70679" w:rsidRPr="00E1619C">
        <w:t xml:space="preserve">. Additional research is needed to tease out the dynamic role that EC may play in shifting EL aspirations and how this may interact with their overall academic performance in high school and in EC coursework. </w:t>
      </w:r>
      <w:r w:rsidR="00382F10" w:rsidRPr="00F71EEE">
        <w:t>O</w:t>
      </w:r>
      <w:r w:rsidR="00BA705B">
        <w:t xml:space="preserve">ur </w:t>
      </w:r>
      <w:r w:rsidR="00382F10" w:rsidRPr="00F71EEE">
        <w:t xml:space="preserve">future research also intends to examine the impact of EC on certificate and degree completion </w:t>
      </w:r>
      <w:r w:rsidR="005D7BDC" w:rsidRPr="00CB1DBD">
        <w:rPr>
          <w:color w:val="0070C0"/>
        </w:rPr>
        <w:t xml:space="preserve">long term (e.g., </w:t>
      </w:r>
      <w:r w:rsidR="00CF533C" w:rsidRPr="00CB1DBD">
        <w:rPr>
          <w:color w:val="0070C0"/>
        </w:rPr>
        <w:t xml:space="preserve">five to </w:t>
      </w:r>
      <w:r w:rsidR="00146DD1" w:rsidRPr="00CB1DBD">
        <w:rPr>
          <w:color w:val="0070C0"/>
        </w:rPr>
        <w:t>ten years</w:t>
      </w:r>
      <w:r w:rsidR="005D7BDC" w:rsidRPr="00CB1DBD">
        <w:rPr>
          <w:color w:val="0070C0"/>
        </w:rPr>
        <w:t>)</w:t>
      </w:r>
      <w:r w:rsidR="00382F10" w:rsidRPr="00F71EEE">
        <w:t xml:space="preserve">. The </w:t>
      </w:r>
      <w:r w:rsidR="002C4F48">
        <w:t xml:space="preserve">estimated </w:t>
      </w:r>
      <w:r w:rsidR="00382F10" w:rsidRPr="00F71EEE">
        <w:t xml:space="preserve">positive </w:t>
      </w:r>
      <w:r w:rsidR="002C4F48">
        <w:t>effect</w:t>
      </w:r>
      <w:r w:rsidR="00382F10" w:rsidRPr="00F71EEE">
        <w:t xml:space="preserve">s in college credit accumulation while in high school signals the program was implemented as intended, and knowing these credits apply may incentivize EL students to enroll in college at later dates. Existing research examining the long-term effects of EC on student outcomes suggests that the effects of these types of programs continue for up to six years after high school graduation (Song &amp; Zeiser, 2019). Perhaps the effects of EC will show in later years for the students in our sample. </w:t>
      </w:r>
    </w:p>
    <w:bookmarkEnd w:id="17"/>
    <w:p w14:paraId="354AAC1B" w14:textId="4C8F6767" w:rsidR="00A36C80" w:rsidRPr="00F71EEE" w:rsidRDefault="00C87C11" w:rsidP="00C56D71">
      <w:pPr>
        <w:spacing w:line="480" w:lineRule="auto"/>
        <w:jc w:val="center"/>
        <w:rPr>
          <w:b/>
          <w:bCs/>
        </w:rPr>
      </w:pPr>
      <w:r w:rsidRPr="00F71EEE">
        <w:rPr>
          <w:b/>
          <w:bCs/>
        </w:rPr>
        <w:t>Notes</w:t>
      </w:r>
    </w:p>
    <w:p w14:paraId="098533CC" w14:textId="58208BEE" w:rsidR="00C41CE9" w:rsidRPr="00F71EEE" w:rsidRDefault="00C87C11" w:rsidP="00C87C11">
      <w:pPr>
        <w:spacing w:line="480" w:lineRule="auto"/>
      </w:pPr>
      <w:r w:rsidRPr="00F71EEE">
        <w:rPr>
          <w:vertAlign w:val="superscript"/>
        </w:rPr>
        <w:t>1</w:t>
      </w:r>
      <w:r w:rsidRPr="00F71EEE">
        <w:t xml:space="preserve">All students in the whole grade </w:t>
      </w:r>
      <w:r w:rsidR="006541AB" w:rsidRPr="00F71EEE">
        <w:t>at treated high schools were eligible for and by default enrolled in EC</w:t>
      </w:r>
      <w:r w:rsidR="00C56D71" w:rsidRPr="00F71EEE">
        <w:t>, but some</w:t>
      </w:r>
      <w:r w:rsidR="002600F7" w:rsidRPr="00F71EEE">
        <w:t xml:space="preserve"> appear to have opted out, as reflected in the absence of college course records in the data</w:t>
      </w:r>
      <w:r w:rsidR="00C56D71" w:rsidRPr="00F71EEE">
        <w:t xml:space="preserve">. </w:t>
      </w:r>
      <w:r w:rsidR="00C41CE9" w:rsidRPr="00F71EEE">
        <w:t xml:space="preserve">Appendix </w:t>
      </w:r>
      <w:r w:rsidR="00C41CE9" w:rsidRPr="00D52D7B">
        <w:t xml:space="preserve">Table </w:t>
      </w:r>
      <w:r w:rsidR="00094353" w:rsidRPr="00D52D7B">
        <w:t>A</w:t>
      </w:r>
      <w:r w:rsidR="007B5B1B" w:rsidRPr="00D52D7B">
        <w:t>1</w:t>
      </w:r>
      <w:r w:rsidR="00C41CE9" w:rsidRPr="00D52D7B">
        <w:t xml:space="preserve"> shows</w:t>
      </w:r>
      <w:r w:rsidR="00C41CE9" w:rsidRPr="00F71EEE">
        <w:t xml:space="preserve"> </w:t>
      </w:r>
      <w:r w:rsidR="002600F7" w:rsidRPr="00F71EEE">
        <w:t>college course take-up</w:t>
      </w:r>
      <w:r w:rsidR="00C41CE9" w:rsidRPr="00F71EEE">
        <w:t xml:space="preserve"> and credit-earning for post-program cohorts</w:t>
      </w:r>
      <w:r w:rsidR="007B5B1B" w:rsidRPr="00F71EEE">
        <w:t xml:space="preserve">, as well as the </w:t>
      </w:r>
      <w:proofErr w:type="gramStart"/>
      <w:r w:rsidR="007B5B1B" w:rsidRPr="00F71EEE">
        <w:t>first-stage</w:t>
      </w:r>
      <w:proofErr w:type="gramEnd"/>
      <w:r w:rsidR="007B5B1B" w:rsidRPr="00F71EEE">
        <w:t xml:space="preserve"> estimate for program participation</w:t>
      </w:r>
      <w:r w:rsidR="00C41CE9" w:rsidRPr="00F71EEE">
        <w:t>.</w:t>
      </w:r>
    </w:p>
    <w:p w14:paraId="7CD2A09A" w14:textId="2FA9374F" w:rsidR="006541AB" w:rsidRPr="00F71EEE" w:rsidRDefault="007B5B1B" w:rsidP="00C87C11">
      <w:pPr>
        <w:spacing w:line="480" w:lineRule="auto"/>
      </w:pPr>
      <w:r w:rsidRPr="00F71EEE">
        <w:rPr>
          <w:vertAlign w:val="superscript"/>
        </w:rPr>
        <w:lastRenderedPageBreak/>
        <w:t>2</w:t>
      </w:r>
      <w:r w:rsidR="006541AB" w:rsidRPr="00F71EEE">
        <w:t xml:space="preserve">We use cohort and school program eligibility instead of actual enrollment because some students </w:t>
      </w:r>
      <w:r w:rsidR="005751D4" w:rsidRPr="00F71EEE">
        <w:t xml:space="preserve">appear to have </w:t>
      </w:r>
      <w:r w:rsidR="006541AB" w:rsidRPr="00F71EEE">
        <w:t xml:space="preserve">opted out of enrollment. The resulting estimates </w:t>
      </w:r>
      <w:r w:rsidR="00C41CE9" w:rsidRPr="00F71EEE">
        <w:t>should be</w:t>
      </w:r>
      <w:r w:rsidR="006541AB" w:rsidRPr="00F71EEE">
        <w:t xml:space="preserve"> interpreted as the intent-to-treat effect estimates.</w:t>
      </w:r>
    </w:p>
    <w:p w14:paraId="4B31B99B" w14:textId="4DAA5656" w:rsidR="00A36C80" w:rsidRPr="00F71EEE" w:rsidRDefault="00A36C80" w:rsidP="00A40F25">
      <w:pPr>
        <w:spacing w:line="480" w:lineRule="auto"/>
        <w:ind w:firstLine="720"/>
      </w:pPr>
    </w:p>
    <w:p w14:paraId="780E6B35" w14:textId="47EF14CA" w:rsidR="00A40F25" w:rsidRPr="000B719A" w:rsidRDefault="00A40F25" w:rsidP="00197E65">
      <w:pPr>
        <w:jc w:val="center"/>
      </w:pPr>
      <w:r w:rsidRPr="00F71EEE">
        <w:br w:type="page"/>
      </w:r>
      <w:r w:rsidRPr="00F82D72">
        <w:rPr>
          <w:b/>
          <w:bCs/>
        </w:rPr>
        <w:lastRenderedPageBreak/>
        <w:t>References</w:t>
      </w:r>
    </w:p>
    <w:p w14:paraId="05D4C34E" w14:textId="77777777" w:rsidR="00563F64" w:rsidRPr="00F82D72" w:rsidRDefault="00563F64" w:rsidP="00A40F25">
      <w:pPr>
        <w:jc w:val="center"/>
        <w:rPr>
          <w:b/>
          <w:bCs/>
        </w:rPr>
      </w:pPr>
    </w:p>
    <w:p w14:paraId="732B7C9F" w14:textId="1BC1590E" w:rsidR="00285F0F" w:rsidRPr="000B719A" w:rsidRDefault="00285F0F" w:rsidP="000B719A">
      <w:pPr>
        <w:autoSpaceDE w:val="0"/>
        <w:autoSpaceDN w:val="0"/>
        <w:adjustRightInd w:val="0"/>
        <w:spacing w:line="480" w:lineRule="auto"/>
        <w:ind w:left="720" w:hanging="720"/>
        <w:rPr>
          <w:i/>
          <w:iCs/>
        </w:rPr>
      </w:pPr>
      <w:r w:rsidRPr="00D45266">
        <w:t xml:space="preserve">Abadie, A., Diamond, A., &amp; Hainmueller, J. (2010). Synthetic control methods for comparative case studies: Estimating the effect of California’s tobacco control program. </w:t>
      </w:r>
      <w:r w:rsidRPr="00381788">
        <w:rPr>
          <w:i/>
          <w:iCs/>
        </w:rPr>
        <w:t>Journal of the American Statistical Association, 105</w:t>
      </w:r>
      <w:r w:rsidRPr="000B719A">
        <w:t>(490). DOI: 10.1198</w:t>
      </w:r>
      <w:r w:rsidRPr="00F82D72">
        <w:t>/</w:t>
      </w:r>
      <w:proofErr w:type="gramStart"/>
      <w:r w:rsidRPr="000B719A">
        <w:t>jasa.2009.ap</w:t>
      </w:r>
      <w:proofErr w:type="gramEnd"/>
      <w:r w:rsidRPr="000B719A">
        <w:t>08746</w:t>
      </w:r>
    </w:p>
    <w:p w14:paraId="32497779" w14:textId="222122E6" w:rsidR="001F0013" w:rsidRDefault="001F0013" w:rsidP="001F0013">
      <w:pPr>
        <w:spacing w:line="480" w:lineRule="auto"/>
        <w:ind w:left="720" w:hanging="720"/>
        <w:rPr>
          <w:bCs/>
        </w:rPr>
      </w:pPr>
      <w:r w:rsidRPr="009F3B8C">
        <w:rPr>
          <w:bCs/>
        </w:rPr>
        <w:t>Alexander, K., Bozick, R., &amp; Entwisle, D. (2008)</w:t>
      </w:r>
      <w:r>
        <w:rPr>
          <w:bCs/>
        </w:rPr>
        <w:t xml:space="preserve">. </w:t>
      </w:r>
      <w:r w:rsidRPr="009F3B8C">
        <w:rPr>
          <w:bCs/>
        </w:rPr>
        <w:t xml:space="preserve">Warming up, cooling out, or holding steady? Persistence and change in educational expectations after high school. </w:t>
      </w:r>
      <w:r w:rsidRPr="00C71B65">
        <w:rPr>
          <w:bCs/>
          <w:i/>
          <w:iCs/>
        </w:rPr>
        <w:t>Sociology of Education, 81</w:t>
      </w:r>
      <w:r w:rsidRPr="009F3B8C">
        <w:rPr>
          <w:bCs/>
        </w:rPr>
        <w:t>, 371-396.</w:t>
      </w:r>
    </w:p>
    <w:p w14:paraId="1BECB2DD" w14:textId="77777777" w:rsidR="00D90E72" w:rsidRPr="00596414" w:rsidRDefault="00D90E72" w:rsidP="00D90E72">
      <w:pPr>
        <w:spacing w:line="480" w:lineRule="auto"/>
        <w:ind w:left="720" w:hanging="720"/>
      </w:pPr>
      <w:r w:rsidRPr="002904FC">
        <w:t xml:space="preserve">Almon, C. (2014). College persistence and engagement </w:t>
      </w:r>
      <w:proofErr w:type="gramStart"/>
      <w:r w:rsidRPr="002904FC">
        <w:t>in light of</w:t>
      </w:r>
      <w:proofErr w:type="gramEnd"/>
      <w:r w:rsidRPr="002904FC">
        <w:t xml:space="preserve"> a mature English language learner (ELL) student’s voice. </w:t>
      </w:r>
      <w:r w:rsidRPr="002904FC">
        <w:rPr>
          <w:i/>
          <w:iCs/>
        </w:rPr>
        <w:t>Community College Journal of Research and Practice, 39</w:t>
      </w:r>
      <w:r w:rsidRPr="002904FC">
        <w:t xml:space="preserve">(5), 461–472. doi:10.1080/10668926.2013.850757. </w:t>
      </w:r>
    </w:p>
    <w:p w14:paraId="5C33CFA1" w14:textId="021D1F61" w:rsidR="00A40F25" w:rsidRPr="008E2E86" w:rsidRDefault="00A40F25" w:rsidP="00325C6B">
      <w:pPr>
        <w:autoSpaceDE w:val="0"/>
        <w:autoSpaceDN w:val="0"/>
        <w:adjustRightInd w:val="0"/>
        <w:spacing w:line="480" w:lineRule="auto"/>
      </w:pPr>
      <w:r w:rsidRPr="00F82D72">
        <w:t>An, B. P. (2013</w:t>
      </w:r>
      <w:r w:rsidR="0016150C" w:rsidRPr="00D45266">
        <w:t>a</w:t>
      </w:r>
      <w:r w:rsidRPr="00381788">
        <w:t xml:space="preserve">). The influence of dual enrollment on academic performance and college </w:t>
      </w:r>
    </w:p>
    <w:p w14:paraId="4AB14B99" w14:textId="77777777" w:rsidR="00A40F25" w:rsidRPr="00E20ABB" w:rsidRDefault="00A40F25" w:rsidP="00325C6B">
      <w:pPr>
        <w:autoSpaceDE w:val="0"/>
        <w:autoSpaceDN w:val="0"/>
        <w:adjustRightInd w:val="0"/>
        <w:spacing w:line="480" w:lineRule="auto"/>
        <w:ind w:left="720"/>
      </w:pPr>
      <w:r w:rsidRPr="008E2E86">
        <w:t xml:space="preserve">readiness: Differences by socioeconomic status. </w:t>
      </w:r>
      <w:r w:rsidRPr="00F6420B">
        <w:rPr>
          <w:i/>
        </w:rPr>
        <w:t>Research in Higher Education, 54</w:t>
      </w:r>
      <w:r w:rsidRPr="0004443F">
        <w:t xml:space="preserve">, 407-432. </w:t>
      </w:r>
    </w:p>
    <w:p w14:paraId="0EAE0CF1" w14:textId="1449A550" w:rsidR="00A40F25" w:rsidRPr="00C11D37" w:rsidRDefault="00A40F25" w:rsidP="00325C6B">
      <w:pPr>
        <w:autoSpaceDE w:val="0"/>
        <w:autoSpaceDN w:val="0"/>
        <w:adjustRightInd w:val="0"/>
        <w:spacing w:line="480" w:lineRule="auto"/>
        <w:rPr>
          <w:bCs/>
        </w:rPr>
      </w:pPr>
      <w:r w:rsidRPr="00347D45">
        <w:t>An, B. P. (2013</w:t>
      </w:r>
      <w:r w:rsidR="0016150C" w:rsidRPr="0072667E">
        <w:t>b</w:t>
      </w:r>
      <w:r w:rsidRPr="00C11D37">
        <w:t xml:space="preserve">). </w:t>
      </w:r>
      <w:r w:rsidRPr="00C11D37">
        <w:rPr>
          <w:bCs/>
        </w:rPr>
        <w:t xml:space="preserve">The </w:t>
      </w:r>
      <w:r w:rsidR="00A846CE" w:rsidRPr="00C11D37">
        <w:rPr>
          <w:bCs/>
        </w:rPr>
        <w:t>i</w:t>
      </w:r>
      <w:r w:rsidRPr="00C11D37">
        <w:rPr>
          <w:bCs/>
        </w:rPr>
        <w:t xml:space="preserve">mpact of </w:t>
      </w:r>
      <w:r w:rsidR="00A846CE" w:rsidRPr="00C11D37">
        <w:rPr>
          <w:bCs/>
        </w:rPr>
        <w:t>d</w:t>
      </w:r>
      <w:r w:rsidRPr="00C11D37">
        <w:rPr>
          <w:bCs/>
        </w:rPr>
        <w:t xml:space="preserve">ual </w:t>
      </w:r>
      <w:r w:rsidR="00A846CE" w:rsidRPr="00C11D37">
        <w:rPr>
          <w:bCs/>
        </w:rPr>
        <w:t>e</w:t>
      </w:r>
      <w:r w:rsidRPr="00C11D37">
        <w:rPr>
          <w:bCs/>
        </w:rPr>
        <w:t xml:space="preserve">nrollment on </w:t>
      </w:r>
      <w:r w:rsidR="00A846CE" w:rsidRPr="00C11D37">
        <w:rPr>
          <w:bCs/>
        </w:rPr>
        <w:t>c</w:t>
      </w:r>
      <w:r w:rsidRPr="00C11D37">
        <w:rPr>
          <w:bCs/>
        </w:rPr>
        <w:t xml:space="preserve">ollege </w:t>
      </w:r>
      <w:r w:rsidR="00A846CE" w:rsidRPr="00C11D37">
        <w:rPr>
          <w:bCs/>
        </w:rPr>
        <w:t>d</w:t>
      </w:r>
      <w:r w:rsidRPr="00C11D37">
        <w:rPr>
          <w:bCs/>
        </w:rPr>
        <w:t xml:space="preserve">egree </w:t>
      </w:r>
      <w:r w:rsidR="00A846CE" w:rsidRPr="00C11D37">
        <w:rPr>
          <w:bCs/>
        </w:rPr>
        <w:t>a</w:t>
      </w:r>
      <w:r w:rsidRPr="00C11D37">
        <w:rPr>
          <w:bCs/>
        </w:rPr>
        <w:t xml:space="preserve">ttainment: Do </w:t>
      </w:r>
      <w:r w:rsidR="00A846CE" w:rsidRPr="00C11D37">
        <w:rPr>
          <w:bCs/>
        </w:rPr>
        <w:t>l</w:t>
      </w:r>
      <w:r w:rsidRPr="00C11D37">
        <w:rPr>
          <w:bCs/>
        </w:rPr>
        <w:t xml:space="preserve">ow-SES </w:t>
      </w:r>
    </w:p>
    <w:p w14:paraId="463343A8" w14:textId="49AA8FB8" w:rsidR="00A40F25" w:rsidRPr="00C11D37" w:rsidRDefault="00A846CE" w:rsidP="00325C6B">
      <w:pPr>
        <w:autoSpaceDE w:val="0"/>
        <w:autoSpaceDN w:val="0"/>
        <w:adjustRightInd w:val="0"/>
        <w:spacing w:line="480" w:lineRule="auto"/>
        <w:ind w:firstLine="720"/>
        <w:rPr>
          <w:bCs/>
        </w:rPr>
      </w:pPr>
      <w:r w:rsidRPr="00C11D37">
        <w:rPr>
          <w:bCs/>
        </w:rPr>
        <w:t>s</w:t>
      </w:r>
      <w:r w:rsidR="00A40F25" w:rsidRPr="00C11D37">
        <w:rPr>
          <w:bCs/>
        </w:rPr>
        <w:t xml:space="preserve">tudents </w:t>
      </w:r>
      <w:r w:rsidRPr="00C11D37">
        <w:rPr>
          <w:bCs/>
        </w:rPr>
        <w:t>b</w:t>
      </w:r>
      <w:r w:rsidR="00A40F25" w:rsidRPr="00C11D37">
        <w:rPr>
          <w:bCs/>
        </w:rPr>
        <w:t xml:space="preserve">enefit? </w:t>
      </w:r>
      <w:r w:rsidR="00A40F25" w:rsidRPr="00C11D37">
        <w:rPr>
          <w:bCs/>
          <w:i/>
        </w:rPr>
        <w:t>Educational Evaluation and Policy Analysis, 35</w:t>
      </w:r>
      <w:r w:rsidR="00A40F25" w:rsidRPr="00C11D37">
        <w:rPr>
          <w:bCs/>
        </w:rPr>
        <w:t xml:space="preserve">(1), 57-75. </w:t>
      </w:r>
    </w:p>
    <w:p w14:paraId="5FF93CE7" w14:textId="0DB13178" w:rsidR="00383AF5" w:rsidRPr="00383AF5" w:rsidRDefault="00383AF5" w:rsidP="00383AF5">
      <w:pPr>
        <w:widowControl w:val="0"/>
        <w:autoSpaceDE w:val="0"/>
        <w:autoSpaceDN w:val="0"/>
        <w:adjustRightInd w:val="0"/>
        <w:spacing w:line="480" w:lineRule="auto"/>
        <w:ind w:left="480" w:hanging="480"/>
        <w:rPr>
          <w:noProof/>
        </w:rPr>
      </w:pPr>
      <w:r w:rsidRPr="00383AF5">
        <w:rPr>
          <w:noProof/>
        </w:rPr>
        <w:t xml:space="preserve">An, B. P., &amp; Taylor, J. L. (2019). A review of empirical studies on dual enrollment: Assessing educational outcomes. In M. B. Paulsen &amp; L. W. Perna (Eds.), </w:t>
      </w:r>
      <w:r w:rsidRPr="00383AF5">
        <w:rPr>
          <w:i/>
          <w:iCs/>
          <w:noProof/>
        </w:rPr>
        <w:t>Higher Education: Handbook of Theory and Research</w:t>
      </w:r>
      <w:r w:rsidRPr="00383AF5">
        <w:rPr>
          <w:noProof/>
        </w:rPr>
        <w:t xml:space="preserve"> (pp. 99–151). https://doi.org/10.1007/978-3-030-03457-3_3</w:t>
      </w:r>
    </w:p>
    <w:p w14:paraId="37B75029" w14:textId="364714E4" w:rsidR="00A40F25" w:rsidRPr="00C11D37" w:rsidRDefault="00A40F25" w:rsidP="00325C6B">
      <w:pPr>
        <w:autoSpaceDE w:val="0"/>
        <w:autoSpaceDN w:val="0"/>
        <w:adjustRightInd w:val="0"/>
        <w:spacing w:line="480" w:lineRule="auto"/>
        <w:rPr>
          <w:i/>
          <w:iCs/>
        </w:rPr>
      </w:pPr>
      <w:r w:rsidRPr="00C11D37">
        <w:rPr>
          <w:iCs/>
        </w:rPr>
        <w:t>Angrist, J. D. &amp; Pischke, J. S. (200</w:t>
      </w:r>
      <w:r w:rsidR="009F05FD" w:rsidRPr="00C11D37">
        <w:rPr>
          <w:iCs/>
        </w:rPr>
        <w:t>9</w:t>
      </w:r>
      <w:r w:rsidRPr="00C11D37">
        <w:rPr>
          <w:iCs/>
        </w:rPr>
        <w:t xml:space="preserve">). </w:t>
      </w:r>
      <w:r w:rsidRPr="00C11D37">
        <w:rPr>
          <w:i/>
          <w:iCs/>
        </w:rPr>
        <w:t xml:space="preserve">Mostly harmless econometrics: An empiricist’s </w:t>
      </w:r>
    </w:p>
    <w:p w14:paraId="0E8AFD5B" w14:textId="20E7DFE7" w:rsidR="00A40F25" w:rsidRPr="00C11D37" w:rsidRDefault="00A40F25" w:rsidP="00325C6B">
      <w:pPr>
        <w:autoSpaceDE w:val="0"/>
        <w:autoSpaceDN w:val="0"/>
        <w:adjustRightInd w:val="0"/>
        <w:spacing w:line="480" w:lineRule="auto"/>
        <w:ind w:firstLine="720"/>
        <w:rPr>
          <w:iCs/>
        </w:rPr>
      </w:pPr>
      <w:r w:rsidRPr="00C11D37">
        <w:rPr>
          <w:i/>
          <w:iCs/>
        </w:rPr>
        <w:t xml:space="preserve">companion. </w:t>
      </w:r>
      <w:r w:rsidRPr="00C11D37">
        <w:rPr>
          <w:iCs/>
        </w:rPr>
        <w:t xml:space="preserve">Princeton University Press. </w:t>
      </w:r>
    </w:p>
    <w:p w14:paraId="168A3BA2" w14:textId="7A8571B0" w:rsidR="00B43F4A" w:rsidRPr="00C11D37" w:rsidRDefault="00B43F4A" w:rsidP="000B719A">
      <w:pPr>
        <w:autoSpaceDE w:val="0"/>
        <w:autoSpaceDN w:val="0"/>
        <w:adjustRightInd w:val="0"/>
        <w:spacing w:line="480" w:lineRule="auto"/>
        <w:ind w:left="720" w:hanging="720"/>
        <w:rPr>
          <w:iCs/>
        </w:rPr>
      </w:pPr>
      <w:r w:rsidRPr="00C11D37">
        <w:rPr>
          <w:iCs/>
        </w:rPr>
        <w:t xml:space="preserve">Angrist, J. D. &amp; Pischke, J. S. (2015). </w:t>
      </w:r>
      <w:r w:rsidRPr="00C11D37">
        <w:rPr>
          <w:i/>
          <w:iCs/>
        </w:rPr>
        <w:t xml:space="preserve">Mastering ’metrics: The path from cause to effect. </w:t>
      </w:r>
      <w:r w:rsidRPr="00C11D37">
        <w:rPr>
          <w:iCs/>
        </w:rPr>
        <w:t xml:space="preserve">Princeton University Press. </w:t>
      </w:r>
    </w:p>
    <w:p w14:paraId="3A32B63B" w14:textId="77777777" w:rsidR="00A40F25" w:rsidRPr="00C11D37" w:rsidRDefault="00A40F25" w:rsidP="00325C6B">
      <w:pPr>
        <w:autoSpaceDE w:val="0"/>
        <w:autoSpaceDN w:val="0"/>
        <w:adjustRightInd w:val="0"/>
        <w:spacing w:line="480" w:lineRule="auto"/>
        <w:rPr>
          <w:rFonts w:eastAsia="TimesNewRomanPSMT"/>
        </w:rPr>
      </w:pPr>
      <w:r w:rsidRPr="00C11D37">
        <w:rPr>
          <w:rFonts w:eastAsia="TimesNewRomanPSMT"/>
        </w:rPr>
        <w:lastRenderedPageBreak/>
        <w:t xml:space="preserve">Bailey, T. R., Hughes, K. L., &amp; Karp, M. M. (2002). What role can dual enrollment programs </w:t>
      </w:r>
    </w:p>
    <w:p w14:paraId="17087A43" w14:textId="77777777" w:rsidR="00564386" w:rsidRPr="00C11D37" w:rsidRDefault="00A40F25" w:rsidP="00564386">
      <w:pPr>
        <w:autoSpaceDE w:val="0"/>
        <w:autoSpaceDN w:val="0"/>
        <w:adjustRightInd w:val="0"/>
        <w:spacing w:line="480" w:lineRule="auto"/>
        <w:ind w:left="720"/>
        <w:rPr>
          <w:rFonts w:eastAsia="TimesNewRomanPSMT"/>
        </w:rPr>
      </w:pPr>
      <w:r w:rsidRPr="00C11D37">
        <w:rPr>
          <w:rFonts w:eastAsia="TimesNewRomanPSMT"/>
        </w:rPr>
        <w:t xml:space="preserve">play in easing the transition between high school and postsecondary education? </w:t>
      </w:r>
      <w:r w:rsidRPr="00C11D37">
        <w:rPr>
          <w:rFonts w:eastAsia="TimesNewRomanPSMT"/>
          <w:i/>
          <w:iCs/>
        </w:rPr>
        <w:t>Journal for Vocational</w:t>
      </w:r>
      <w:r w:rsidRPr="00C11D37">
        <w:rPr>
          <w:rFonts w:eastAsia="TimesNewRomanPSMT"/>
        </w:rPr>
        <w:t xml:space="preserve"> </w:t>
      </w:r>
      <w:r w:rsidRPr="00C11D37">
        <w:rPr>
          <w:rFonts w:eastAsia="TimesNewRomanPSMT"/>
          <w:i/>
          <w:iCs/>
        </w:rPr>
        <w:t>Special Needs Education</w:t>
      </w:r>
      <w:r w:rsidRPr="00C11D37">
        <w:rPr>
          <w:rFonts w:eastAsia="TimesNewRomanPSMT"/>
        </w:rPr>
        <w:t xml:space="preserve">, </w:t>
      </w:r>
      <w:r w:rsidRPr="00C11D37">
        <w:rPr>
          <w:rFonts w:eastAsia="TimesNewRomanPSMT"/>
          <w:i/>
          <w:iCs/>
        </w:rPr>
        <w:t>24</w:t>
      </w:r>
      <w:r w:rsidRPr="00C11D37">
        <w:rPr>
          <w:rFonts w:eastAsia="TimesNewRomanPSMT"/>
        </w:rPr>
        <w:t>, 18–29.</w:t>
      </w:r>
    </w:p>
    <w:p w14:paraId="329C9C81" w14:textId="687AEACF" w:rsidR="00071E41" w:rsidRDefault="00071E41" w:rsidP="00071E41">
      <w:pPr>
        <w:autoSpaceDE w:val="0"/>
        <w:autoSpaceDN w:val="0"/>
        <w:adjustRightInd w:val="0"/>
        <w:spacing w:line="480" w:lineRule="auto"/>
        <w:ind w:left="720" w:hanging="720"/>
      </w:pPr>
      <w:r w:rsidRPr="00071E41">
        <w:t xml:space="preserve">Bailey, T., &amp; Karp, M. M. (2003). </w:t>
      </w:r>
      <w:r w:rsidRPr="00071E41">
        <w:rPr>
          <w:i/>
          <w:iCs/>
        </w:rPr>
        <w:t xml:space="preserve">Promoting </w:t>
      </w:r>
      <w:r w:rsidR="009A0CF1">
        <w:rPr>
          <w:i/>
          <w:iCs/>
        </w:rPr>
        <w:t>c</w:t>
      </w:r>
      <w:r w:rsidRPr="00071E41">
        <w:rPr>
          <w:i/>
          <w:iCs/>
        </w:rPr>
        <w:t xml:space="preserve">ollege </w:t>
      </w:r>
      <w:r w:rsidR="009A0CF1">
        <w:rPr>
          <w:i/>
          <w:iCs/>
        </w:rPr>
        <w:t>a</w:t>
      </w:r>
      <w:r w:rsidRPr="00071E41">
        <w:rPr>
          <w:i/>
          <w:iCs/>
        </w:rPr>
        <w:t xml:space="preserve">ccess and </w:t>
      </w:r>
      <w:r w:rsidR="009A0CF1">
        <w:rPr>
          <w:i/>
          <w:iCs/>
        </w:rPr>
        <w:t>s</w:t>
      </w:r>
      <w:r w:rsidRPr="00071E41">
        <w:rPr>
          <w:i/>
          <w:iCs/>
        </w:rPr>
        <w:t xml:space="preserve">uccess: A </w:t>
      </w:r>
      <w:r w:rsidR="009A0CF1">
        <w:rPr>
          <w:i/>
          <w:iCs/>
        </w:rPr>
        <w:t>r</w:t>
      </w:r>
      <w:r w:rsidRPr="00071E41">
        <w:rPr>
          <w:i/>
          <w:iCs/>
        </w:rPr>
        <w:t xml:space="preserve">eview of </w:t>
      </w:r>
      <w:r w:rsidR="009A0CF1">
        <w:rPr>
          <w:i/>
          <w:iCs/>
        </w:rPr>
        <w:t>c</w:t>
      </w:r>
      <w:r w:rsidRPr="00071E41">
        <w:rPr>
          <w:i/>
          <w:iCs/>
        </w:rPr>
        <w:t>redit-</w:t>
      </w:r>
      <w:r w:rsidR="009A0CF1">
        <w:rPr>
          <w:i/>
          <w:iCs/>
        </w:rPr>
        <w:t>b</w:t>
      </w:r>
      <w:r w:rsidRPr="00071E41">
        <w:rPr>
          <w:i/>
          <w:iCs/>
        </w:rPr>
        <w:t xml:space="preserve">ased </w:t>
      </w:r>
      <w:r w:rsidR="009A0CF1">
        <w:rPr>
          <w:i/>
          <w:iCs/>
        </w:rPr>
        <w:t>t</w:t>
      </w:r>
      <w:r w:rsidRPr="00071E41">
        <w:rPr>
          <w:i/>
          <w:iCs/>
        </w:rPr>
        <w:t xml:space="preserve">ransition </w:t>
      </w:r>
      <w:r w:rsidR="009A0CF1">
        <w:rPr>
          <w:i/>
          <w:iCs/>
        </w:rPr>
        <w:t>p</w:t>
      </w:r>
      <w:r w:rsidRPr="00071E41">
        <w:rPr>
          <w:i/>
          <w:iCs/>
        </w:rPr>
        <w:t>rograms</w:t>
      </w:r>
      <w:r w:rsidRPr="00071E41">
        <w:t xml:space="preserve">. https://ccrc.tc.columbia.edu/publications/access-success-credit-based-transition.html </w:t>
      </w:r>
    </w:p>
    <w:p w14:paraId="362A89AD" w14:textId="11351332" w:rsidR="00564386" w:rsidRPr="00F82D72" w:rsidRDefault="00564386" w:rsidP="00467DEF">
      <w:pPr>
        <w:autoSpaceDE w:val="0"/>
        <w:autoSpaceDN w:val="0"/>
        <w:adjustRightInd w:val="0"/>
        <w:spacing w:line="480" w:lineRule="auto"/>
        <w:ind w:left="720" w:hanging="720"/>
        <w:rPr>
          <w:rFonts w:eastAsia="TimesNewRomanPSMT"/>
        </w:rPr>
      </w:pPr>
      <w:r w:rsidRPr="00C11D37">
        <w:t xml:space="preserve">Barnett, E. A., Corrin, W., Nakanishi, A., Bork, R. H., Mitchell, C., </w:t>
      </w:r>
      <w:r w:rsidR="000C264D" w:rsidRPr="00C11D37">
        <w:t xml:space="preserve">&amp; </w:t>
      </w:r>
      <w:r w:rsidRPr="00C11D37">
        <w:t>Sepanik, C.</w:t>
      </w:r>
      <w:r w:rsidR="000C264D" w:rsidRPr="00C11D37">
        <w:t xml:space="preserve"> </w:t>
      </w:r>
      <w:r w:rsidRPr="00C11D37">
        <w:t xml:space="preserve">(2012). </w:t>
      </w:r>
      <w:r w:rsidRPr="00C11D37">
        <w:rPr>
          <w:i/>
          <w:iCs/>
        </w:rPr>
        <w:t>Preparing high school students for college: An exploratory study of college readiness partnership programs in Texas</w:t>
      </w:r>
      <w:r w:rsidR="009A0CF1">
        <w:rPr>
          <w:i/>
          <w:iCs/>
        </w:rPr>
        <w:t xml:space="preserve">. </w:t>
      </w:r>
      <w:r w:rsidRPr="00C11D37">
        <w:t xml:space="preserve">National Center for Postsecondary Research, Columbia University. </w:t>
      </w:r>
      <w:hyperlink r:id="rId7" w:history="1">
        <w:r w:rsidRPr="00D45266">
          <w:rPr>
            <w:rStyle w:val="Hyperlink"/>
            <w:color w:val="auto"/>
            <w:u w:val="none"/>
          </w:rPr>
          <w:t>https://ccrc.tc.columbia.edu/media/k2/attachments/college-readiness-partnerships.pdf</w:t>
        </w:r>
      </w:hyperlink>
    </w:p>
    <w:p w14:paraId="308D6DE0" w14:textId="519CCAA6" w:rsidR="004C4C28" w:rsidRPr="008E2E86" w:rsidRDefault="004C4C28" w:rsidP="00FF4C6D">
      <w:pPr>
        <w:autoSpaceDE w:val="0"/>
        <w:autoSpaceDN w:val="0"/>
        <w:adjustRightInd w:val="0"/>
        <w:spacing w:line="480" w:lineRule="auto"/>
        <w:ind w:left="720" w:hanging="720"/>
      </w:pPr>
      <w:r w:rsidRPr="00D45266">
        <w:t xml:space="preserve">Berger, A., Adelman, N., Cole, S. (2010). The Early College High School Initiative: An overview of five evaluation years. </w:t>
      </w:r>
      <w:r w:rsidRPr="00381788">
        <w:rPr>
          <w:i/>
          <w:iCs/>
        </w:rPr>
        <w:t>Peabody Journal of Educ</w:t>
      </w:r>
      <w:r w:rsidRPr="008E2E86">
        <w:rPr>
          <w:i/>
          <w:iCs/>
        </w:rPr>
        <w:t>ation, 85</w:t>
      </w:r>
      <w:r w:rsidRPr="008E2E86">
        <w:t>(3), 333-347.</w:t>
      </w:r>
    </w:p>
    <w:p w14:paraId="160606C3" w14:textId="01B8FB4D" w:rsidR="00A40F25" w:rsidRPr="00F6420B" w:rsidRDefault="00A40F25" w:rsidP="00325C6B">
      <w:pPr>
        <w:autoSpaceDE w:val="0"/>
        <w:autoSpaceDN w:val="0"/>
        <w:adjustRightInd w:val="0"/>
        <w:spacing w:line="480" w:lineRule="auto"/>
        <w:rPr>
          <w:iCs/>
        </w:rPr>
      </w:pPr>
      <w:r w:rsidRPr="008E2E86">
        <w:rPr>
          <w:iCs/>
        </w:rPr>
        <w:t xml:space="preserve">Berger, A., Turk-Bicakci, L., Garet, M., Song, M., Knudson, J., Haxton, </w:t>
      </w:r>
      <w:proofErr w:type="gramStart"/>
      <w:r w:rsidRPr="008E2E86">
        <w:rPr>
          <w:iCs/>
        </w:rPr>
        <w:t>C.,…</w:t>
      </w:r>
      <w:proofErr w:type="gramEnd"/>
      <w:r w:rsidRPr="008E2E86">
        <w:rPr>
          <w:iCs/>
        </w:rPr>
        <w:t xml:space="preserve">Cassidy, L. (2013). </w:t>
      </w:r>
    </w:p>
    <w:p w14:paraId="003E14C6" w14:textId="55FBDAE7" w:rsidR="00A40F25" w:rsidRDefault="00A40F25" w:rsidP="00325C6B">
      <w:pPr>
        <w:autoSpaceDE w:val="0"/>
        <w:autoSpaceDN w:val="0"/>
        <w:adjustRightInd w:val="0"/>
        <w:spacing w:line="480" w:lineRule="auto"/>
        <w:ind w:left="720"/>
        <w:rPr>
          <w:iCs/>
        </w:rPr>
      </w:pPr>
      <w:r w:rsidRPr="0004443F">
        <w:rPr>
          <w:i/>
          <w:iCs/>
        </w:rPr>
        <w:t xml:space="preserve">Early College, </w:t>
      </w:r>
      <w:r w:rsidR="00413DF7">
        <w:rPr>
          <w:i/>
          <w:iCs/>
        </w:rPr>
        <w:t>e</w:t>
      </w:r>
      <w:r w:rsidRPr="0004443F">
        <w:rPr>
          <w:i/>
          <w:iCs/>
        </w:rPr>
        <w:t xml:space="preserve">arly </w:t>
      </w:r>
      <w:r w:rsidR="00413DF7">
        <w:rPr>
          <w:i/>
          <w:iCs/>
        </w:rPr>
        <w:t>s</w:t>
      </w:r>
      <w:r w:rsidRPr="0004443F">
        <w:rPr>
          <w:i/>
          <w:iCs/>
        </w:rPr>
        <w:t xml:space="preserve">uccess: Early College High School </w:t>
      </w:r>
      <w:r w:rsidR="00413DF7">
        <w:rPr>
          <w:i/>
          <w:iCs/>
        </w:rPr>
        <w:t>i</w:t>
      </w:r>
      <w:r w:rsidRPr="0004443F">
        <w:rPr>
          <w:i/>
          <w:iCs/>
        </w:rPr>
        <w:t xml:space="preserve">nitiative </w:t>
      </w:r>
      <w:r w:rsidR="00413DF7">
        <w:rPr>
          <w:i/>
          <w:iCs/>
        </w:rPr>
        <w:t>i</w:t>
      </w:r>
      <w:r w:rsidRPr="0004443F">
        <w:rPr>
          <w:i/>
          <w:iCs/>
        </w:rPr>
        <w:t xml:space="preserve">mpact </w:t>
      </w:r>
      <w:r w:rsidR="00413DF7">
        <w:rPr>
          <w:i/>
          <w:iCs/>
        </w:rPr>
        <w:t>s</w:t>
      </w:r>
      <w:r w:rsidRPr="0004443F">
        <w:rPr>
          <w:i/>
          <w:iCs/>
        </w:rPr>
        <w:t xml:space="preserve">tudy. </w:t>
      </w:r>
      <w:r w:rsidRPr="00340362">
        <w:rPr>
          <w:iCs/>
        </w:rPr>
        <w:t>American Institutes for Research.</w:t>
      </w:r>
    </w:p>
    <w:p w14:paraId="1222607A" w14:textId="3A09B7C5" w:rsidR="000B41B7" w:rsidRPr="00347D45" w:rsidRDefault="000B41B7" w:rsidP="000B41B7">
      <w:pPr>
        <w:spacing w:line="480" w:lineRule="auto"/>
        <w:ind w:left="720" w:hanging="720"/>
        <w:rPr>
          <w:iCs/>
        </w:rPr>
      </w:pPr>
      <w:r w:rsidRPr="00C30F31">
        <w:t xml:space="preserve">Bial, D., &amp; Gandara, P.C. (2001). </w:t>
      </w:r>
      <w:r w:rsidRPr="00C30F31">
        <w:rPr>
          <w:i/>
          <w:iCs/>
        </w:rPr>
        <w:t>Paving the way to postsecondary education K-12 intervention programs for underrepresented youth (NCES 2001-205)</w:t>
      </w:r>
      <w:r w:rsidRPr="00C30F31">
        <w:t xml:space="preserve">. National Postsecondary Education Cooperative Access Working Group. </w:t>
      </w:r>
    </w:p>
    <w:p w14:paraId="0E790204" w14:textId="21DBD0F7" w:rsidR="006C080B" w:rsidRPr="00F82D72" w:rsidRDefault="006C080B" w:rsidP="00975708">
      <w:pPr>
        <w:autoSpaceDE w:val="0"/>
        <w:autoSpaceDN w:val="0"/>
        <w:adjustRightInd w:val="0"/>
        <w:spacing w:line="480" w:lineRule="auto"/>
        <w:ind w:left="720" w:hanging="720"/>
        <w:rPr>
          <w:iCs/>
        </w:rPr>
      </w:pPr>
      <w:r w:rsidRPr="0072667E">
        <w:rPr>
          <w:iCs/>
        </w:rPr>
        <w:t>Bia</w:t>
      </w:r>
      <w:r w:rsidRPr="00C11D37">
        <w:rPr>
          <w:iCs/>
        </w:rPr>
        <w:t xml:space="preserve">lik, K., </w:t>
      </w:r>
      <w:proofErr w:type="spellStart"/>
      <w:r w:rsidRPr="00C11D37">
        <w:rPr>
          <w:iCs/>
        </w:rPr>
        <w:t>Schelle</w:t>
      </w:r>
      <w:proofErr w:type="spellEnd"/>
      <w:r w:rsidRPr="00C11D37">
        <w:rPr>
          <w:iCs/>
        </w:rPr>
        <w:t xml:space="preserve">, A., &amp; Walker, K. (2018). Six facts about English language learners in US public schools. PEW Research Center. </w:t>
      </w:r>
      <w:hyperlink r:id="rId8" w:anchor=":~:text=1California%20has%20the%20highest,double%20the%209.5%25%20nationwide%20share." w:history="1">
        <w:r w:rsidRPr="00975708">
          <w:rPr>
            <w:rStyle w:val="Hyperlink"/>
            <w:color w:val="auto"/>
          </w:rPr>
          <w:t>https://www.pewresearch.org/fact-tank/2018/10/25/6-facts-about-english-language-learners-in-u-s-public-</w:t>
        </w:r>
        <w:r w:rsidRPr="00975708">
          <w:rPr>
            <w:rStyle w:val="Hyperlink"/>
            <w:color w:val="auto"/>
          </w:rPr>
          <w:lastRenderedPageBreak/>
          <w:t>schools/#:~:text=1California%20has%20the%20highest,double%20the%209.5%25%20nationwide%20share.</w:t>
        </w:r>
      </w:hyperlink>
    </w:p>
    <w:p w14:paraId="143C056E" w14:textId="77777777" w:rsidR="00655783" w:rsidRPr="00655783" w:rsidRDefault="00655783" w:rsidP="00655783">
      <w:pPr>
        <w:autoSpaceDE w:val="0"/>
        <w:autoSpaceDN w:val="0"/>
        <w:adjustRightInd w:val="0"/>
        <w:spacing w:line="480" w:lineRule="auto"/>
        <w:ind w:left="720" w:hanging="720"/>
      </w:pPr>
      <w:r w:rsidRPr="00655783">
        <w:t xml:space="preserve">Blankenberger, B., Lichtenberger, E., &amp; Witt, M. A. (2017). Dual credit, college type, and enhanced degree attainment. </w:t>
      </w:r>
      <w:r w:rsidRPr="00655783">
        <w:rPr>
          <w:i/>
          <w:iCs/>
        </w:rPr>
        <w:t>Educational Researcher</w:t>
      </w:r>
      <w:r w:rsidRPr="00655783">
        <w:t xml:space="preserve">, </w:t>
      </w:r>
      <w:r w:rsidRPr="00655783">
        <w:rPr>
          <w:i/>
          <w:iCs/>
        </w:rPr>
        <w:t>46</w:t>
      </w:r>
      <w:r w:rsidRPr="00655783">
        <w:t>(5), 259–263. https://doi.org/10.3102/0013189X17718796</w:t>
      </w:r>
    </w:p>
    <w:p w14:paraId="5DA8F905" w14:textId="77777777" w:rsidR="00655783" w:rsidRPr="00655783" w:rsidRDefault="00655783" w:rsidP="00655783">
      <w:pPr>
        <w:autoSpaceDE w:val="0"/>
        <w:autoSpaceDN w:val="0"/>
        <w:adjustRightInd w:val="0"/>
        <w:spacing w:line="480" w:lineRule="auto"/>
        <w:ind w:left="720" w:hanging="720"/>
      </w:pPr>
      <w:r w:rsidRPr="00655783">
        <w:t xml:space="preserve">Blankenberger, B., Lichtenberger, E., Witt, M. A., &amp; Franklin, D. (2017). Diverse students, high school factors, and completion agenda goals: An analysis of the Illinois class of 2013. </w:t>
      </w:r>
      <w:r w:rsidRPr="00655783">
        <w:rPr>
          <w:i/>
          <w:iCs/>
        </w:rPr>
        <w:t>Education and Urban Society</w:t>
      </w:r>
      <w:r w:rsidRPr="00655783">
        <w:t xml:space="preserve">, </w:t>
      </w:r>
      <w:r w:rsidRPr="00655783">
        <w:rPr>
          <w:i/>
          <w:iCs/>
        </w:rPr>
        <w:t>49</w:t>
      </w:r>
      <w:r w:rsidRPr="00655783">
        <w:t>(5), 518–545. https://doi.org/10.1177/0013124516644047</w:t>
      </w:r>
    </w:p>
    <w:p w14:paraId="5CB94281" w14:textId="2D124D81" w:rsidR="004715E6" w:rsidRPr="00C11D37" w:rsidRDefault="004715E6" w:rsidP="004715E6">
      <w:pPr>
        <w:autoSpaceDE w:val="0"/>
        <w:autoSpaceDN w:val="0"/>
        <w:adjustRightInd w:val="0"/>
        <w:spacing w:line="480" w:lineRule="auto"/>
        <w:ind w:left="720" w:hanging="720"/>
      </w:pPr>
      <w:r w:rsidRPr="00347D45">
        <w:t xml:space="preserve">Blumenthal, A. J. (2002). English as a second language at the community college: An exploration of context and concerns. </w:t>
      </w:r>
      <w:r w:rsidRPr="0072667E">
        <w:rPr>
          <w:i/>
          <w:iCs/>
        </w:rPr>
        <w:t>New Directions for Community Colleges, 117</w:t>
      </w:r>
      <w:r w:rsidRPr="00C11D37">
        <w:t xml:space="preserve">, 45–53. </w:t>
      </w:r>
    </w:p>
    <w:p w14:paraId="64A6E690" w14:textId="08270A0D" w:rsidR="00A40F25" w:rsidRPr="00C11D37" w:rsidRDefault="00A40F25" w:rsidP="00325C6B">
      <w:pPr>
        <w:autoSpaceDE w:val="0"/>
        <w:autoSpaceDN w:val="0"/>
        <w:adjustRightInd w:val="0"/>
        <w:spacing w:line="480" w:lineRule="auto"/>
        <w:rPr>
          <w:iCs/>
        </w:rPr>
      </w:pPr>
      <w:r w:rsidRPr="00C11D37">
        <w:rPr>
          <w:iCs/>
        </w:rPr>
        <w:t xml:space="preserve">Born, T. (2006). Middle and early college high schools: Providing multilevel support and </w:t>
      </w:r>
    </w:p>
    <w:p w14:paraId="71E807B0" w14:textId="77777777" w:rsidR="00A40F25" w:rsidRPr="00C11D37" w:rsidRDefault="00A40F25" w:rsidP="00325C6B">
      <w:pPr>
        <w:autoSpaceDE w:val="0"/>
        <w:autoSpaceDN w:val="0"/>
        <w:adjustRightInd w:val="0"/>
        <w:spacing w:line="480" w:lineRule="auto"/>
        <w:ind w:firstLine="720"/>
        <w:rPr>
          <w:iCs/>
        </w:rPr>
      </w:pPr>
      <w:r w:rsidRPr="00C11D37">
        <w:rPr>
          <w:iCs/>
        </w:rPr>
        <w:t xml:space="preserve">accelerated learning. </w:t>
      </w:r>
      <w:r w:rsidRPr="00C11D37">
        <w:rPr>
          <w:i/>
          <w:iCs/>
        </w:rPr>
        <w:t>New Directions for Community Colleges, 135</w:t>
      </w:r>
      <w:r w:rsidRPr="00C11D37">
        <w:rPr>
          <w:iCs/>
        </w:rPr>
        <w:t>, 49-58.</w:t>
      </w:r>
    </w:p>
    <w:p w14:paraId="64C96775" w14:textId="126B725E" w:rsidR="00214583" w:rsidRDefault="00214583" w:rsidP="009605BA">
      <w:pPr>
        <w:spacing w:line="480" w:lineRule="auto"/>
        <w:ind w:left="720" w:hanging="720"/>
      </w:pPr>
      <w:r w:rsidRPr="00510550">
        <w:t xml:space="preserve">Brand, J., &amp; Xie, Y. (2010). Who </w:t>
      </w:r>
      <w:r w:rsidR="00413DF7">
        <w:t>b</w:t>
      </w:r>
      <w:r w:rsidRPr="00510550">
        <w:t xml:space="preserve">enefits </w:t>
      </w:r>
      <w:r w:rsidR="00413DF7">
        <w:t>m</w:t>
      </w:r>
      <w:r w:rsidRPr="00510550">
        <w:t xml:space="preserve">ost from </w:t>
      </w:r>
      <w:r w:rsidR="00413DF7">
        <w:t>c</w:t>
      </w:r>
      <w:r w:rsidRPr="00510550">
        <w:t xml:space="preserve">ollege? Evidence for </w:t>
      </w:r>
      <w:r w:rsidR="00413DF7">
        <w:t>n</w:t>
      </w:r>
      <w:r w:rsidRPr="00510550">
        <w:t xml:space="preserve">egative </w:t>
      </w:r>
      <w:r w:rsidR="00413DF7">
        <w:t>s</w:t>
      </w:r>
      <w:r w:rsidRPr="00510550">
        <w:t xml:space="preserve">election in </w:t>
      </w:r>
      <w:r w:rsidR="00413DF7">
        <w:t>h</w:t>
      </w:r>
      <w:r w:rsidRPr="00510550">
        <w:t xml:space="preserve">eterogeneous </w:t>
      </w:r>
      <w:r w:rsidR="00413DF7">
        <w:t>e</w:t>
      </w:r>
      <w:r w:rsidRPr="00510550">
        <w:t xml:space="preserve">conomic </w:t>
      </w:r>
      <w:r w:rsidR="00413DF7">
        <w:t>r</w:t>
      </w:r>
      <w:r w:rsidRPr="00510550">
        <w:t xml:space="preserve">eturns to </w:t>
      </w:r>
      <w:r w:rsidR="00413DF7">
        <w:t>h</w:t>
      </w:r>
      <w:r w:rsidRPr="00510550">
        <w:t xml:space="preserve">igher </w:t>
      </w:r>
      <w:r w:rsidR="00413DF7">
        <w:t>e</w:t>
      </w:r>
      <w:r w:rsidRPr="00510550">
        <w:t xml:space="preserve">ducation. </w:t>
      </w:r>
      <w:r w:rsidRPr="007E58C6">
        <w:rPr>
          <w:i/>
          <w:iCs/>
        </w:rPr>
        <w:t>American Sociological Review</w:t>
      </w:r>
      <w:r w:rsidRPr="00510550">
        <w:t xml:space="preserve">, 75(2), 273-302. </w:t>
      </w:r>
    </w:p>
    <w:p w14:paraId="2B29A8F8" w14:textId="3F0F4263" w:rsidR="009605BA" w:rsidRPr="002904FC" w:rsidRDefault="009605BA" w:rsidP="009605BA">
      <w:pPr>
        <w:spacing w:line="480" w:lineRule="auto"/>
        <w:ind w:left="720" w:hanging="720"/>
        <w:rPr>
          <w:bCs/>
        </w:rPr>
      </w:pPr>
      <w:r w:rsidRPr="00A7386B">
        <w:rPr>
          <w:bCs/>
        </w:rPr>
        <w:t xml:space="preserve">Bunch, G. C., &amp; Endris, A. K. (2012). Navigating “open access” community colleges: Matriculation policies and practices for US-educated linguistic minority students. In Y. Kanno &amp; L. Harklau (Eds.), </w:t>
      </w:r>
      <w:r w:rsidRPr="00A7386B">
        <w:rPr>
          <w:bCs/>
          <w:i/>
          <w:iCs/>
        </w:rPr>
        <w:t xml:space="preserve">Linguistic minority students go to college: Preparation, access, and persistence </w:t>
      </w:r>
      <w:r w:rsidRPr="00A7386B">
        <w:rPr>
          <w:bCs/>
        </w:rPr>
        <w:t xml:space="preserve">(pp. 165–183). Routledge. </w:t>
      </w:r>
    </w:p>
    <w:p w14:paraId="6D7BE1EC" w14:textId="3C03470C" w:rsidR="00A40F25" w:rsidRPr="00975708" w:rsidRDefault="00A40F25" w:rsidP="00325C6B">
      <w:pPr>
        <w:autoSpaceDE w:val="0"/>
        <w:autoSpaceDN w:val="0"/>
        <w:adjustRightInd w:val="0"/>
        <w:spacing w:line="480" w:lineRule="auto"/>
      </w:pPr>
      <w:r w:rsidRPr="00975708">
        <w:t xml:space="preserve">Burns, H., &amp; Lewis, B. (2000). Dual-enrolled students' perception of the effect of classroom </w:t>
      </w:r>
    </w:p>
    <w:p w14:paraId="71B15CCE" w14:textId="47729952" w:rsidR="00A3372A" w:rsidRPr="00F82D72" w:rsidRDefault="00A40F25" w:rsidP="00A3372A">
      <w:pPr>
        <w:autoSpaceDE w:val="0"/>
        <w:autoSpaceDN w:val="0"/>
        <w:adjustRightInd w:val="0"/>
        <w:spacing w:line="480" w:lineRule="auto"/>
        <w:ind w:left="720"/>
      </w:pPr>
      <w:r w:rsidRPr="00975708">
        <w:lastRenderedPageBreak/>
        <w:t xml:space="preserve">environment on educational experience. </w:t>
      </w:r>
      <w:r w:rsidRPr="00975708">
        <w:rPr>
          <w:i/>
          <w:iCs/>
        </w:rPr>
        <w:t>The Qualitative Report</w:t>
      </w:r>
      <w:r w:rsidRPr="00975708">
        <w:t xml:space="preserve">, </w:t>
      </w:r>
      <w:r w:rsidRPr="00975708">
        <w:rPr>
          <w:i/>
          <w:iCs/>
        </w:rPr>
        <w:t>4</w:t>
      </w:r>
      <w:r w:rsidRPr="00975708">
        <w:t xml:space="preserve">(1), 1-10. </w:t>
      </w:r>
      <w:hyperlink r:id="rId9" w:history="1">
        <w:r w:rsidR="00CE71E8" w:rsidRPr="00D45266">
          <w:t>https://nsuworks.nova.edu/tqr/vol4/iss1/7/</w:t>
        </w:r>
      </w:hyperlink>
    </w:p>
    <w:p w14:paraId="72159531" w14:textId="77777777" w:rsidR="00A23B02" w:rsidRPr="00684CBA" w:rsidRDefault="00A23B02" w:rsidP="00A23B02">
      <w:pPr>
        <w:spacing w:line="480" w:lineRule="auto"/>
        <w:ind w:left="720" w:hanging="720"/>
      </w:pPr>
      <w:r w:rsidRPr="00684CBA">
        <w:t xml:space="preserve">Cabrera, A. F., &amp; La Nasa, S. M. (2001). On the path to college: Three critical tasks facing America’s disadvantaged. </w:t>
      </w:r>
      <w:r w:rsidRPr="00684CBA">
        <w:rPr>
          <w:i/>
          <w:iCs/>
        </w:rPr>
        <w:t>Research in Higher Education, 42</w:t>
      </w:r>
      <w:r w:rsidRPr="00684CBA">
        <w:t xml:space="preserve">(2), 119–149. </w:t>
      </w:r>
    </w:p>
    <w:p w14:paraId="4DE8C71D" w14:textId="70559090" w:rsidR="00A3372A" w:rsidRPr="008E2E86" w:rsidRDefault="00A3372A" w:rsidP="009F677A">
      <w:pPr>
        <w:autoSpaceDE w:val="0"/>
        <w:autoSpaceDN w:val="0"/>
        <w:adjustRightInd w:val="0"/>
        <w:spacing w:line="480" w:lineRule="auto"/>
        <w:ind w:left="720" w:hanging="720"/>
      </w:pPr>
      <w:r w:rsidRPr="00D45266">
        <w:t xml:space="preserve">Calderón, M. E., Slavin, R. E., &amp; Sánchez, M. (2011). Effective instruction for English learners. </w:t>
      </w:r>
      <w:r w:rsidRPr="00381788">
        <w:rPr>
          <w:i/>
          <w:iCs/>
        </w:rPr>
        <w:t>Future of Children</w:t>
      </w:r>
      <w:r w:rsidRPr="008E2E86">
        <w:t xml:space="preserve">, </w:t>
      </w:r>
      <w:r w:rsidRPr="008E2E86">
        <w:rPr>
          <w:i/>
          <w:iCs/>
        </w:rPr>
        <w:t>21</w:t>
      </w:r>
      <w:r w:rsidRPr="008E2E86">
        <w:t xml:space="preserve">(1), 103-127. </w:t>
      </w:r>
    </w:p>
    <w:p w14:paraId="37718C95" w14:textId="3C3EBD16" w:rsidR="003D483A" w:rsidRPr="00340362" w:rsidRDefault="003D483A" w:rsidP="00FF4C6D">
      <w:pPr>
        <w:pStyle w:val="NormalWeb"/>
        <w:spacing w:before="0" w:beforeAutospacing="0" w:after="0" w:afterAutospacing="0" w:line="480" w:lineRule="auto"/>
        <w:ind w:left="720" w:hanging="720"/>
      </w:pPr>
      <w:r w:rsidRPr="008E2E86">
        <w:t xml:space="preserve">Callahan, R.M. (2005). Tracking and high school English learners: Limiting opportunity to learn. </w:t>
      </w:r>
      <w:r w:rsidRPr="00F6420B">
        <w:rPr>
          <w:i/>
          <w:iCs/>
        </w:rPr>
        <w:t>American Educational Research Journal, 42</w:t>
      </w:r>
      <w:r w:rsidRPr="0004443F">
        <w:t xml:space="preserve">(2), 305-328. </w:t>
      </w:r>
    </w:p>
    <w:p w14:paraId="4485DD8F" w14:textId="32EDAFD8" w:rsidR="00F340FD" w:rsidRPr="00C11D37" w:rsidRDefault="00F340FD" w:rsidP="00E75632">
      <w:pPr>
        <w:autoSpaceDE w:val="0"/>
        <w:autoSpaceDN w:val="0"/>
        <w:adjustRightInd w:val="0"/>
        <w:spacing w:line="480" w:lineRule="auto"/>
        <w:ind w:left="720" w:hanging="720"/>
      </w:pPr>
      <w:r w:rsidRPr="00340362">
        <w:t>Callahan, R. M., &amp; Humphries, M. H. (2016). Undermatched? School-based linguistic status, college going</w:t>
      </w:r>
      <w:r w:rsidRPr="00347D45">
        <w:t xml:space="preserve">, and the immigrant advantage. </w:t>
      </w:r>
      <w:r w:rsidRPr="0072667E">
        <w:rPr>
          <w:i/>
          <w:iCs/>
        </w:rPr>
        <w:t>American Educational Research Journal</w:t>
      </w:r>
      <w:r w:rsidRPr="00C11D37">
        <w:t xml:space="preserve">, </w:t>
      </w:r>
      <w:r w:rsidRPr="00C11D37">
        <w:rPr>
          <w:i/>
          <w:iCs/>
        </w:rPr>
        <w:t>53</w:t>
      </w:r>
      <w:r w:rsidRPr="00C11D37">
        <w:t xml:space="preserve">(2), 263–295. </w:t>
      </w:r>
    </w:p>
    <w:p w14:paraId="770B6C7B" w14:textId="1270B1F6" w:rsidR="002C55A0" w:rsidRPr="00C11D37" w:rsidRDefault="00E75632" w:rsidP="002C55A0">
      <w:pPr>
        <w:pStyle w:val="NormalWeb"/>
        <w:spacing w:before="0" w:beforeAutospacing="0" w:after="0" w:afterAutospacing="0" w:line="480" w:lineRule="auto"/>
        <w:ind w:left="720" w:hanging="720"/>
      </w:pPr>
      <w:r w:rsidRPr="00C11D37">
        <w:t xml:space="preserve">Callahan, R. M., &amp; Shifrer, D. (2012). High school ESL placement: Practice, policy, and effects on achievement. In Y. Kanno &amp; L. Harklau (Eds.), </w:t>
      </w:r>
      <w:r w:rsidRPr="00C11D37">
        <w:rPr>
          <w:i/>
          <w:iCs/>
        </w:rPr>
        <w:t xml:space="preserve">Linguistic minority students go to college: Preparation, access, and persistence </w:t>
      </w:r>
      <w:r w:rsidRPr="00C11D37">
        <w:t>(pp. 19–37). Routledge.</w:t>
      </w:r>
    </w:p>
    <w:p w14:paraId="7D665B57" w14:textId="182FF977" w:rsidR="002C55A0" w:rsidRPr="00C11D37" w:rsidRDefault="002C55A0" w:rsidP="002C55A0">
      <w:pPr>
        <w:pStyle w:val="NormalWeb"/>
        <w:spacing w:before="0" w:beforeAutospacing="0" w:after="0" w:afterAutospacing="0" w:line="480" w:lineRule="auto"/>
        <w:ind w:left="720" w:hanging="720"/>
      </w:pPr>
      <w:r w:rsidRPr="00C11D37">
        <w:t xml:space="preserve">Callahan, R. M., &amp; Shifrer, D. (2016). Equitable access for secondary English learner students: Course taking as evidence of EL program effectiveness. </w:t>
      </w:r>
      <w:r w:rsidRPr="00C11D37">
        <w:rPr>
          <w:i/>
          <w:iCs/>
        </w:rPr>
        <w:t>Educational Administration Quarterly</w:t>
      </w:r>
      <w:r w:rsidRPr="00C11D37">
        <w:t xml:space="preserve">, </w:t>
      </w:r>
      <w:r w:rsidRPr="00C11D37">
        <w:rPr>
          <w:i/>
          <w:iCs/>
        </w:rPr>
        <w:t>52</w:t>
      </w:r>
      <w:r w:rsidRPr="00C11D37">
        <w:t xml:space="preserve">(3), 463–496. </w:t>
      </w:r>
    </w:p>
    <w:p w14:paraId="5550FDCD" w14:textId="0C5D9694" w:rsidR="00367A00" w:rsidRPr="00C11D37" w:rsidRDefault="00367A00" w:rsidP="00367A00">
      <w:pPr>
        <w:pStyle w:val="NormalWeb"/>
        <w:spacing w:before="0" w:beforeAutospacing="0" w:after="0" w:afterAutospacing="0" w:line="480" w:lineRule="auto"/>
        <w:ind w:left="720" w:hanging="720"/>
      </w:pPr>
      <w:r w:rsidRPr="00C11D37">
        <w:t xml:space="preserve">Carhill, A., Suarez-Orozco, C., &amp; Paez, M. (2008). Explaining English language proficiency among adolescent immigrant students. </w:t>
      </w:r>
      <w:r w:rsidRPr="00C11D37">
        <w:rPr>
          <w:i/>
          <w:iCs/>
        </w:rPr>
        <w:t>American Educational Research Journal, 45</w:t>
      </w:r>
      <w:r w:rsidRPr="00C11D37">
        <w:t xml:space="preserve">(4), 1155-1179. </w:t>
      </w:r>
    </w:p>
    <w:p w14:paraId="55F1619B" w14:textId="77777777" w:rsidR="00A2198D" w:rsidRPr="00D45266" w:rsidRDefault="00A2198D" w:rsidP="00A2198D">
      <w:pPr>
        <w:autoSpaceDE w:val="0"/>
        <w:autoSpaceDN w:val="0"/>
        <w:adjustRightInd w:val="0"/>
        <w:spacing w:line="480" w:lineRule="auto"/>
      </w:pPr>
      <w:r w:rsidRPr="00975708">
        <w:t xml:space="preserve">Cassidy, L., Keating, K., &amp; Young, V. (2010). </w:t>
      </w:r>
      <w:r w:rsidRPr="00F82D72">
        <w:t>Dual enrollment: Lessons learned on school‐</w:t>
      </w:r>
    </w:p>
    <w:p w14:paraId="442BB8F1" w14:textId="4EF78BBC" w:rsidR="00A2198D" w:rsidRPr="008E2E86" w:rsidRDefault="00A2198D" w:rsidP="00A2198D">
      <w:pPr>
        <w:autoSpaceDE w:val="0"/>
        <w:autoSpaceDN w:val="0"/>
        <w:adjustRightInd w:val="0"/>
        <w:spacing w:line="480" w:lineRule="auto"/>
        <w:ind w:firstLine="720"/>
      </w:pPr>
      <w:r w:rsidRPr="00381788">
        <w:t>level implementation. SRI International.</w:t>
      </w:r>
    </w:p>
    <w:p w14:paraId="3B1BD762" w14:textId="77777777" w:rsidR="00424E69" w:rsidRPr="00424E69" w:rsidRDefault="00424E69" w:rsidP="00424E69">
      <w:pPr>
        <w:spacing w:line="480" w:lineRule="auto"/>
        <w:ind w:left="720" w:hanging="720"/>
      </w:pPr>
      <w:r w:rsidRPr="00424E69">
        <w:lastRenderedPageBreak/>
        <w:t xml:space="preserve">Cellini, S. R. (2006). Smoothing the transition to college? The effect of Tech-Prep programs on educational attainment. </w:t>
      </w:r>
      <w:r w:rsidRPr="00424E69">
        <w:rPr>
          <w:i/>
          <w:iCs/>
        </w:rPr>
        <w:t>Economics of Education Review</w:t>
      </w:r>
      <w:r w:rsidRPr="00424E69">
        <w:t xml:space="preserve">, </w:t>
      </w:r>
      <w:r w:rsidRPr="00424E69">
        <w:rPr>
          <w:i/>
          <w:iCs/>
        </w:rPr>
        <w:t>25</w:t>
      </w:r>
      <w:r w:rsidRPr="00424E69">
        <w:t>(4), 394–411. https://doi.org/10.1016/j.econedurev.2005.07.006</w:t>
      </w:r>
    </w:p>
    <w:p w14:paraId="13FEA65F" w14:textId="0867F5AD" w:rsidR="003834F8" w:rsidRPr="003F7515" w:rsidRDefault="003834F8" w:rsidP="003834F8">
      <w:pPr>
        <w:spacing w:line="480" w:lineRule="auto"/>
        <w:ind w:left="720" w:hanging="720"/>
      </w:pPr>
      <w:r w:rsidRPr="003F7515">
        <w:t xml:space="preserve">Conley, D. T. (2005). </w:t>
      </w:r>
      <w:r w:rsidRPr="003F7515">
        <w:rPr>
          <w:i/>
          <w:iCs/>
        </w:rPr>
        <w:t>College knowledge: What it really takes for students to succeed and what we can do to get them ready</w:t>
      </w:r>
      <w:r w:rsidRPr="003F7515">
        <w:t xml:space="preserve">. Jossey-Bass. </w:t>
      </w:r>
    </w:p>
    <w:p w14:paraId="6A6AFFC8" w14:textId="7543C6BA" w:rsidR="00A40F25" w:rsidRPr="0004443F" w:rsidRDefault="00A40F25" w:rsidP="00325C6B">
      <w:pPr>
        <w:autoSpaceDE w:val="0"/>
        <w:autoSpaceDN w:val="0"/>
        <w:adjustRightInd w:val="0"/>
        <w:spacing w:line="480" w:lineRule="auto"/>
        <w:rPr>
          <w:i/>
        </w:rPr>
      </w:pPr>
      <w:r w:rsidRPr="008E2E86">
        <w:t xml:space="preserve">Conley, D. T. (2008) Rethinking college readiness. </w:t>
      </w:r>
      <w:r w:rsidRPr="00F6420B">
        <w:rPr>
          <w:i/>
        </w:rPr>
        <w:t xml:space="preserve">New Directions for Higher Education, 144, </w:t>
      </w:r>
    </w:p>
    <w:p w14:paraId="25E39711" w14:textId="77777777" w:rsidR="00A40F25" w:rsidRPr="00347D45" w:rsidRDefault="00A40F25" w:rsidP="00325C6B">
      <w:pPr>
        <w:autoSpaceDE w:val="0"/>
        <w:autoSpaceDN w:val="0"/>
        <w:adjustRightInd w:val="0"/>
        <w:spacing w:line="480" w:lineRule="auto"/>
        <w:ind w:firstLine="720"/>
      </w:pPr>
      <w:r w:rsidRPr="00340362">
        <w:t>DOI: 10.1002/he.321.</w:t>
      </w:r>
    </w:p>
    <w:p w14:paraId="272720DF" w14:textId="77777777" w:rsidR="00A40F25" w:rsidRPr="00C11D37" w:rsidRDefault="00A40F25" w:rsidP="00325C6B">
      <w:pPr>
        <w:autoSpaceDE w:val="0"/>
        <w:autoSpaceDN w:val="0"/>
        <w:adjustRightInd w:val="0"/>
        <w:spacing w:line="480" w:lineRule="auto"/>
      </w:pPr>
      <w:r w:rsidRPr="0072667E">
        <w:t>Cowan, J. &amp; Goldhaber</w:t>
      </w:r>
      <w:r w:rsidRPr="00C11D37">
        <w:t xml:space="preserve">, D. (2015). How much of a “running start” does dual enrollment </w:t>
      </w:r>
      <w:proofErr w:type="gramStart"/>
      <w:r w:rsidRPr="00C11D37">
        <w:t>provide</w:t>
      </w:r>
      <w:proofErr w:type="gramEnd"/>
      <w:r w:rsidRPr="00C11D37">
        <w:t xml:space="preserve"> </w:t>
      </w:r>
    </w:p>
    <w:p w14:paraId="0E9872D5" w14:textId="1FFDC772" w:rsidR="00A473CE" w:rsidRPr="00C11D37" w:rsidRDefault="00A40F25" w:rsidP="00325C6B">
      <w:pPr>
        <w:autoSpaceDE w:val="0"/>
        <w:autoSpaceDN w:val="0"/>
        <w:adjustRightInd w:val="0"/>
        <w:spacing w:line="480" w:lineRule="auto"/>
        <w:ind w:firstLine="720"/>
      </w:pPr>
      <w:r w:rsidRPr="00C11D37">
        <w:t xml:space="preserve">students? </w:t>
      </w:r>
      <w:r w:rsidRPr="00C11D37">
        <w:rPr>
          <w:i/>
        </w:rPr>
        <w:t>The Review of Higher Education, 38</w:t>
      </w:r>
      <w:r w:rsidRPr="00C11D37">
        <w:t xml:space="preserve">(3), 425-460. </w:t>
      </w:r>
    </w:p>
    <w:p w14:paraId="4AFE13BF" w14:textId="67A111E1" w:rsidR="00A473CE" w:rsidRPr="00C11D37" w:rsidRDefault="00A473CE" w:rsidP="00A473CE">
      <w:pPr>
        <w:autoSpaceDE w:val="0"/>
        <w:autoSpaceDN w:val="0"/>
        <w:adjustRightInd w:val="0"/>
        <w:spacing w:line="480" w:lineRule="auto"/>
        <w:ind w:left="720" w:hanging="720"/>
      </w:pPr>
      <w:r w:rsidRPr="00C11D37">
        <w:t xml:space="preserve">Dabach, D.B. (2014). ‘I am not a shelter!’: Stigma and social boundaries in teachers’ accounts of students’ experience in separate ‘sheltered’ English learner classrooms. </w:t>
      </w:r>
      <w:r w:rsidRPr="00C11D37">
        <w:rPr>
          <w:i/>
          <w:iCs/>
        </w:rPr>
        <w:t>Journal of Education for Students Placed at Risk, 19</w:t>
      </w:r>
      <w:r w:rsidRPr="00C11D37">
        <w:t>(2), 98–124.</w:t>
      </w:r>
    </w:p>
    <w:p w14:paraId="498015AA" w14:textId="17489005" w:rsidR="00A40F25" w:rsidRPr="00C11D37" w:rsidRDefault="00B11F5B" w:rsidP="00325C6B">
      <w:pPr>
        <w:spacing w:line="480" w:lineRule="auto"/>
        <w:outlineLvl w:val="0"/>
      </w:pPr>
      <w:r w:rsidRPr="00C11D37">
        <w:t>ED Data Express. (2017</w:t>
      </w:r>
      <w:r w:rsidR="00A40F25" w:rsidRPr="00C11D37">
        <w:t xml:space="preserve">). State Graduation Rates. </w:t>
      </w:r>
    </w:p>
    <w:p w14:paraId="51CBF6D8" w14:textId="5745D82A" w:rsidR="00A40F25" w:rsidRPr="00C11D37" w:rsidRDefault="00A40F25" w:rsidP="00325C6B">
      <w:pPr>
        <w:spacing w:line="480" w:lineRule="auto"/>
        <w:ind w:firstLine="720"/>
      </w:pPr>
      <w:r w:rsidRPr="00C11D37">
        <w:t>https://eddataexpress.ed.gov/</w:t>
      </w:r>
    </w:p>
    <w:p w14:paraId="62E792D5" w14:textId="25D20F08" w:rsidR="002021AF" w:rsidRPr="00C11D37" w:rsidRDefault="002021AF" w:rsidP="00FF4C6D">
      <w:pPr>
        <w:pStyle w:val="NormalWeb"/>
        <w:spacing w:before="0" w:beforeAutospacing="0" w:after="0" w:afterAutospacing="0" w:line="480" w:lineRule="auto"/>
        <w:ind w:left="720" w:hanging="720"/>
      </w:pPr>
      <w:r w:rsidRPr="00C11D37">
        <w:t xml:space="preserve">Edmunds, J.A. (2016). Early college puts youth on a college track. </w:t>
      </w:r>
      <w:r w:rsidRPr="00C11D37">
        <w:rPr>
          <w:i/>
          <w:iCs/>
        </w:rPr>
        <w:t>The Phi Delta Kappan, 97</w:t>
      </w:r>
      <w:r w:rsidRPr="00C11D37">
        <w:t>(5), 38-42.</w:t>
      </w:r>
    </w:p>
    <w:p w14:paraId="18C99F60" w14:textId="7A27C618" w:rsidR="00A40F25" w:rsidRPr="00C11D37" w:rsidRDefault="00A40F25" w:rsidP="00325C6B">
      <w:pPr>
        <w:spacing w:line="480" w:lineRule="auto"/>
      </w:pPr>
      <w:r w:rsidRPr="00C11D37">
        <w:t xml:space="preserve">Edmunds, J. A., Bernstein, L., Glennie, E., </w:t>
      </w:r>
      <w:proofErr w:type="spellStart"/>
      <w:r w:rsidRPr="00C11D37">
        <w:t>Willse</w:t>
      </w:r>
      <w:proofErr w:type="spellEnd"/>
      <w:r w:rsidRPr="00C11D37">
        <w:t xml:space="preserve">, J., Arshavsky, N., Unlu, F…Dallas, A. </w:t>
      </w:r>
    </w:p>
    <w:p w14:paraId="09F3F6BA" w14:textId="77777777" w:rsidR="00A40F25" w:rsidRPr="00C11D37" w:rsidRDefault="00A40F25" w:rsidP="00325C6B">
      <w:pPr>
        <w:spacing w:line="480" w:lineRule="auto"/>
        <w:ind w:left="720"/>
      </w:pPr>
      <w:r w:rsidRPr="00C11D37">
        <w:t xml:space="preserve">(2010). Preparing students for college: The implementation and impact of the early college high school model. </w:t>
      </w:r>
      <w:r w:rsidRPr="00C11D37">
        <w:rPr>
          <w:i/>
        </w:rPr>
        <w:t>Peabody Journal of Education, 85</w:t>
      </w:r>
      <w:r w:rsidRPr="00C11D37">
        <w:t xml:space="preserve">(3), 348-364. </w:t>
      </w:r>
    </w:p>
    <w:p w14:paraId="6F4CF0AB" w14:textId="77777777" w:rsidR="00A40F25" w:rsidRPr="00C11D37" w:rsidRDefault="00A40F25" w:rsidP="00325C6B">
      <w:pPr>
        <w:autoSpaceDE w:val="0"/>
        <w:autoSpaceDN w:val="0"/>
        <w:adjustRightInd w:val="0"/>
        <w:spacing w:line="480" w:lineRule="auto"/>
      </w:pPr>
      <w:r w:rsidRPr="00C11D37">
        <w:t xml:space="preserve">Edmunds, J. A., Bernstein, L., Unlu, F., Glennie, E., </w:t>
      </w:r>
      <w:proofErr w:type="spellStart"/>
      <w:r w:rsidRPr="00C11D37">
        <w:t>Willse</w:t>
      </w:r>
      <w:proofErr w:type="spellEnd"/>
      <w:r w:rsidRPr="00C11D37">
        <w:t xml:space="preserve">, J., Smith, A., &amp; Arshavsky, N. </w:t>
      </w:r>
    </w:p>
    <w:p w14:paraId="7FEA3242" w14:textId="6A2DDB61" w:rsidR="00126D54" w:rsidRPr="00C11D37" w:rsidRDefault="00A40F25" w:rsidP="000C3D03">
      <w:pPr>
        <w:autoSpaceDE w:val="0"/>
        <w:autoSpaceDN w:val="0"/>
        <w:adjustRightInd w:val="0"/>
        <w:spacing w:line="480" w:lineRule="auto"/>
        <w:ind w:left="720"/>
      </w:pPr>
      <w:r w:rsidRPr="00C11D37">
        <w:t xml:space="preserve">(2012). Expanding the start of the college pipeline: Ninth-grade findings from an experimental study of the impact of the Early College High School model, </w:t>
      </w:r>
      <w:r w:rsidRPr="00413DF7">
        <w:rPr>
          <w:i/>
          <w:iCs/>
        </w:rPr>
        <w:t>Journal of</w:t>
      </w:r>
      <w:r w:rsidRPr="00C11D37">
        <w:t xml:space="preserve"> </w:t>
      </w:r>
      <w:r w:rsidRPr="00413DF7">
        <w:rPr>
          <w:i/>
          <w:iCs/>
        </w:rPr>
        <w:lastRenderedPageBreak/>
        <w:t>Research on Educational Effectiveness</w:t>
      </w:r>
      <w:r w:rsidRPr="00C11D37">
        <w:t xml:space="preserve">, </w:t>
      </w:r>
      <w:r w:rsidRPr="00413DF7">
        <w:rPr>
          <w:i/>
          <w:iCs/>
        </w:rPr>
        <w:t>5</w:t>
      </w:r>
      <w:r w:rsidR="00413DF7">
        <w:t>(</w:t>
      </w:r>
      <w:r w:rsidRPr="00C11D37">
        <w:t>2</w:t>
      </w:r>
      <w:r w:rsidR="00413DF7">
        <w:t>)</w:t>
      </w:r>
      <w:r w:rsidRPr="00C11D37">
        <w:t>, 136-159, DOI:10.1080/19345747.2012.656182</w:t>
      </w:r>
    </w:p>
    <w:p w14:paraId="0E491A1B" w14:textId="2DE387FE" w:rsidR="002021AF" w:rsidRPr="00C11D37" w:rsidRDefault="002021AF" w:rsidP="00FF4C6D">
      <w:pPr>
        <w:pStyle w:val="NormalWeb"/>
        <w:spacing w:before="0" w:beforeAutospacing="0" w:after="0" w:afterAutospacing="0" w:line="480" w:lineRule="auto"/>
        <w:ind w:left="720" w:hanging="720"/>
      </w:pPr>
      <w:r w:rsidRPr="00C11D37">
        <w:t xml:space="preserve">Edmunds, J. A., Unlu, F., Glennie, E., Bernstein, L., Fesler, L., Furey, J., &amp; Arshavsky, N. (2017). Smoothing the transition to postsecondary education: The impact of the early college model. </w:t>
      </w:r>
      <w:r w:rsidRPr="00C11D37">
        <w:rPr>
          <w:i/>
          <w:iCs/>
        </w:rPr>
        <w:t>Journal of Research on Educational Effectiveness, 10</w:t>
      </w:r>
      <w:r w:rsidRPr="00C11D37">
        <w:t xml:space="preserve">(2), 297–325. </w:t>
      </w:r>
    </w:p>
    <w:p w14:paraId="33E7C0FD" w14:textId="7C461238" w:rsidR="00646D17" w:rsidRPr="00F82D72" w:rsidRDefault="00126D54" w:rsidP="00646D17">
      <w:pPr>
        <w:autoSpaceDE w:val="0"/>
        <w:autoSpaceDN w:val="0"/>
        <w:adjustRightInd w:val="0"/>
        <w:spacing w:line="480" w:lineRule="auto"/>
        <w:ind w:left="720" w:hanging="720"/>
        <w:rPr>
          <w:rStyle w:val="Hyperlink"/>
          <w:color w:val="auto"/>
          <w:u w:val="none"/>
        </w:rPr>
      </w:pPr>
      <w:r w:rsidRPr="00C11D37">
        <w:t xml:space="preserve">Fink, J., Jenkins, D., &amp; Yanagiura, T. (2017). </w:t>
      </w:r>
      <w:r w:rsidRPr="00C11D37">
        <w:rPr>
          <w:i/>
          <w:iCs/>
        </w:rPr>
        <w:t>What happens to students who take community college ‘dual enrollment’ courses in high school?</w:t>
      </w:r>
      <w:r w:rsidRPr="00C11D37">
        <w:t xml:space="preserve"> National Student Clearinghouse Research Center, Community College Research Center, Teachers College Columbia University. </w:t>
      </w:r>
      <w:hyperlink r:id="rId10" w:history="1">
        <w:r w:rsidRPr="00D45266">
          <w:rPr>
            <w:rStyle w:val="Hyperlink"/>
            <w:color w:val="auto"/>
            <w:u w:val="none"/>
          </w:rPr>
          <w:t>https://ccrc.tc.columbia.edu/media/k2/attachments/what-happens-community-college-dual-enrollment-students.pdf</w:t>
        </w:r>
      </w:hyperlink>
    </w:p>
    <w:p w14:paraId="08ED56C8" w14:textId="77777777" w:rsidR="00E60749" w:rsidRPr="00F6420B" w:rsidRDefault="00646D17" w:rsidP="00E60749">
      <w:pPr>
        <w:autoSpaceDE w:val="0"/>
        <w:autoSpaceDN w:val="0"/>
        <w:adjustRightInd w:val="0"/>
        <w:spacing w:line="480" w:lineRule="auto"/>
        <w:ind w:left="720" w:hanging="720"/>
      </w:pPr>
      <w:r w:rsidRPr="00D45266">
        <w:t xml:space="preserve">Flores, S.M. (2010). State Dream Acts: The effect of in-state resident tuition policies and undocumented Latino students. </w:t>
      </w:r>
      <w:r w:rsidRPr="00381788">
        <w:rPr>
          <w:i/>
          <w:iCs/>
        </w:rPr>
        <w:t>Review of Higher Education, 33</w:t>
      </w:r>
      <w:r w:rsidRPr="008E2E86">
        <w:t xml:space="preserve">(2), 239-283. </w:t>
      </w:r>
    </w:p>
    <w:p w14:paraId="62EE20F0" w14:textId="2735E375" w:rsidR="006B7BDF" w:rsidRPr="000D051B" w:rsidRDefault="006B7BDF" w:rsidP="006B7BDF">
      <w:pPr>
        <w:spacing w:line="480" w:lineRule="auto"/>
        <w:ind w:left="720" w:hanging="720"/>
      </w:pPr>
      <w:r w:rsidRPr="000D051B">
        <w:t>G</w:t>
      </w:r>
      <w:r>
        <w:t>a</w:t>
      </w:r>
      <w:r w:rsidRPr="000D051B">
        <w:t xml:space="preserve">ndara, P. (2008). Immigrants and English learners: Can multiple pathways smooth their paths? In J. Oakes &amp; M. Saunders (Eds.), </w:t>
      </w:r>
      <w:r w:rsidRPr="000D051B">
        <w:rPr>
          <w:i/>
          <w:iCs/>
        </w:rPr>
        <w:t xml:space="preserve">Beyond tracking: Multiple pathways to college, career, and civic participation </w:t>
      </w:r>
      <w:r w:rsidRPr="000D051B">
        <w:t>(pp. 71–90). Harvard Education Press.</w:t>
      </w:r>
    </w:p>
    <w:p w14:paraId="062B5A03" w14:textId="77777777" w:rsidR="00D747BF" w:rsidRPr="008D3CA0" w:rsidRDefault="00D747BF" w:rsidP="00D747BF">
      <w:pPr>
        <w:spacing w:line="480" w:lineRule="auto"/>
        <w:ind w:left="720" w:hanging="720"/>
      </w:pPr>
      <w:r w:rsidRPr="00F623E0">
        <w:t>Garcia, L.D., &amp; Tierney, W.G. (2011)</w:t>
      </w:r>
      <w:r>
        <w:t xml:space="preserve">. Undocumented immigrants in higher education: A preliminary analysis. </w:t>
      </w:r>
      <w:r>
        <w:rPr>
          <w:i/>
          <w:iCs/>
        </w:rPr>
        <w:t>Teachers College Record, 113</w:t>
      </w:r>
      <w:r>
        <w:t>(12), 2739-2776.</w:t>
      </w:r>
    </w:p>
    <w:p w14:paraId="33374911" w14:textId="77777777" w:rsidR="00E60749" w:rsidRPr="0072667E" w:rsidRDefault="00E60749" w:rsidP="00E60749">
      <w:pPr>
        <w:autoSpaceDE w:val="0"/>
        <w:autoSpaceDN w:val="0"/>
        <w:adjustRightInd w:val="0"/>
        <w:spacing w:line="480" w:lineRule="auto"/>
        <w:ind w:left="720" w:hanging="720"/>
      </w:pPr>
      <w:r w:rsidRPr="0004443F">
        <w:t xml:space="preserve">Goldrick-Rab, S. (2010). Challenges and opportunities for improving community college student success. </w:t>
      </w:r>
      <w:r w:rsidRPr="00340362">
        <w:rPr>
          <w:i/>
          <w:iCs/>
        </w:rPr>
        <w:t xml:space="preserve">Review of Education Research, 80, </w:t>
      </w:r>
      <w:r w:rsidRPr="00347D45">
        <w:t xml:space="preserve">437–467. </w:t>
      </w:r>
    </w:p>
    <w:p w14:paraId="4F1357DB" w14:textId="5963D5BF" w:rsidR="00AD4C82" w:rsidRPr="00F82D72" w:rsidRDefault="00AD4C82" w:rsidP="00E60749">
      <w:pPr>
        <w:autoSpaceDE w:val="0"/>
        <w:autoSpaceDN w:val="0"/>
        <w:adjustRightInd w:val="0"/>
        <w:spacing w:line="480" w:lineRule="auto"/>
        <w:ind w:left="720" w:hanging="720"/>
      </w:pPr>
      <w:r w:rsidRPr="0072667E">
        <w:t xml:space="preserve">Hakuta, K., Butler, Y.G., &amp; Witt, D. (2000). </w:t>
      </w:r>
      <w:r w:rsidRPr="00C11D37">
        <w:rPr>
          <w:i/>
          <w:iCs/>
        </w:rPr>
        <w:t xml:space="preserve">How long does it take English learners to attain proficiency? </w:t>
      </w:r>
      <w:r w:rsidRPr="00C11D37">
        <w:t xml:space="preserve">(University of California Linguistic Minority Research Institute Policy Report 2000-1). </w:t>
      </w:r>
      <w:hyperlink r:id="rId11" w:history="1">
        <w:r w:rsidRPr="00D45266">
          <w:rPr>
            <w:rStyle w:val="Hyperlink"/>
            <w:color w:val="auto"/>
            <w:u w:val="none"/>
          </w:rPr>
          <w:t>https://files.eric.ed.gov/fulltext/ED443275.pdf</w:t>
        </w:r>
      </w:hyperlink>
    </w:p>
    <w:p w14:paraId="73C799EA" w14:textId="3736DEEF" w:rsidR="00A40F25" w:rsidRPr="008E2E86" w:rsidRDefault="00A40F25" w:rsidP="00325C6B">
      <w:pPr>
        <w:autoSpaceDE w:val="0"/>
        <w:autoSpaceDN w:val="0"/>
        <w:adjustRightInd w:val="0"/>
        <w:spacing w:line="480" w:lineRule="auto"/>
      </w:pPr>
      <w:r w:rsidRPr="00D45266">
        <w:t>Haskell, R. E. (2016). The effects of dual-</w:t>
      </w:r>
      <w:r w:rsidRPr="00381788">
        <w:t xml:space="preserve">credit enrollment on underrepresented students: The </w:t>
      </w:r>
    </w:p>
    <w:p w14:paraId="563C7001" w14:textId="18218948" w:rsidR="005056F1" w:rsidRPr="00347D45" w:rsidRDefault="00A40F25" w:rsidP="00325C6B">
      <w:pPr>
        <w:autoSpaceDE w:val="0"/>
        <w:autoSpaceDN w:val="0"/>
        <w:adjustRightInd w:val="0"/>
        <w:spacing w:line="480" w:lineRule="auto"/>
        <w:ind w:firstLine="720"/>
      </w:pPr>
      <w:r w:rsidRPr="00F6420B">
        <w:lastRenderedPageBreak/>
        <w:t xml:space="preserve">Utah case. </w:t>
      </w:r>
      <w:r w:rsidRPr="0004443F">
        <w:rPr>
          <w:i/>
        </w:rPr>
        <w:t>International Journal of Economics and Finance, 8</w:t>
      </w:r>
      <w:r w:rsidRPr="00340362">
        <w:t xml:space="preserve">(1), 144-165. </w:t>
      </w:r>
    </w:p>
    <w:p w14:paraId="063010B5" w14:textId="77777777" w:rsidR="00FD030C" w:rsidRPr="00C11D37" w:rsidRDefault="005056F1" w:rsidP="00FD030C">
      <w:pPr>
        <w:autoSpaceDE w:val="0"/>
        <w:autoSpaceDN w:val="0"/>
        <w:adjustRightInd w:val="0"/>
        <w:spacing w:line="480" w:lineRule="auto"/>
        <w:ind w:left="720" w:hanging="720"/>
        <w:rPr>
          <w:i/>
          <w:iCs/>
        </w:rPr>
      </w:pPr>
      <w:r w:rsidRPr="0072667E">
        <w:t>Haxton, H., Song, M., Zeiser, K., Berger, A., Turk-Bicakci, L., Garet, Knudson, K., &amp; Hoshen, G. (2016). Longitudinal findings f</w:t>
      </w:r>
      <w:r w:rsidRPr="00C11D37">
        <w:t xml:space="preserve">rom the Early College High School Initiative Impact Study. </w:t>
      </w:r>
      <w:r w:rsidRPr="00C11D37">
        <w:rPr>
          <w:i/>
          <w:iCs/>
        </w:rPr>
        <w:t>Educational Evaluation and Policy Analysis, 38</w:t>
      </w:r>
      <w:r w:rsidRPr="00C11D37">
        <w:t>(2), 410–430</w:t>
      </w:r>
      <w:r w:rsidRPr="00C11D37">
        <w:rPr>
          <w:i/>
          <w:iCs/>
        </w:rPr>
        <w:t xml:space="preserve">. </w:t>
      </w:r>
    </w:p>
    <w:p w14:paraId="6B755493" w14:textId="660BDCD9" w:rsidR="00FD030C" w:rsidRPr="00C11D37" w:rsidRDefault="00FD030C" w:rsidP="00EE3371">
      <w:pPr>
        <w:autoSpaceDE w:val="0"/>
        <w:autoSpaceDN w:val="0"/>
        <w:adjustRightInd w:val="0"/>
        <w:spacing w:line="480" w:lineRule="auto"/>
        <w:ind w:left="720" w:hanging="720"/>
        <w:rPr>
          <w:i/>
          <w:iCs/>
        </w:rPr>
      </w:pPr>
      <w:r w:rsidRPr="00C11D37">
        <w:t xml:space="preserve">Hein, V., Smerdon, B., &amp; Sambolt, M. (2013). </w:t>
      </w:r>
      <w:r w:rsidRPr="00C11D37">
        <w:rPr>
          <w:i/>
          <w:iCs/>
        </w:rPr>
        <w:t>Predictors of Postsecondary Success</w:t>
      </w:r>
      <w:r w:rsidRPr="00C11D37">
        <w:t xml:space="preserve">. College and Career Readiness and Success Center at American Institutes for Research. </w:t>
      </w:r>
    </w:p>
    <w:p w14:paraId="2AFDBB25" w14:textId="70245037" w:rsidR="008E73C6" w:rsidRDefault="008F3108" w:rsidP="008F3108">
      <w:pPr>
        <w:spacing w:line="480" w:lineRule="auto"/>
        <w:ind w:left="720" w:hanging="720"/>
      </w:pPr>
      <w:r w:rsidRPr="003E6355">
        <w:t xml:space="preserve">Holland, M.M. (2019). </w:t>
      </w:r>
      <w:r w:rsidRPr="003E6355">
        <w:rPr>
          <w:i/>
          <w:iCs/>
        </w:rPr>
        <w:t>Divergent paths to college: Race, class, and inequality in high school</w:t>
      </w:r>
      <w:r w:rsidRPr="003E6355">
        <w:t>. Rutgers University Press.</w:t>
      </w:r>
    </w:p>
    <w:p w14:paraId="1F68A939" w14:textId="338C6BF0" w:rsidR="002A5AC9" w:rsidRPr="00D81701" w:rsidRDefault="002A5AC9" w:rsidP="009C63F0">
      <w:pPr>
        <w:spacing w:line="480" w:lineRule="auto"/>
        <w:ind w:left="720" w:hanging="720"/>
      </w:pPr>
      <w:r>
        <w:t>Hopkins, M.</w:t>
      </w:r>
      <w:r w:rsidR="008E73C6">
        <w:t xml:space="preserve">, Thompson, K.D., Linquanti, R., Hakuta, K., &amp; August, D. (2013). Fully accounting for English learner performance: A key issue in ESEA reauthorization. </w:t>
      </w:r>
      <w:r w:rsidR="00D81701">
        <w:rPr>
          <w:i/>
          <w:iCs/>
        </w:rPr>
        <w:t>Educational Researcher, 42</w:t>
      </w:r>
      <w:r w:rsidR="00D81701">
        <w:t>(2), 101-108.</w:t>
      </w:r>
    </w:p>
    <w:p w14:paraId="568DB1FA" w14:textId="3C263096" w:rsidR="003E0385" w:rsidRPr="003E0385" w:rsidRDefault="003E0385" w:rsidP="003E0385">
      <w:pPr>
        <w:autoSpaceDE w:val="0"/>
        <w:autoSpaceDN w:val="0"/>
        <w:adjustRightInd w:val="0"/>
        <w:spacing w:line="480" w:lineRule="auto"/>
        <w:ind w:left="720" w:hanging="720"/>
      </w:pPr>
      <w:r w:rsidRPr="003E0385">
        <w:t xml:space="preserve">Hughes, K. L., Karp, M. M., Fermin, B. J., &amp; Bailey, T. R. (2005). </w:t>
      </w:r>
      <w:r w:rsidRPr="003E0385">
        <w:rPr>
          <w:i/>
          <w:iCs/>
        </w:rPr>
        <w:t>Pathways to College Access and Success</w:t>
      </w:r>
      <w:r w:rsidRPr="003E0385">
        <w:t>. www.ed.gov/about/offices/list/ovae/pi/cclo/cbtrans/index.html</w:t>
      </w:r>
    </w:p>
    <w:p w14:paraId="6A38231B" w14:textId="126DF550" w:rsidR="00A40F25" w:rsidRPr="00C11D37" w:rsidRDefault="00A40F25" w:rsidP="00325C6B">
      <w:pPr>
        <w:autoSpaceDE w:val="0"/>
        <w:autoSpaceDN w:val="0"/>
        <w:adjustRightInd w:val="0"/>
        <w:spacing w:line="480" w:lineRule="auto"/>
      </w:pPr>
      <w:r w:rsidRPr="00C11D37">
        <w:t xml:space="preserve">Hughes, K. L., Rodriguez, O., Edwards, L., &amp; Belfield, C. (2012). Broadening the benefits of </w:t>
      </w:r>
    </w:p>
    <w:p w14:paraId="2C85809B" w14:textId="2022C5D5" w:rsidR="003E0385" w:rsidRDefault="00A40F25" w:rsidP="003E0385">
      <w:pPr>
        <w:autoSpaceDE w:val="0"/>
        <w:autoSpaceDN w:val="0"/>
        <w:adjustRightInd w:val="0"/>
        <w:spacing w:line="480" w:lineRule="auto"/>
        <w:ind w:left="720"/>
      </w:pPr>
      <w:r w:rsidRPr="00C11D37">
        <w:t>dual enrollment: Reaching underachieving and underrepresented students with career-focused programs. Teachers College Community College Research Center.</w:t>
      </w:r>
    </w:p>
    <w:p w14:paraId="41CF74AB" w14:textId="66BE45B8" w:rsidR="00A11BF6" w:rsidRPr="00C11D37" w:rsidRDefault="00632AB3" w:rsidP="00A11BF6">
      <w:pPr>
        <w:autoSpaceDE w:val="0"/>
        <w:autoSpaceDN w:val="0"/>
        <w:adjustRightInd w:val="0"/>
        <w:spacing w:line="480" w:lineRule="auto"/>
        <w:ind w:left="720" w:hanging="720"/>
      </w:pPr>
      <w:r w:rsidRPr="00C11D37">
        <w:t xml:space="preserve">Janzen, J. (2008). Teaching English language learners in the content areas. </w:t>
      </w:r>
      <w:r w:rsidRPr="00C11D37">
        <w:rPr>
          <w:i/>
          <w:iCs/>
        </w:rPr>
        <w:t>Review of Educational Research, 78</w:t>
      </w:r>
      <w:r w:rsidRPr="00C11D37">
        <w:t xml:space="preserve">(4), 1010–1038. </w:t>
      </w:r>
    </w:p>
    <w:p w14:paraId="1A0179F3" w14:textId="22919E8B" w:rsidR="00D72BA6" w:rsidRPr="00C11D37" w:rsidRDefault="00D72BA6" w:rsidP="00D72BA6">
      <w:pPr>
        <w:autoSpaceDE w:val="0"/>
        <w:autoSpaceDN w:val="0"/>
        <w:adjustRightInd w:val="0"/>
        <w:spacing w:line="480" w:lineRule="auto"/>
        <w:ind w:left="720" w:hanging="720"/>
      </w:pPr>
      <w:r w:rsidRPr="00C11D37">
        <w:t xml:space="preserve">Kanno, Y. (2018). High-performing English learners’ limited access to four-year college. </w:t>
      </w:r>
      <w:r w:rsidRPr="00C11D37">
        <w:rPr>
          <w:i/>
          <w:iCs/>
        </w:rPr>
        <w:t>Teachers College Record, 120</w:t>
      </w:r>
      <w:r w:rsidRPr="00C11D37">
        <w:t xml:space="preserve">(4), 1-46. </w:t>
      </w:r>
    </w:p>
    <w:p w14:paraId="3754B0F9" w14:textId="1A390F02" w:rsidR="00036F14" w:rsidRPr="00C11D37" w:rsidRDefault="00036F14" w:rsidP="00036F14">
      <w:pPr>
        <w:autoSpaceDE w:val="0"/>
        <w:autoSpaceDN w:val="0"/>
        <w:adjustRightInd w:val="0"/>
        <w:spacing w:line="480" w:lineRule="auto"/>
        <w:ind w:left="720" w:hanging="720"/>
      </w:pPr>
      <w:r w:rsidRPr="00C11D37">
        <w:t xml:space="preserve">Kanno, Y., &amp; Cromley, J. G. (2013). English language learners’ access to and attainment in postsecondary education. </w:t>
      </w:r>
      <w:r w:rsidRPr="00C11D37">
        <w:rPr>
          <w:i/>
          <w:iCs/>
        </w:rPr>
        <w:t>TESOL Quarterly, 47</w:t>
      </w:r>
      <w:r w:rsidRPr="00C11D37">
        <w:t xml:space="preserve">(1), 89–121. </w:t>
      </w:r>
    </w:p>
    <w:p w14:paraId="3B0BAA07" w14:textId="56813ED7" w:rsidR="00036F14" w:rsidRPr="00C11D37" w:rsidRDefault="00036F14" w:rsidP="00FF4C6D">
      <w:pPr>
        <w:autoSpaceDE w:val="0"/>
        <w:autoSpaceDN w:val="0"/>
        <w:adjustRightInd w:val="0"/>
        <w:spacing w:line="480" w:lineRule="auto"/>
        <w:ind w:left="720" w:hanging="720"/>
      </w:pPr>
      <w:r w:rsidRPr="00C11D37">
        <w:lastRenderedPageBreak/>
        <w:t xml:space="preserve">Kanno, Y., &amp; Cromley, J. (2015). English language learners’ pathways to four-year colleges. </w:t>
      </w:r>
      <w:r w:rsidRPr="00C11D37">
        <w:rPr>
          <w:i/>
          <w:iCs/>
        </w:rPr>
        <w:t>Teachers College Record, 117</w:t>
      </w:r>
      <w:r w:rsidRPr="00C11D37">
        <w:t xml:space="preserve">(120306), 1–44. </w:t>
      </w:r>
    </w:p>
    <w:p w14:paraId="6A47DA69" w14:textId="4FF9BE70" w:rsidR="00A40F25" w:rsidRPr="00C11D37" w:rsidRDefault="00A40F25" w:rsidP="00325C6B">
      <w:pPr>
        <w:spacing w:line="480" w:lineRule="auto"/>
        <w:outlineLvl w:val="0"/>
      </w:pPr>
      <w:r w:rsidRPr="00C11D37">
        <w:t xml:space="preserve">Kanno, Y. &amp; Kangas, S. E. (2014). “I’m not going to be, like, for the AP”: English Language </w:t>
      </w:r>
    </w:p>
    <w:p w14:paraId="6192D924" w14:textId="77777777" w:rsidR="00A40F25" w:rsidRPr="00C11D37" w:rsidRDefault="00A40F25" w:rsidP="00325C6B">
      <w:pPr>
        <w:spacing w:line="480" w:lineRule="auto"/>
        <w:ind w:firstLine="720"/>
      </w:pPr>
      <w:r w:rsidRPr="00C11D37">
        <w:t xml:space="preserve">Learners’ limited access to advanced college-preparatory courses in high school. </w:t>
      </w:r>
    </w:p>
    <w:p w14:paraId="2FEF8B9F" w14:textId="2E91DC26" w:rsidR="00A97413" w:rsidRPr="00C11D37" w:rsidRDefault="00A40F25" w:rsidP="00325C6B">
      <w:pPr>
        <w:spacing w:line="480" w:lineRule="auto"/>
        <w:ind w:firstLine="720"/>
      </w:pPr>
      <w:r w:rsidRPr="00C11D37">
        <w:rPr>
          <w:i/>
        </w:rPr>
        <w:t>American Educational Research Journal, 51</w:t>
      </w:r>
      <w:r w:rsidRPr="00C11D37">
        <w:t xml:space="preserve">(5), 848-878. </w:t>
      </w:r>
    </w:p>
    <w:p w14:paraId="27FF650A" w14:textId="4906FF41" w:rsidR="00A97413" w:rsidRPr="00C11D37" w:rsidRDefault="00A97413" w:rsidP="00FF4C6D">
      <w:pPr>
        <w:spacing w:line="480" w:lineRule="auto"/>
        <w:ind w:left="720" w:hanging="720"/>
      </w:pPr>
      <w:r w:rsidRPr="00C11D37">
        <w:t xml:space="preserve">Kaniuka, T. S., &amp; Vickers, M. (2010). Early college high schools offer a pathway for high school reform. </w:t>
      </w:r>
      <w:r w:rsidRPr="00C11D37">
        <w:rPr>
          <w:i/>
          <w:iCs/>
        </w:rPr>
        <w:t>NASSP Bulletin, 94</w:t>
      </w:r>
      <w:r w:rsidRPr="00C11D37">
        <w:t xml:space="preserve">(3), 165-183. </w:t>
      </w:r>
    </w:p>
    <w:p w14:paraId="15B956B3" w14:textId="44AC7B34" w:rsidR="00A40F25" w:rsidRPr="00C11D37" w:rsidRDefault="00A40F25" w:rsidP="00325C6B">
      <w:pPr>
        <w:autoSpaceDE w:val="0"/>
        <w:autoSpaceDN w:val="0"/>
        <w:adjustRightInd w:val="0"/>
        <w:spacing w:line="480" w:lineRule="auto"/>
        <w:rPr>
          <w:rFonts w:eastAsia="TimesNewRomanPSMT"/>
          <w:i/>
          <w:iCs/>
        </w:rPr>
      </w:pPr>
      <w:r w:rsidRPr="00C11D37">
        <w:rPr>
          <w:rFonts w:eastAsia="TimesNewRomanPSMT"/>
        </w:rPr>
        <w:t xml:space="preserve">Karp, M. M., Calcagno, J. C., Hughes, K. L., </w:t>
      </w:r>
      <w:proofErr w:type="spellStart"/>
      <w:r w:rsidRPr="00C11D37">
        <w:rPr>
          <w:rFonts w:eastAsia="TimesNewRomanPSMT"/>
        </w:rPr>
        <w:t>Jeong</w:t>
      </w:r>
      <w:proofErr w:type="spellEnd"/>
      <w:r w:rsidRPr="00C11D37">
        <w:rPr>
          <w:rFonts w:eastAsia="TimesNewRomanPSMT"/>
        </w:rPr>
        <w:t xml:space="preserve">, D. W., &amp; Bailey, T. R. (2007). </w:t>
      </w:r>
      <w:r w:rsidRPr="00C11D37">
        <w:rPr>
          <w:rFonts w:eastAsia="TimesNewRomanPSMT"/>
          <w:i/>
          <w:iCs/>
        </w:rPr>
        <w:t xml:space="preserve">The </w:t>
      </w:r>
    </w:p>
    <w:p w14:paraId="023FC1F6" w14:textId="710C3FF6" w:rsidR="00A40F25" w:rsidRPr="00C11D37" w:rsidRDefault="00A40F25" w:rsidP="00325C6B">
      <w:pPr>
        <w:autoSpaceDE w:val="0"/>
        <w:autoSpaceDN w:val="0"/>
        <w:adjustRightInd w:val="0"/>
        <w:spacing w:line="480" w:lineRule="auto"/>
        <w:ind w:left="720"/>
        <w:rPr>
          <w:rFonts w:eastAsia="TimesNewRomanPSMT"/>
        </w:rPr>
      </w:pPr>
      <w:r w:rsidRPr="00C11D37">
        <w:rPr>
          <w:rFonts w:eastAsia="TimesNewRomanPSMT"/>
          <w:i/>
          <w:iCs/>
        </w:rPr>
        <w:t>postsecondary</w:t>
      </w:r>
      <w:r w:rsidRPr="00C11D37">
        <w:rPr>
          <w:rFonts w:eastAsia="TimesNewRomanPSMT"/>
        </w:rPr>
        <w:t xml:space="preserve"> </w:t>
      </w:r>
      <w:r w:rsidRPr="00C11D37">
        <w:rPr>
          <w:rFonts w:eastAsia="TimesNewRomanPSMT"/>
          <w:i/>
          <w:iCs/>
        </w:rPr>
        <w:t>achievement of participants in dual enrollment: An</w:t>
      </w:r>
      <w:r w:rsidRPr="00C11D37">
        <w:rPr>
          <w:rFonts w:eastAsia="TimesNewRomanPSMT"/>
        </w:rPr>
        <w:t xml:space="preserve"> </w:t>
      </w:r>
      <w:r w:rsidRPr="00C11D37">
        <w:rPr>
          <w:rFonts w:eastAsia="TimesNewRomanPSMT"/>
          <w:i/>
          <w:iCs/>
        </w:rPr>
        <w:t>analysis of student outcomes in two states</w:t>
      </w:r>
      <w:r w:rsidRPr="00C11D37">
        <w:rPr>
          <w:rFonts w:eastAsia="TimesNewRomanPSMT"/>
        </w:rPr>
        <w:t>. University of Minnesota.</w:t>
      </w:r>
    </w:p>
    <w:p w14:paraId="1FF788A7" w14:textId="7DFEBA6C" w:rsidR="00ED751C" w:rsidRPr="00ED751C" w:rsidRDefault="00ED751C" w:rsidP="00927F7C">
      <w:pPr>
        <w:autoSpaceDE w:val="0"/>
        <w:autoSpaceDN w:val="0"/>
        <w:adjustRightInd w:val="0"/>
        <w:spacing w:line="480" w:lineRule="auto"/>
        <w:ind w:left="720" w:hanging="720"/>
        <w:rPr>
          <w:rFonts w:eastAsia="TimesNewRomanPSMT"/>
          <w:iCs/>
        </w:rPr>
      </w:pPr>
      <w:r w:rsidRPr="00ED751C">
        <w:rPr>
          <w:rFonts w:eastAsia="TimesNewRomanPSMT"/>
          <w:iCs/>
        </w:rPr>
        <w:t xml:space="preserve">Karp, M. M., Calcagno, J. C., Hughes, K. L., </w:t>
      </w:r>
      <w:proofErr w:type="spellStart"/>
      <w:r w:rsidRPr="00ED751C">
        <w:rPr>
          <w:rFonts w:eastAsia="TimesNewRomanPSMT"/>
          <w:iCs/>
        </w:rPr>
        <w:t>Jeong</w:t>
      </w:r>
      <w:proofErr w:type="spellEnd"/>
      <w:r w:rsidRPr="00ED751C">
        <w:rPr>
          <w:rFonts w:eastAsia="TimesNewRomanPSMT"/>
          <w:iCs/>
        </w:rPr>
        <w:t xml:space="preserve">, D. W., &amp; Bailey, T. R. (2007). </w:t>
      </w:r>
      <w:r w:rsidRPr="00ED751C">
        <w:rPr>
          <w:rFonts w:eastAsia="TimesNewRomanPSMT"/>
          <w:i/>
          <w:iCs/>
        </w:rPr>
        <w:t>The postsecondary achievement of participants in dual enrollment: An analysis of student outcomes in two states</w:t>
      </w:r>
      <w:r w:rsidRPr="00ED751C">
        <w:rPr>
          <w:rFonts w:eastAsia="TimesNewRomanPSMT"/>
          <w:iCs/>
        </w:rPr>
        <w:t xml:space="preserve">. </w:t>
      </w:r>
    </w:p>
    <w:p w14:paraId="63009EEE" w14:textId="3042BD64" w:rsidR="00A40F25" w:rsidRPr="00C11D37" w:rsidRDefault="00A40F25" w:rsidP="00325C6B">
      <w:pPr>
        <w:autoSpaceDE w:val="0"/>
        <w:autoSpaceDN w:val="0"/>
        <w:adjustRightInd w:val="0"/>
        <w:spacing w:line="480" w:lineRule="auto"/>
        <w:rPr>
          <w:rFonts w:eastAsia="TimesNewRomanPSMT"/>
          <w:iCs/>
        </w:rPr>
      </w:pPr>
      <w:r w:rsidRPr="00C11D37">
        <w:rPr>
          <w:rFonts w:eastAsia="TimesNewRomanPSMT"/>
          <w:iCs/>
        </w:rPr>
        <w:t xml:space="preserve">Kim, J., Kirby, C., &amp; Bragg, D. D. (2006). </w:t>
      </w:r>
      <w:r w:rsidRPr="00C11D37">
        <w:rPr>
          <w:rFonts w:eastAsia="TimesNewRomanPSMT"/>
          <w:i/>
          <w:iCs/>
        </w:rPr>
        <w:t>Dual credit: Then and now</w:t>
      </w:r>
      <w:r w:rsidRPr="00C11D37">
        <w:rPr>
          <w:rFonts w:eastAsia="TimesNewRomanPSMT"/>
          <w:iCs/>
        </w:rPr>
        <w:t xml:space="preserve">. Office of </w:t>
      </w:r>
    </w:p>
    <w:p w14:paraId="277B415E" w14:textId="4141BE68" w:rsidR="00450BC7" w:rsidRPr="00C11D37" w:rsidRDefault="00A40F25" w:rsidP="00325C6B">
      <w:pPr>
        <w:autoSpaceDE w:val="0"/>
        <w:autoSpaceDN w:val="0"/>
        <w:adjustRightInd w:val="0"/>
        <w:spacing w:line="480" w:lineRule="auto"/>
        <w:ind w:firstLine="720"/>
        <w:rPr>
          <w:rFonts w:eastAsia="TimesNewRomanPSMT"/>
          <w:iCs/>
        </w:rPr>
      </w:pPr>
      <w:r w:rsidRPr="00C11D37">
        <w:rPr>
          <w:rFonts w:eastAsia="TimesNewRomanPSMT"/>
          <w:iCs/>
        </w:rPr>
        <w:t>Community College Research and Leadership.</w:t>
      </w:r>
    </w:p>
    <w:p w14:paraId="12326D3B" w14:textId="0B687E6C" w:rsidR="00B51807" w:rsidRPr="00C11D37" w:rsidRDefault="00B51807" w:rsidP="00B51807">
      <w:pPr>
        <w:autoSpaceDE w:val="0"/>
        <w:autoSpaceDN w:val="0"/>
        <w:adjustRightInd w:val="0"/>
        <w:spacing w:line="480" w:lineRule="auto"/>
        <w:ind w:left="720" w:hanging="720"/>
      </w:pPr>
      <w:r w:rsidRPr="00C11D37">
        <w:t xml:space="preserve">Kirst, M., &amp; Venezia, A. (2004). </w:t>
      </w:r>
      <w:r w:rsidRPr="00C11D37">
        <w:rPr>
          <w:i/>
          <w:iCs/>
        </w:rPr>
        <w:t xml:space="preserve">From high school to college: Improving opportunities for success in postsecondary education. </w:t>
      </w:r>
      <w:r w:rsidRPr="00C11D37">
        <w:t xml:space="preserve">Josey-Bass Publishers. </w:t>
      </w:r>
    </w:p>
    <w:p w14:paraId="710EC3D5" w14:textId="60F2A05D" w:rsidR="00450BC7" w:rsidRPr="00C11D37" w:rsidRDefault="00450BC7" w:rsidP="00450BC7">
      <w:pPr>
        <w:autoSpaceDE w:val="0"/>
        <w:autoSpaceDN w:val="0"/>
        <w:adjustRightInd w:val="0"/>
        <w:spacing w:line="480" w:lineRule="auto"/>
        <w:ind w:left="720" w:hanging="720"/>
      </w:pPr>
      <w:r w:rsidRPr="00C11D37">
        <w:t xml:space="preserve">Lee, J. (2012). College for all: Gaps between desirable and actual P–12 math achievement trajectories for college readiness. </w:t>
      </w:r>
      <w:r w:rsidRPr="00C11D37">
        <w:rPr>
          <w:i/>
          <w:iCs/>
        </w:rPr>
        <w:t>Educational Researcher, 41</w:t>
      </w:r>
      <w:r w:rsidRPr="00C11D37">
        <w:t xml:space="preserve">(2), 43–55. </w:t>
      </w:r>
    </w:p>
    <w:p w14:paraId="45214A3B" w14:textId="66072D69" w:rsidR="00413DF7" w:rsidRPr="00C11D37" w:rsidRDefault="00A40F25" w:rsidP="00413DF7">
      <w:pPr>
        <w:spacing w:line="480" w:lineRule="auto"/>
      </w:pPr>
      <w:r w:rsidRPr="00C11D37">
        <w:t xml:space="preserve">Lieberman, J. E. (2004). The early college high school concept: Requisites for success. </w:t>
      </w:r>
    </w:p>
    <w:p w14:paraId="292980C4" w14:textId="42C6A796" w:rsidR="00A40F25" w:rsidRPr="00C11D37" w:rsidRDefault="00A40F25" w:rsidP="00325C6B">
      <w:pPr>
        <w:spacing w:line="480" w:lineRule="auto"/>
        <w:ind w:firstLine="720"/>
      </w:pPr>
      <w:r w:rsidRPr="00C11D37">
        <w:t xml:space="preserve">Jobs for the Future. </w:t>
      </w:r>
    </w:p>
    <w:p w14:paraId="383DB60C" w14:textId="77777777" w:rsidR="00A40F25" w:rsidRPr="00C11D37" w:rsidRDefault="00A40F25" w:rsidP="00325C6B">
      <w:pPr>
        <w:spacing w:line="480" w:lineRule="auto"/>
        <w:outlineLvl w:val="0"/>
      </w:pPr>
      <w:r w:rsidRPr="00C11D37">
        <w:t xml:space="preserve">Lillie, K. E., Markos, A., Arias, M.B., &amp; Wiley, T. G. (2012). Separate and not equal: The </w:t>
      </w:r>
    </w:p>
    <w:p w14:paraId="327DB1D8" w14:textId="77777777" w:rsidR="00A40F25" w:rsidRPr="00C11D37" w:rsidRDefault="00A40F25" w:rsidP="00325C6B">
      <w:pPr>
        <w:spacing w:line="480" w:lineRule="auto"/>
        <w:ind w:firstLine="720"/>
        <w:rPr>
          <w:i/>
        </w:rPr>
      </w:pPr>
      <w:r w:rsidRPr="00C11D37">
        <w:t xml:space="preserve">implementation of Structured English Immersion in Arizona’s classrooms. </w:t>
      </w:r>
      <w:r w:rsidRPr="00C11D37">
        <w:rPr>
          <w:i/>
        </w:rPr>
        <w:t xml:space="preserve">Teachers </w:t>
      </w:r>
    </w:p>
    <w:p w14:paraId="1B1C69E3" w14:textId="76537443" w:rsidR="00A40F25" w:rsidRPr="00C11D37" w:rsidRDefault="00A40F25" w:rsidP="00325C6B">
      <w:pPr>
        <w:spacing w:line="480" w:lineRule="auto"/>
        <w:ind w:firstLine="720"/>
      </w:pPr>
      <w:r w:rsidRPr="00C11D37">
        <w:rPr>
          <w:i/>
        </w:rPr>
        <w:lastRenderedPageBreak/>
        <w:t>College Record, 114</w:t>
      </w:r>
      <w:r w:rsidRPr="00C11D37">
        <w:t xml:space="preserve">(090306), 1-33. </w:t>
      </w:r>
    </w:p>
    <w:p w14:paraId="3D40A349" w14:textId="1B996D15" w:rsidR="00840F85" w:rsidRDefault="00840F85" w:rsidP="00840F85">
      <w:pPr>
        <w:spacing w:line="480" w:lineRule="auto"/>
        <w:ind w:left="720" w:hanging="720"/>
      </w:pPr>
      <w:r w:rsidRPr="00840F85">
        <w:t>Lyons, C. (2014). Tech Prep Education. Retrieved August 4, 2021, from Office of Career, Technical, and Adult Education website: https://www2.ed.gov/about/offices/list/ovae/pi/cte/techprep.html</w:t>
      </w:r>
    </w:p>
    <w:p w14:paraId="7AA027F2" w14:textId="3C66041D" w:rsidR="00897711" w:rsidRPr="00C11D37" w:rsidRDefault="00897711" w:rsidP="00D37A36">
      <w:pPr>
        <w:spacing w:line="480" w:lineRule="auto"/>
        <w:ind w:left="720" w:hanging="720"/>
      </w:pPr>
      <w:r w:rsidRPr="00C11D37">
        <w:t xml:space="preserve">Ma, J., Pender, M., &amp; Welch, M. (2019). </w:t>
      </w:r>
      <w:r w:rsidRPr="00C11D37">
        <w:rPr>
          <w:i/>
          <w:iCs/>
        </w:rPr>
        <w:t>Education pays 2019: The benefits of higher education for individuals and society</w:t>
      </w:r>
      <w:r w:rsidRPr="00C11D37">
        <w:t>. The College Board.</w:t>
      </w:r>
    </w:p>
    <w:p w14:paraId="2C16E8B5" w14:textId="77777777" w:rsidR="00A40F25" w:rsidRPr="00975708" w:rsidRDefault="00A40F25" w:rsidP="00325C6B">
      <w:pPr>
        <w:spacing w:line="480" w:lineRule="auto"/>
        <w:rPr>
          <w:shd w:val="clear" w:color="auto" w:fill="FFFFFF"/>
        </w:rPr>
      </w:pPr>
      <w:r w:rsidRPr="00975708">
        <w:rPr>
          <w:shd w:val="clear" w:color="auto" w:fill="FFFFFF"/>
        </w:rPr>
        <w:t xml:space="preserve">McDonald, D. &amp; Farrell, T. (2012). Out of the mouths of babes: Early college high school </w:t>
      </w:r>
    </w:p>
    <w:p w14:paraId="307D4364" w14:textId="6980D1E0" w:rsidR="00BB4F65" w:rsidRPr="00975708" w:rsidRDefault="00A40F25" w:rsidP="00BC42CB">
      <w:pPr>
        <w:spacing w:line="480" w:lineRule="auto"/>
        <w:ind w:left="720"/>
        <w:rPr>
          <w:shd w:val="clear" w:color="auto" w:fill="FFFFFF"/>
        </w:rPr>
      </w:pPr>
      <w:r w:rsidRPr="00975708">
        <w:rPr>
          <w:shd w:val="clear" w:color="auto" w:fill="FFFFFF"/>
        </w:rPr>
        <w:t xml:space="preserve">students’ transformational learning experiences. </w:t>
      </w:r>
      <w:r w:rsidRPr="00975708">
        <w:rPr>
          <w:i/>
          <w:shd w:val="clear" w:color="auto" w:fill="FFFFFF"/>
        </w:rPr>
        <w:t>Journal of Advanced Academics, 23</w:t>
      </w:r>
      <w:r w:rsidRPr="00975708">
        <w:rPr>
          <w:shd w:val="clear" w:color="auto" w:fill="FFFFFF"/>
        </w:rPr>
        <w:t>(3), 217-248.</w:t>
      </w:r>
    </w:p>
    <w:p w14:paraId="7B6C4721" w14:textId="36E1E1E7" w:rsidR="00BE65B3" w:rsidRPr="00F82D72" w:rsidRDefault="00BC42CB" w:rsidP="00BE65B3">
      <w:pPr>
        <w:pStyle w:val="NormalWeb"/>
        <w:spacing w:before="0" w:beforeAutospacing="0" w:after="0" w:afterAutospacing="0" w:line="480" w:lineRule="auto"/>
        <w:ind w:left="720" w:hanging="720"/>
      </w:pPr>
      <w:r w:rsidRPr="00F82D72">
        <w:t xml:space="preserve">McFarland, J., Hussar, B., Zhang, J., Wang, X., Hein, S., Diliberti, M., Cataldi, E.F., Mann, F.B., Barmer, A. (2019). </w:t>
      </w:r>
      <w:r w:rsidRPr="00D45266">
        <w:rPr>
          <w:i/>
          <w:iCs/>
        </w:rPr>
        <w:t>The condition of education 2019</w:t>
      </w:r>
      <w:r w:rsidRPr="00381788">
        <w:t xml:space="preserve"> (NCES-2019-144). </w:t>
      </w:r>
      <w:r w:rsidRPr="008E2E86">
        <w:t>National C</w:t>
      </w:r>
      <w:r w:rsidRPr="00F6420B">
        <w:t>enter for Education Evaluation and Regional Assistance, Instit</w:t>
      </w:r>
      <w:r w:rsidRPr="0004443F">
        <w:t xml:space="preserve">ute of </w:t>
      </w:r>
      <w:r w:rsidRPr="00340362">
        <w:t xml:space="preserve">Education Sciences, U.S. Department of Education. </w:t>
      </w:r>
      <w:hyperlink r:id="rId12" w:history="1">
        <w:r w:rsidRPr="00D45266">
          <w:rPr>
            <w:rStyle w:val="Hyperlink"/>
            <w:color w:val="auto"/>
            <w:u w:val="none"/>
          </w:rPr>
          <w:t>https://nces.ed.gov/pubs2019/2019144.pdf</w:t>
        </w:r>
      </w:hyperlink>
    </w:p>
    <w:p w14:paraId="69627E17" w14:textId="12A41FB5" w:rsidR="00BE65B3" w:rsidRPr="0004443F" w:rsidRDefault="00BE65B3" w:rsidP="00BE65B3">
      <w:pPr>
        <w:pStyle w:val="NormalWeb"/>
        <w:spacing w:before="0" w:beforeAutospacing="0" w:after="0" w:afterAutospacing="0" w:line="480" w:lineRule="auto"/>
        <w:ind w:left="720" w:hanging="720"/>
      </w:pPr>
      <w:r w:rsidRPr="00D45266">
        <w:t>Miller, T., Kosiewicz, H., Tanenbaum, C., Atchinson, D., Knight, D., Ratway, B., Delho</w:t>
      </w:r>
      <w:r w:rsidRPr="00381788">
        <w:t xml:space="preserve">mmer, S., Levin, J. (2018). </w:t>
      </w:r>
      <w:r w:rsidRPr="008E2E86">
        <w:rPr>
          <w:i/>
          <w:iCs/>
        </w:rPr>
        <w:t>Dual-credit education programs in Texas: Phase II</w:t>
      </w:r>
      <w:r w:rsidRPr="00F6420B">
        <w:t>. American Institutes for Research.</w:t>
      </w:r>
    </w:p>
    <w:p w14:paraId="2DD9CFDE" w14:textId="3D610C7D" w:rsidR="00E10BC8" w:rsidRPr="00C11D37" w:rsidRDefault="00E10BC8" w:rsidP="00E10BC8">
      <w:pPr>
        <w:pStyle w:val="NormalWeb"/>
        <w:spacing w:before="0" w:beforeAutospacing="0" w:after="0" w:afterAutospacing="0" w:line="480" w:lineRule="auto"/>
        <w:ind w:left="720" w:hanging="720"/>
      </w:pPr>
      <w:r w:rsidRPr="00340362">
        <w:t xml:space="preserve">Nagaoka, J., Roderick, M., &amp; Coca, V. (2009). </w:t>
      </w:r>
      <w:r w:rsidRPr="00347D45">
        <w:rPr>
          <w:i/>
          <w:iCs/>
        </w:rPr>
        <w:t xml:space="preserve">Barriers to college attainment: Lessons from Chicago. </w:t>
      </w:r>
      <w:r w:rsidRPr="0072667E">
        <w:t xml:space="preserve">Center for American Progress. </w:t>
      </w:r>
    </w:p>
    <w:p w14:paraId="60EC78D1" w14:textId="4F28F7EB" w:rsidR="004977C9" w:rsidRPr="002904FC" w:rsidRDefault="004977C9" w:rsidP="004977C9">
      <w:pPr>
        <w:spacing w:line="480" w:lineRule="auto"/>
        <w:ind w:left="720" w:hanging="720"/>
      </w:pPr>
      <w:r w:rsidRPr="00DD0A63">
        <w:t>National Center for Education Statistics. (2020</w:t>
      </w:r>
      <w:r>
        <w:t>, May</w:t>
      </w:r>
      <w:r w:rsidRPr="00DD0A63">
        <w:t>).</w:t>
      </w:r>
      <w:r>
        <w:rPr>
          <w:i/>
          <w:iCs/>
        </w:rPr>
        <w:t xml:space="preserve"> The condition of education: English language learners in public schools. </w:t>
      </w:r>
      <w:r w:rsidRPr="006F08B4">
        <w:t>https://nces.ed.gov/programs/coe/indicator_cgf.asp</w:t>
      </w:r>
    </w:p>
    <w:p w14:paraId="3F13151D" w14:textId="71BBCA69" w:rsidR="00AF1DBE" w:rsidRPr="00F82D72" w:rsidRDefault="009251AD" w:rsidP="00AF1DBE">
      <w:pPr>
        <w:pStyle w:val="NormalWeb"/>
        <w:spacing w:before="0" w:beforeAutospacing="0" w:after="0" w:afterAutospacing="0" w:line="480" w:lineRule="auto"/>
        <w:ind w:left="720" w:hanging="720"/>
      </w:pPr>
      <w:r w:rsidRPr="00C11D37">
        <w:t xml:space="preserve">Nowicki, J. (2018). </w:t>
      </w:r>
      <w:r w:rsidRPr="00C11D37">
        <w:rPr>
          <w:i/>
          <w:iCs/>
        </w:rPr>
        <w:t>Public high schools with more students in poverty and smaller schools provide fewer academic offerings to prepare for college</w:t>
      </w:r>
      <w:r w:rsidRPr="00C11D37">
        <w:t xml:space="preserve"> (GAO-19-8). US Government Accountability Office. Retrieved from </w:t>
      </w:r>
      <w:hyperlink r:id="rId13" w:history="1">
        <w:r w:rsidRPr="00D45266">
          <w:t>https://www.gao.gov/assets/700/694961.pdf</w:t>
        </w:r>
      </w:hyperlink>
    </w:p>
    <w:p w14:paraId="1B3AA954" w14:textId="4C510864" w:rsidR="000014AA" w:rsidRPr="00D6697A" w:rsidRDefault="000014AA" w:rsidP="000014AA">
      <w:pPr>
        <w:spacing w:line="480" w:lineRule="auto"/>
        <w:ind w:left="720" w:hanging="720"/>
      </w:pPr>
      <w:r w:rsidRPr="00D6697A">
        <w:lastRenderedPageBreak/>
        <w:t xml:space="preserve">Núñez, A.-M., &amp; Sparks, P. J. (2012). Who are linguistic minority students in higher education? An analysis of the Beginning Postsecondary Students Study 2004. In Y. Kanno &amp; L. Harklau (Eds.), </w:t>
      </w:r>
      <w:r w:rsidRPr="00D6697A">
        <w:rPr>
          <w:i/>
          <w:iCs/>
        </w:rPr>
        <w:t xml:space="preserve">Linguistic minority students go to college: Preparation, access, and persistence </w:t>
      </w:r>
      <w:r w:rsidRPr="00D6697A">
        <w:t xml:space="preserve">(pp. 110–129). Routledge. </w:t>
      </w:r>
    </w:p>
    <w:p w14:paraId="354DAFD1" w14:textId="77777777" w:rsidR="00C47F29" w:rsidRPr="00257D48" w:rsidRDefault="00C47F29" w:rsidP="00C47F29">
      <w:pPr>
        <w:spacing w:line="480" w:lineRule="auto"/>
        <w:ind w:left="720" w:hanging="720"/>
      </w:pPr>
      <w:r w:rsidRPr="002904FC">
        <w:t>Núñez,</w:t>
      </w:r>
      <w:r>
        <w:t xml:space="preserve"> A.-M., Rios-Aguilar, C., Kanno, Y., &amp; Flores, S.M.</w:t>
      </w:r>
      <w:r w:rsidRPr="002904FC">
        <w:t xml:space="preserve"> </w:t>
      </w:r>
      <w:r>
        <w:t>(</w:t>
      </w:r>
      <w:r w:rsidRPr="002904FC">
        <w:t>2016</w:t>
      </w:r>
      <w:r>
        <w:t xml:space="preserve">). English Learners and their transition to postsecondary education. In L.W. Perna &amp; M.B. Paulsen (Eds.), </w:t>
      </w:r>
      <w:r w:rsidRPr="00257D48">
        <w:rPr>
          <w:i/>
          <w:iCs/>
        </w:rPr>
        <w:t>Higher Education: Handbook of Theory and Research</w:t>
      </w:r>
      <w:r>
        <w:t>, (pp.41-90)</w:t>
      </w:r>
      <w:r>
        <w:rPr>
          <w:rFonts w:ascii="Arial" w:hAnsi="Arial" w:cs="Arial"/>
          <w:color w:val="222222"/>
          <w:sz w:val="20"/>
          <w:szCs w:val="20"/>
          <w:shd w:val="clear" w:color="auto" w:fill="FFFFFF"/>
        </w:rPr>
        <w:t>.</w:t>
      </w:r>
      <w:r>
        <w:t xml:space="preserve"> Springer.</w:t>
      </w:r>
    </w:p>
    <w:p w14:paraId="0139DCAE" w14:textId="5BBBD40B" w:rsidR="00EB76FE" w:rsidRPr="001470F5" w:rsidRDefault="00EB76FE" w:rsidP="00EB76FE">
      <w:pPr>
        <w:spacing w:line="480" w:lineRule="auto"/>
        <w:ind w:left="720" w:hanging="720"/>
      </w:pPr>
      <w:r w:rsidRPr="001470F5">
        <w:t xml:space="preserve">Oakes, J., &amp; Saunders, M. (Eds.). (2008). </w:t>
      </w:r>
      <w:r w:rsidRPr="001470F5">
        <w:rPr>
          <w:i/>
          <w:iCs/>
        </w:rPr>
        <w:t>Beyond tracking: Multiple pathways to college, career, and civic participation</w:t>
      </w:r>
      <w:r w:rsidRPr="001470F5">
        <w:t xml:space="preserve">. Harvard Education Press. </w:t>
      </w:r>
    </w:p>
    <w:p w14:paraId="15C9844C" w14:textId="77777777" w:rsidR="00441349" w:rsidRPr="00340362" w:rsidRDefault="00AF1DBE" w:rsidP="00441349">
      <w:pPr>
        <w:pStyle w:val="NormalWeb"/>
        <w:spacing w:before="0" w:beforeAutospacing="0" w:after="0" w:afterAutospacing="0" w:line="480" w:lineRule="auto"/>
        <w:ind w:left="720" w:hanging="720"/>
      </w:pPr>
      <w:r w:rsidRPr="00D45266">
        <w:t xml:space="preserve">Ongaga, K. O. (2010). Students’ learning experiences in Early College High School. </w:t>
      </w:r>
      <w:r w:rsidRPr="00381788">
        <w:rPr>
          <w:i/>
          <w:iCs/>
        </w:rPr>
        <w:t>Pe</w:t>
      </w:r>
      <w:r w:rsidRPr="008E2E86">
        <w:rPr>
          <w:i/>
          <w:iCs/>
        </w:rPr>
        <w:t>abody Journal of Education, 85</w:t>
      </w:r>
      <w:r w:rsidRPr="00F6420B">
        <w:t>(3)</w:t>
      </w:r>
      <w:r w:rsidRPr="0004443F">
        <w:t xml:space="preserve">, 375-388. </w:t>
      </w:r>
    </w:p>
    <w:p w14:paraId="05F62A11" w14:textId="77251F9E" w:rsidR="00441349" w:rsidRPr="00C11D37" w:rsidRDefault="00441349" w:rsidP="00441349">
      <w:pPr>
        <w:pStyle w:val="NormalWeb"/>
        <w:spacing w:before="0" w:beforeAutospacing="0" w:after="0" w:afterAutospacing="0" w:line="480" w:lineRule="auto"/>
        <w:ind w:left="720" w:hanging="720"/>
      </w:pPr>
      <w:r w:rsidRPr="00347D45">
        <w:t xml:space="preserve">Oropeza, M. V., Varghese, M. M., &amp; Kanno, Y. (2010). Linguistic minority students in higher education: Using, resisting, and negotiating multiple labels. </w:t>
      </w:r>
      <w:r w:rsidRPr="0072667E">
        <w:rPr>
          <w:i/>
          <w:iCs/>
        </w:rPr>
        <w:t>Equity &amp; Excellence in Education, 43</w:t>
      </w:r>
      <w:r w:rsidRPr="00C11D37">
        <w:t xml:space="preserve">(2), 216–231. </w:t>
      </w:r>
    </w:p>
    <w:p w14:paraId="2500888E" w14:textId="77777777" w:rsidR="0099384E" w:rsidRDefault="0099384E" w:rsidP="0099384E">
      <w:pPr>
        <w:spacing w:line="480" w:lineRule="auto"/>
        <w:ind w:left="720" w:hanging="720"/>
      </w:pPr>
      <w:r w:rsidRPr="00CE24AF">
        <w:t xml:space="preserve">Perez, P.A., &amp; McDonough, P.M. (2008). Understanding Latina and Latino college choice: A social capital and chain migration analysis. </w:t>
      </w:r>
      <w:r w:rsidRPr="00263B90">
        <w:rPr>
          <w:i/>
          <w:iCs/>
        </w:rPr>
        <w:t>Journal of Hispanic Higher Education</w:t>
      </w:r>
      <w:r w:rsidRPr="00CE24AF">
        <w:t>, 7, 249-265.</w:t>
      </w:r>
    </w:p>
    <w:p w14:paraId="49CDA535" w14:textId="77777777" w:rsidR="00643E04" w:rsidRPr="00AB692E" w:rsidRDefault="00643E04" w:rsidP="00643E04">
      <w:pPr>
        <w:spacing w:line="480" w:lineRule="auto"/>
        <w:ind w:left="720" w:hanging="720"/>
      </w:pPr>
      <w:r w:rsidRPr="00AB692E">
        <w:t xml:space="preserve">Perna, L.W. (2002). Precollege outreach programs: Characteristics of programs serving historically underrepresented groups of students. </w:t>
      </w:r>
      <w:r w:rsidRPr="00AB692E">
        <w:rPr>
          <w:i/>
          <w:iCs/>
        </w:rPr>
        <w:t>Journal of College Student Development, 43</w:t>
      </w:r>
      <w:r w:rsidRPr="00AB692E">
        <w:t>(1), 64-83.</w:t>
      </w:r>
    </w:p>
    <w:p w14:paraId="290D3E09" w14:textId="77777777" w:rsidR="00E755AB" w:rsidRPr="00C3668B" w:rsidRDefault="00E755AB" w:rsidP="00E755AB">
      <w:pPr>
        <w:spacing w:line="480" w:lineRule="auto"/>
        <w:ind w:left="720" w:hanging="720"/>
      </w:pPr>
      <w:r w:rsidRPr="00C3668B">
        <w:t xml:space="preserve">Perna, L. W., &amp; Titus, M. A. (2005). The relationship between parental involvement as social capital and college enrollment: An examination of racial/ethnic group differences. </w:t>
      </w:r>
      <w:r w:rsidRPr="00C3668B">
        <w:rPr>
          <w:i/>
          <w:iCs/>
        </w:rPr>
        <w:t>Journal of Higher Education, 76</w:t>
      </w:r>
      <w:r w:rsidRPr="00C3668B">
        <w:t xml:space="preserve">(5), 485–518. </w:t>
      </w:r>
    </w:p>
    <w:p w14:paraId="1DF16C31" w14:textId="0643A466" w:rsidR="00033EBE" w:rsidRDefault="00033EBE" w:rsidP="00584903">
      <w:pPr>
        <w:spacing w:line="480" w:lineRule="auto"/>
        <w:ind w:left="720" w:hanging="720"/>
      </w:pPr>
      <w:r w:rsidRPr="00033EBE">
        <w:lastRenderedPageBreak/>
        <w:t xml:space="preserve">Raufman, J., Brathwaite, J., &amp; Kalamkarian, H. S. (2019). English learners and ESL programs in the community college: A review of the literature. In </w:t>
      </w:r>
      <w:r w:rsidRPr="00033EBE">
        <w:rPr>
          <w:i/>
          <w:iCs/>
        </w:rPr>
        <w:t>CCRC Working Paper</w:t>
      </w:r>
      <w:r w:rsidRPr="00033EBE">
        <w:t xml:space="preserve"> </w:t>
      </w:r>
      <w:r w:rsidRPr="00033EBE">
        <w:rPr>
          <w:i/>
          <w:iCs/>
        </w:rPr>
        <w:t>No. 109</w:t>
      </w:r>
      <w:r w:rsidRPr="00033EBE">
        <w:t>. New York, NY.</w:t>
      </w:r>
    </w:p>
    <w:p w14:paraId="2DF01446" w14:textId="4E3D3A46" w:rsidR="00584903" w:rsidRPr="002904FC" w:rsidRDefault="00584903" w:rsidP="00584903">
      <w:pPr>
        <w:spacing w:line="480" w:lineRule="auto"/>
        <w:ind w:left="720" w:hanging="720"/>
      </w:pPr>
      <w:r w:rsidRPr="002904FC">
        <w:t xml:space="preserve">Razfar, A., &amp; Simon, J. (2011). Course-taking patterns of Latino ESL students: Mobility and mainstreaming in urban community colleges in the United States. </w:t>
      </w:r>
      <w:r w:rsidRPr="002904FC">
        <w:rPr>
          <w:i/>
          <w:iCs/>
        </w:rPr>
        <w:t>TESOL Quarterly, 45</w:t>
      </w:r>
      <w:r w:rsidRPr="002904FC">
        <w:t xml:space="preserve">(4), 595–627. </w:t>
      </w:r>
    </w:p>
    <w:p w14:paraId="62673792" w14:textId="6846FA1D" w:rsidR="00A90228" w:rsidRPr="00C11D37" w:rsidRDefault="00A90228" w:rsidP="00A90228">
      <w:pPr>
        <w:pStyle w:val="NormalWeb"/>
        <w:spacing w:before="0" w:beforeAutospacing="0" w:after="0" w:afterAutospacing="0" w:line="480" w:lineRule="auto"/>
        <w:ind w:left="720" w:hanging="720"/>
      </w:pPr>
      <w:r w:rsidRPr="00C11D37">
        <w:t xml:space="preserve">Rodriguez, G. M., &amp; Cruz, L. (2009). The transition to college of English learner and undocumented immigrant students: Resource and policy implications. </w:t>
      </w:r>
      <w:r w:rsidRPr="00C11D37">
        <w:rPr>
          <w:i/>
          <w:iCs/>
        </w:rPr>
        <w:t>Teachers College Record, 111</w:t>
      </w:r>
      <w:r w:rsidRPr="00C11D37">
        <w:t xml:space="preserve">(10), 2385–2418. </w:t>
      </w:r>
    </w:p>
    <w:p w14:paraId="760CD3B7" w14:textId="4FC2A387" w:rsidR="00E4540B" w:rsidRPr="00C11D37" w:rsidRDefault="00E4540B" w:rsidP="00FF4C6D">
      <w:pPr>
        <w:pStyle w:val="NormalWeb"/>
        <w:spacing w:before="0" w:beforeAutospacing="0" w:after="0" w:afterAutospacing="0" w:line="480" w:lineRule="auto"/>
        <w:ind w:left="720" w:hanging="720"/>
      </w:pPr>
      <w:r w:rsidRPr="00C11D37">
        <w:t xml:space="preserve">Santos, M., Palacios, M.C., Cheuk, T., Greene, R., Mercado-Garcia, D., Zerkel, L., Hakuta, K., Skarin, R. (2018). </w:t>
      </w:r>
      <w:r w:rsidRPr="00C11D37">
        <w:rPr>
          <w:i/>
          <w:iCs/>
        </w:rPr>
        <w:t>Preparing English learners for college and career: Lessons from successful high schools</w:t>
      </w:r>
      <w:r w:rsidRPr="00C11D37">
        <w:t xml:space="preserve">. Teachers College Press.  </w:t>
      </w:r>
    </w:p>
    <w:p w14:paraId="7CFCA3FD" w14:textId="77777777" w:rsidR="00623678" w:rsidRDefault="00623678" w:rsidP="00623678">
      <w:pPr>
        <w:spacing w:line="480" w:lineRule="auto"/>
        <w:ind w:left="720" w:hanging="720"/>
      </w:pPr>
      <w:r w:rsidRPr="009603F0">
        <w:t xml:space="preserve">Schudde, L., &amp; Brown, R.S. (2019). </w:t>
      </w:r>
      <w:r>
        <w:t xml:space="preserve">Understanding variation in estimates of diversionary effects of community college entrance: A systematic review and meta-analysis. </w:t>
      </w:r>
      <w:r>
        <w:rPr>
          <w:i/>
          <w:iCs/>
        </w:rPr>
        <w:t>Sociology of Education, 92</w:t>
      </w:r>
      <w:r>
        <w:t>(3), 247-268.</w:t>
      </w:r>
    </w:p>
    <w:p w14:paraId="4D2F6B2E" w14:textId="790863B5" w:rsidR="00BB4F65" w:rsidRPr="00F82D72" w:rsidRDefault="00BB4F65" w:rsidP="00FF4C6D">
      <w:pPr>
        <w:spacing w:line="480" w:lineRule="auto"/>
        <w:ind w:left="720" w:hanging="720"/>
      </w:pPr>
      <w:r w:rsidRPr="00C11D37">
        <w:t xml:space="preserve">Shivji, A., &amp; Wilson, S. (2019). </w:t>
      </w:r>
      <w:r w:rsidRPr="00C11D37">
        <w:rPr>
          <w:i/>
          <w:iCs/>
        </w:rPr>
        <w:t>Dual Enrollment: Participation and Characteristics</w:t>
      </w:r>
      <w:r w:rsidRPr="00C11D37">
        <w:t xml:space="preserve"> (NCES 2019-176).</w:t>
      </w:r>
      <w:r w:rsidRPr="00C11D37">
        <w:rPr>
          <w:i/>
          <w:iCs/>
        </w:rPr>
        <w:t xml:space="preserve"> </w:t>
      </w:r>
      <w:r w:rsidRPr="00C11D37">
        <w:t>National Center for Education Statistics, Institute of Education Sciences, U.S. Department of Education.</w:t>
      </w:r>
      <w:r w:rsidRPr="00C11D37">
        <w:rPr>
          <w:i/>
          <w:iCs/>
        </w:rPr>
        <w:t xml:space="preserve"> </w:t>
      </w:r>
      <w:r w:rsidRPr="00C11D37">
        <w:t xml:space="preserve">Retrieved from </w:t>
      </w:r>
      <w:hyperlink r:id="rId14" w:history="1">
        <w:r w:rsidRPr="00D45266">
          <w:t>https://nces.ed.g</w:t>
        </w:r>
        <w:r w:rsidRPr="00381788">
          <w:t>ov/pubs2019/2019176.pdf</w:t>
        </w:r>
      </w:hyperlink>
    </w:p>
    <w:p w14:paraId="4B6697E1" w14:textId="51E605A6" w:rsidR="00094B2E" w:rsidRDefault="00094B2E" w:rsidP="00094B2E">
      <w:pPr>
        <w:autoSpaceDE w:val="0"/>
        <w:autoSpaceDN w:val="0"/>
        <w:adjustRightInd w:val="0"/>
        <w:spacing w:line="480" w:lineRule="auto"/>
        <w:ind w:left="720" w:hanging="720"/>
        <w:rPr>
          <w:rFonts w:eastAsia="TimesNewRomanPSMT"/>
        </w:rPr>
      </w:pPr>
      <w:r w:rsidRPr="00094B2E">
        <w:rPr>
          <w:rFonts w:eastAsia="TimesNewRomanPSMT"/>
        </w:rPr>
        <w:t xml:space="preserve">Smith, D. (2007). Why expand dual-credit programs? </w:t>
      </w:r>
      <w:r w:rsidRPr="00094B2E">
        <w:rPr>
          <w:rFonts w:eastAsia="TimesNewRomanPSMT"/>
          <w:i/>
          <w:iCs/>
        </w:rPr>
        <w:t>Community College Journal of Research and Practice</w:t>
      </w:r>
      <w:r w:rsidRPr="00094B2E">
        <w:rPr>
          <w:rFonts w:eastAsia="TimesNewRomanPSMT"/>
        </w:rPr>
        <w:t xml:space="preserve">, </w:t>
      </w:r>
      <w:r w:rsidRPr="00094B2E">
        <w:rPr>
          <w:rFonts w:eastAsia="TimesNewRomanPSMT"/>
          <w:i/>
          <w:iCs/>
        </w:rPr>
        <w:t>31</w:t>
      </w:r>
      <w:r w:rsidRPr="00094B2E">
        <w:rPr>
          <w:rFonts w:eastAsia="TimesNewRomanPSMT"/>
        </w:rPr>
        <w:t xml:space="preserve">, 371–387. https://doi.org/10.1080/10668920600932884 </w:t>
      </w:r>
    </w:p>
    <w:p w14:paraId="02E3E3EF" w14:textId="1CF3ADFE" w:rsidR="00A40F25" w:rsidRPr="008E2E86" w:rsidRDefault="00A40F25" w:rsidP="00325C6B">
      <w:pPr>
        <w:autoSpaceDE w:val="0"/>
        <w:autoSpaceDN w:val="0"/>
        <w:adjustRightInd w:val="0"/>
        <w:spacing w:line="480" w:lineRule="auto"/>
        <w:rPr>
          <w:rFonts w:eastAsia="TimesNewRomanPSMT"/>
          <w:i/>
          <w:iCs/>
        </w:rPr>
      </w:pPr>
      <w:r w:rsidRPr="00D45266">
        <w:rPr>
          <w:rFonts w:eastAsia="TimesNewRomanPSMT"/>
        </w:rPr>
        <w:t xml:space="preserve">Speroni, C. (2011). </w:t>
      </w:r>
      <w:r w:rsidRPr="00381788">
        <w:rPr>
          <w:rFonts w:eastAsia="TimesNewRomanPSMT"/>
          <w:i/>
          <w:iCs/>
        </w:rPr>
        <w:t xml:space="preserve">Determinants of students’ success: The role of Advanced Placement and dual </w:t>
      </w:r>
    </w:p>
    <w:p w14:paraId="4758F2CF" w14:textId="0073848E" w:rsidR="00B83667" w:rsidRPr="00340362" w:rsidRDefault="00A40F25" w:rsidP="00325C6B">
      <w:pPr>
        <w:autoSpaceDE w:val="0"/>
        <w:autoSpaceDN w:val="0"/>
        <w:adjustRightInd w:val="0"/>
        <w:spacing w:line="480" w:lineRule="auto"/>
        <w:ind w:left="720"/>
        <w:rPr>
          <w:rFonts w:eastAsia="TimesNewRomanPSMT"/>
        </w:rPr>
      </w:pPr>
      <w:r w:rsidRPr="00F6420B">
        <w:rPr>
          <w:rFonts w:eastAsia="TimesNewRomanPSMT"/>
          <w:i/>
          <w:iCs/>
        </w:rPr>
        <w:t>enrollment programs</w:t>
      </w:r>
      <w:r w:rsidRPr="0004443F">
        <w:rPr>
          <w:rFonts w:eastAsia="TimesNewRomanPSMT"/>
        </w:rPr>
        <w:t>. National Center for Postsecondary Research, Teachers College, Columbia University.</w:t>
      </w:r>
    </w:p>
    <w:p w14:paraId="31C9B11F" w14:textId="6AB0E77E" w:rsidR="00B83667" w:rsidRPr="00C11D37" w:rsidRDefault="00B83667" w:rsidP="00FF4C6D">
      <w:pPr>
        <w:autoSpaceDE w:val="0"/>
        <w:autoSpaceDN w:val="0"/>
        <w:adjustRightInd w:val="0"/>
        <w:spacing w:line="480" w:lineRule="auto"/>
        <w:ind w:left="720" w:hanging="720"/>
      </w:pPr>
      <w:r w:rsidRPr="00347D45">
        <w:lastRenderedPageBreak/>
        <w:t xml:space="preserve">Song, M., &amp; Zeiser, K.L. (2019). </w:t>
      </w:r>
      <w:r w:rsidRPr="0072667E">
        <w:rPr>
          <w:i/>
          <w:iCs/>
        </w:rPr>
        <w:t>Early college, continued success: Longer-term impact of Early College high schools.</w:t>
      </w:r>
      <w:r w:rsidRPr="00C11D37">
        <w:t xml:space="preserve"> American Institutes for Research. </w:t>
      </w:r>
    </w:p>
    <w:p w14:paraId="1127BB64" w14:textId="39634E90" w:rsidR="00A40F25" w:rsidRPr="00C11D37" w:rsidRDefault="00A40F25" w:rsidP="00325C6B">
      <w:pPr>
        <w:autoSpaceDE w:val="0"/>
        <w:autoSpaceDN w:val="0"/>
        <w:adjustRightInd w:val="0"/>
        <w:spacing w:line="480" w:lineRule="auto"/>
        <w:rPr>
          <w:rFonts w:eastAsia="TimesNewRomanPSMT"/>
          <w:i/>
          <w:iCs/>
        </w:rPr>
      </w:pPr>
      <w:r w:rsidRPr="00C11D37">
        <w:rPr>
          <w:rFonts w:eastAsia="TimesNewRomanPSMT"/>
        </w:rPr>
        <w:t xml:space="preserve">Swanson, J. L. (2008). </w:t>
      </w:r>
      <w:r w:rsidRPr="00C11D37">
        <w:rPr>
          <w:rFonts w:eastAsia="TimesNewRomanPSMT"/>
          <w:i/>
          <w:iCs/>
        </w:rPr>
        <w:t xml:space="preserve">Executive summary: An analysis of the impact of high school dual </w:t>
      </w:r>
    </w:p>
    <w:p w14:paraId="3C4C9B82" w14:textId="1FADB78D" w:rsidR="00A40F25" w:rsidRPr="00C11D37" w:rsidRDefault="00A40F25" w:rsidP="00325C6B">
      <w:pPr>
        <w:spacing w:line="480" w:lineRule="auto"/>
        <w:ind w:left="720"/>
        <w:rPr>
          <w:rFonts w:eastAsia="TimesNewRomanPSMT"/>
        </w:rPr>
      </w:pPr>
      <w:r w:rsidRPr="00C11D37">
        <w:rPr>
          <w:rFonts w:eastAsia="TimesNewRomanPSMT"/>
          <w:i/>
          <w:iCs/>
        </w:rPr>
        <w:t xml:space="preserve">enrollment course participation on post-secondary academic success, </w:t>
      </w:r>
      <w:proofErr w:type="gramStart"/>
      <w:r w:rsidRPr="00C11D37">
        <w:rPr>
          <w:rFonts w:eastAsia="TimesNewRomanPSMT"/>
          <w:i/>
          <w:iCs/>
        </w:rPr>
        <w:t>persistence</w:t>
      </w:r>
      <w:proofErr w:type="gramEnd"/>
      <w:r w:rsidRPr="00C11D37">
        <w:rPr>
          <w:rFonts w:eastAsia="TimesNewRomanPSMT"/>
          <w:i/>
          <w:iCs/>
        </w:rPr>
        <w:t xml:space="preserve"> and degree completion</w:t>
      </w:r>
      <w:r w:rsidRPr="00C11D37">
        <w:rPr>
          <w:rFonts w:eastAsia="TimesNewRomanPSMT"/>
        </w:rPr>
        <w:t>.</w:t>
      </w:r>
      <w:r w:rsidRPr="00C11D37">
        <w:rPr>
          <w:rFonts w:eastAsia="TimesNewRomanPSMT"/>
          <w:i/>
          <w:iCs/>
        </w:rPr>
        <w:t xml:space="preserve"> </w:t>
      </w:r>
      <w:r w:rsidRPr="00C11D37">
        <w:rPr>
          <w:rFonts w:eastAsia="TimesNewRomanPSMT"/>
        </w:rPr>
        <w:t>National Alliance of Concurrent</w:t>
      </w:r>
      <w:r w:rsidRPr="00C11D37">
        <w:rPr>
          <w:rFonts w:eastAsia="TimesNewRomanPSMT"/>
          <w:i/>
          <w:iCs/>
        </w:rPr>
        <w:t xml:space="preserve"> </w:t>
      </w:r>
      <w:r w:rsidRPr="00C11D37">
        <w:rPr>
          <w:rFonts w:eastAsia="TimesNewRomanPSMT"/>
        </w:rPr>
        <w:t>Enrollment Partnerships.</w:t>
      </w:r>
    </w:p>
    <w:p w14:paraId="01E41B23" w14:textId="6612CC39" w:rsidR="007D4CF8" w:rsidRPr="00C11D37" w:rsidRDefault="007D4CF8" w:rsidP="00A5313A">
      <w:pPr>
        <w:spacing w:line="480" w:lineRule="auto"/>
        <w:ind w:left="720" w:hanging="720"/>
      </w:pPr>
      <w:r w:rsidRPr="00C11D37">
        <w:t xml:space="preserve">Thompson, K.D. (2017). What blocks the gate? Exploring current and former English learners’ math course-taking in secondary school. </w:t>
      </w:r>
      <w:r w:rsidRPr="00C11D37">
        <w:rPr>
          <w:i/>
          <w:iCs/>
        </w:rPr>
        <w:t>American Educational Research Journal, 54</w:t>
      </w:r>
      <w:r w:rsidRPr="00C11D37">
        <w:t xml:space="preserve">(4), 757-798. </w:t>
      </w:r>
    </w:p>
    <w:p w14:paraId="5A697CB3" w14:textId="54029392" w:rsidR="00A40F25" w:rsidRPr="00975708" w:rsidRDefault="00A40F25" w:rsidP="00325C6B">
      <w:pPr>
        <w:spacing w:line="480" w:lineRule="auto"/>
        <w:rPr>
          <w:shd w:val="clear" w:color="auto" w:fill="FFFFFF"/>
        </w:rPr>
      </w:pPr>
      <w:r w:rsidRPr="00975708">
        <w:rPr>
          <w:shd w:val="clear" w:color="auto" w:fill="FFFFFF"/>
        </w:rPr>
        <w:t xml:space="preserve">Thompson, C. &amp; Ongaga, K. (2011). “Flying the plane while we build it”: A case study of an </w:t>
      </w:r>
    </w:p>
    <w:p w14:paraId="1BE1D2A5" w14:textId="77777777" w:rsidR="00A40F25" w:rsidRPr="00975708" w:rsidRDefault="00A40F25" w:rsidP="00325C6B">
      <w:pPr>
        <w:spacing w:line="480" w:lineRule="auto"/>
        <w:ind w:firstLine="720"/>
        <w:rPr>
          <w:shd w:val="clear" w:color="auto" w:fill="FFFFFF"/>
        </w:rPr>
      </w:pPr>
      <w:r w:rsidRPr="00975708">
        <w:rPr>
          <w:shd w:val="clear" w:color="auto" w:fill="FFFFFF"/>
        </w:rPr>
        <w:t xml:space="preserve">early college high school. </w:t>
      </w:r>
      <w:r w:rsidRPr="00975708">
        <w:rPr>
          <w:i/>
          <w:shd w:val="clear" w:color="auto" w:fill="FFFFFF"/>
        </w:rPr>
        <w:t>The High School Journal, 94</w:t>
      </w:r>
      <w:r w:rsidRPr="00975708">
        <w:rPr>
          <w:shd w:val="clear" w:color="auto" w:fill="FFFFFF"/>
        </w:rPr>
        <w:t xml:space="preserve">(2), 43-57. </w:t>
      </w:r>
    </w:p>
    <w:p w14:paraId="415AC1D5" w14:textId="77777777" w:rsidR="00A40F25" w:rsidRPr="008E2E86" w:rsidRDefault="00A40F25" w:rsidP="00325C6B">
      <w:pPr>
        <w:spacing w:line="480" w:lineRule="auto"/>
        <w:outlineLvl w:val="0"/>
        <w:rPr>
          <w:shd w:val="clear" w:color="auto" w:fill="FFFFFF"/>
        </w:rPr>
      </w:pPr>
      <w:r w:rsidRPr="00F82D72">
        <w:rPr>
          <w:rStyle w:val="Strong"/>
          <w:b w:val="0"/>
          <w:shd w:val="clear" w:color="auto" w:fill="FFFFFF"/>
        </w:rPr>
        <w:t>Umansky, I.</w:t>
      </w:r>
      <w:r w:rsidRPr="00D45266">
        <w:rPr>
          <w:rStyle w:val="apple-converted-space"/>
          <w:shd w:val="clear" w:color="auto" w:fill="FFFFFF"/>
        </w:rPr>
        <w:t> </w:t>
      </w:r>
      <w:r w:rsidRPr="00381788">
        <w:rPr>
          <w:shd w:val="clear" w:color="auto" w:fill="FFFFFF"/>
        </w:rPr>
        <w:t xml:space="preserve">(2016). "Leveled and Exclusionary Tracking: English Learners' Access to Core </w:t>
      </w:r>
    </w:p>
    <w:p w14:paraId="51CAE391" w14:textId="77777777" w:rsidR="00A40F25" w:rsidRPr="00C11D37" w:rsidRDefault="00A40F25" w:rsidP="00325C6B">
      <w:pPr>
        <w:spacing w:line="480" w:lineRule="auto"/>
        <w:ind w:firstLine="720"/>
      </w:pPr>
      <w:r w:rsidRPr="00F6420B">
        <w:rPr>
          <w:shd w:val="clear" w:color="auto" w:fill="FFFFFF"/>
        </w:rPr>
        <w:t>Content in Middle School."</w:t>
      </w:r>
      <w:r w:rsidRPr="0004443F">
        <w:rPr>
          <w:rStyle w:val="apple-converted-space"/>
          <w:shd w:val="clear" w:color="auto" w:fill="FFFFFF"/>
        </w:rPr>
        <w:t> </w:t>
      </w:r>
      <w:r w:rsidRPr="00340362">
        <w:rPr>
          <w:rStyle w:val="Emphasis"/>
          <w:shd w:val="clear" w:color="auto" w:fill="FFFFFF"/>
        </w:rPr>
        <w:t>American Educational Research Journal,</w:t>
      </w:r>
      <w:r w:rsidRPr="00347D45">
        <w:rPr>
          <w:rStyle w:val="apple-converted-space"/>
          <w:shd w:val="clear" w:color="auto" w:fill="FFFFFF"/>
        </w:rPr>
        <w:t> </w:t>
      </w:r>
      <w:r w:rsidRPr="0072667E">
        <w:rPr>
          <w:shd w:val="clear" w:color="auto" w:fill="FFFFFF"/>
        </w:rPr>
        <w:t>53(6), 17</w:t>
      </w:r>
      <w:r w:rsidRPr="00C11D37">
        <w:rPr>
          <w:shd w:val="clear" w:color="auto" w:fill="FFFFFF"/>
        </w:rPr>
        <w:t>92-1833.</w:t>
      </w:r>
    </w:p>
    <w:p w14:paraId="70D5F75B" w14:textId="666754F1" w:rsidR="00F232CF" w:rsidRPr="00133FE1" w:rsidRDefault="00F232CF" w:rsidP="00F232CF">
      <w:pPr>
        <w:spacing w:line="480" w:lineRule="auto"/>
        <w:ind w:left="720" w:hanging="720"/>
      </w:pPr>
      <w:r w:rsidRPr="00F17B61">
        <w:t>U.S. Department of Education</w:t>
      </w:r>
      <w:r>
        <w:t>.</w:t>
      </w:r>
      <w:r w:rsidRPr="00F17B61">
        <w:t xml:space="preserve"> (2017).</w:t>
      </w:r>
      <w:r>
        <w:t xml:space="preserve"> </w:t>
      </w:r>
      <w:r>
        <w:rPr>
          <w:i/>
          <w:iCs/>
        </w:rPr>
        <w:t xml:space="preserve">Our nation’s English learners: What are their characteristics? </w:t>
      </w:r>
      <w:r w:rsidRPr="00133FE1">
        <w:t>https://www2.ed.gov/datastory/el-characteristics/index.html#datanotes</w:t>
      </w:r>
    </w:p>
    <w:p w14:paraId="6F890DAF" w14:textId="4356B7CC" w:rsidR="00A40F25" w:rsidRPr="00975708" w:rsidRDefault="00A40F25" w:rsidP="00B45768">
      <w:pPr>
        <w:pStyle w:val="CommentText"/>
        <w:spacing w:after="0" w:line="480" w:lineRule="auto"/>
        <w:rPr>
          <w:rFonts w:ascii="Times New Roman" w:hAnsi="Times New Roman" w:cs="Times New Roman"/>
          <w:sz w:val="24"/>
          <w:szCs w:val="24"/>
        </w:rPr>
      </w:pPr>
      <w:r w:rsidRPr="00975708">
        <w:rPr>
          <w:rFonts w:ascii="Times New Roman" w:hAnsi="Times New Roman" w:cs="Times New Roman"/>
          <w:sz w:val="24"/>
          <w:szCs w:val="24"/>
        </w:rPr>
        <w:t>U</w:t>
      </w:r>
      <w:r w:rsidR="00F232CF">
        <w:rPr>
          <w:rFonts w:ascii="Times New Roman" w:hAnsi="Times New Roman" w:cs="Times New Roman"/>
          <w:sz w:val="24"/>
          <w:szCs w:val="24"/>
        </w:rPr>
        <w:t>.</w:t>
      </w:r>
      <w:r w:rsidRPr="00975708">
        <w:rPr>
          <w:rFonts w:ascii="Times New Roman" w:hAnsi="Times New Roman" w:cs="Times New Roman"/>
          <w:sz w:val="24"/>
          <w:szCs w:val="24"/>
        </w:rPr>
        <w:t>S</w:t>
      </w:r>
      <w:r w:rsidR="00F232CF">
        <w:rPr>
          <w:rFonts w:ascii="Times New Roman" w:hAnsi="Times New Roman" w:cs="Times New Roman"/>
          <w:sz w:val="24"/>
          <w:szCs w:val="24"/>
        </w:rPr>
        <w:t>.</w:t>
      </w:r>
      <w:r w:rsidRPr="00975708">
        <w:rPr>
          <w:rFonts w:ascii="Times New Roman" w:hAnsi="Times New Roman" w:cs="Times New Roman"/>
          <w:sz w:val="24"/>
          <w:szCs w:val="24"/>
        </w:rPr>
        <w:t xml:space="preserve"> Department of Education. (2018). Educational experiences of English Learners: Access to </w:t>
      </w:r>
    </w:p>
    <w:p w14:paraId="77DEF4DF" w14:textId="25328EA6" w:rsidR="00A40F25" w:rsidRPr="00D45266" w:rsidRDefault="00A40F25" w:rsidP="00B45768">
      <w:pPr>
        <w:pStyle w:val="CommentText"/>
        <w:spacing w:after="0" w:line="480" w:lineRule="auto"/>
        <w:ind w:left="720"/>
        <w:rPr>
          <w:rFonts w:ascii="Times New Roman" w:hAnsi="Times New Roman" w:cs="Times New Roman"/>
          <w:sz w:val="24"/>
          <w:szCs w:val="24"/>
        </w:rPr>
      </w:pPr>
      <w:r w:rsidRPr="00975708">
        <w:rPr>
          <w:rFonts w:ascii="Times New Roman" w:hAnsi="Times New Roman" w:cs="Times New Roman"/>
          <w:sz w:val="24"/>
          <w:szCs w:val="24"/>
        </w:rPr>
        <w:t xml:space="preserve">and enrollment in Early Learning Programs, Advanced Coursework, and Dual Credit Programs. </w:t>
      </w:r>
      <w:r w:rsidRPr="00F82D72">
        <w:rPr>
          <w:rFonts w:ascii="Times New Roman" w:hAnsi="Times New Roman" w:cs="Times New Roman"/>
          <w:sz w:val="24"/>
          <w:szCs w:val="24"/>
        </w:rPr>
        <w:t>https://www2.ed.gov/datastory/el-experiences/index.html#two</w:t>
      </w:r>
    </w:p>
    <w:p w14:paraId="59526E8F" w14:textId="1F973BC4" w:rsidR="00D53775" w:rsidRPr="00845633" w:rsidRDefault="003F52B3" w:rsidP="00E903BD">
      <w:pPr>
        <w:pStyle w:val="NormalWeb"/>
        <w:spacing w:before="0" w:beforeAutospacing="0" w:after="0" w:afterAutospacing="0" w:line="480" w:lineRule="auto"/>
        <w:ind w:left="720" w:hanging="720"/>
      </w:pPr>
      <w:r w:rsidRPr="00381788">
        <w:t xml:space="preserve">Valdes, G. (2001). </w:t>
      </w:r>
      <w:r w:rsidRPr="008E2E86">
        <w:rPr>
          <w:i/>
          <w:iCs/>
        </w:rPr>
        <w:t xml:space="preserve">Learning and not learning English: Latino students in American schools. </w:t>
      </w:r>
      <w:r w:rsidRPr="00F6420B">
        <w:t>Teachers College Press.</w:t>
      </w:r>
    </w:p>
    <w:p w14:paraId="62F93162" w14:textId="07DC904B" w:rsidR="00836320" w:rsidRPr="00966E58" w:rsidRDefault="00836320" w:rsidP="00966E58">
      <w:pPr>
        <w:spacing w:line="480" w:lineRule="auto"/>
        <w:ind w:left="720" w:hanging="720"/>
        <w:rPr>
          <w:color w:val="000000" w:themeColor="text1"/>
        </w:rPr>
      </w:pPr>
      <w:r w:rsidRPr="006B7B82">
        <w:t xml:space="preserve">Venezia, A., Kirst, M. W., &amp; Antonio, A. L. (2003). </w:t>
      </w:r>
      <w:r w:rsidRPr="006B7B82">
        <w:rPr>
          <w:i/>
          <w:iCs/>
        </w:rPr>
        <w:t>Betraying the college dream: How disconnected K–12 and postsecondary education systems undermine student aspirations.</w:t>
      </w:r>
      <w:r w:rsidRPr="006B7B82">
        <w:t xml:space="preserve"> National Center for Postsecondary Improvement. </w:t>
      </w:r>
    </w:p>
    <w:p w14:paraId="43BC6494" w14:textId="77777777" w:rsidR="00B937B6" w:rsidRPr="00B937B6" w:rsidRDefault="00B937B6" w:rsidP="00B937B6">
      <w:pPr>
        <w:pStyle w:val="PlainText"/>
        <w:spacing w:line="480" w:lineRule="auto"/>
        <w:ind w:left="720" w:hanging="720"/>
        <w:rPr>
          <w:rFonts w:ascii="Times New Roman" w:hAnsi="Times New Roman" w:cs="Times New Roman"/>
          <w:sz w:val="24"/>
          <w:szCs w:val="24"/>
        </w:rPr>
      </w:pPr>
      <w:r w:rsidRPr="00B937B6">
        <w:rPr>
          <w:rFonts w:ascii="Times New Roman" w:hAnsi="Times New Roman" w:cs="Times New Roman"/>
          <w:sz w:val="24"/>
          <w:szCs w:val="24"/>
        </w:rPr>
        <w:lastRenderedPageBreak/>
        <w:t xml:space="preserve">Wang, X., Chan, H., Phelps, L. A., &amp; </w:t>
      </w:r>
      <w:proofErr w:type="spellStart"/>
      <w:r w:rsidRPr="00B937B6">
        <w:rPr>
          <w:rFonts w:ascii="Times New Roman" w:hAnsi="Times New Roman" w:cs="Times New Roman"/>
          <w:sz w:val="24"/>
          <w:szCs w:val="24"/>
        </w:rPr>
        <w:t>Washbon</w:t>
      </w:r>
      <w:proofErr w:type="spellEnd"/>
      <w:r w:rsidRPr="00B937B6">
        <w:rPr>
          <w:rFonts w:ascii="Times New Roman" w:hAnsi="Times New Roman" w:cs="Times New Roman"/>
          <w:sz w:val="24"/>
          <w:szCs w:val="24"/>
        </w:rPr>
        <w:t xml:space="preserve">, J. I. (2015). Fuel for success: Academic momentum as a mediator between dual enrollment and educational outcomes of two-year technical college students. </w:t>
      </w:r>
      <w:r w:rsidRPr="00B937B6">
        <w:rPr>
          <w:rFonts w:ascii="Times New Roman" w:hAnsi="Times New Roman" w:cs="Times New Roman"/>
          <w:i/>
          <w:iCs/>
          <w:sz w:val="24"/>
          <w:szCs w:val="24"/>
        </w:rPr>
        <w:t>Community College Review</w:t>
      </w:r>
      <w:r w:rsidRPr="00B937B6">
        <w:rPr>
          <w:rFonts w:ascii="Times New Roman" w:hAnsi="Times New Roman" w:cs="Times New Roman"/>
          <w:sz w:val="24"/>
          <w:szCs w:val="24"/>
        </w:rPr>
        <w:t xml:space="preserve">, </w:t>
      </w:r>
      <w:r w:rsidRPr="00B937B6">
        <w:rPr>
          <w:rFonts w:ascii="Times New Roman" w:hAnsi="Times New Roman" w:cs="Times New Roman"/>
          <w:i/>
          <w:iCs/>
          <w:sz w:val="24"/>
          <w:szCs w:val="24"/>
        </w:rPr>
        <w:t>43</w:t>
      </w:r>
      <w:r w:rsidRPr="00B937B6">
        <w:rPr>
          <w:rFonts w:ascii="Times New Roman" w:hAnsi="Times New Roman" w:cs="Times New Roman"/>
          <w:sz w:val="24"/>
          <w:szCs w:val="24"/>
        </w:rPr>
        <w:t>(2), 165–190. https://doi.org/10.1177/0091552115569846</w:t>
      </w:r>
    </w:p>
    <w:p w14:paraId="342A911B" w14:textId="77777777" w:rsidR="00B22915" w:rsidRDefault="00B45768" w:rsidP="00452D98">
      <w:pPr>
        <w:pStyle w:val="PlainText"/>
        <w:spacing w:line="480" w:lineRule="auto"/>
        <w:ind w:left="720" w:hanging="720"/>
        <w:rPr>
          <w:rFonts w:ascii="Times New Roman" w:hAnsi="Times New Roman" w:cs="Times New Roman"/>
          <w:sz w:val="24"/>
          <w:szCs w:val="24"/>
        </w:rPr>
        <w:sectPr w:rsidR="00B22915" w:rsidSect="00D0608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975708">
        <w:rPr>
          <w:rFonts w:ascii="Times New Roman" w:hAnsi="Times New Roman" w:cs="Times New Roman"/>
          <w:sz w:val="24"/>
          <w:szCs w:val="24"/>
        </w:rPr>
        <w:t xml:space="preserve">Zimmer, R., Henry, G. T., &amp; Kho, A. (2017). The effects of school turnaround in Tennessee’s Achievement School District and Innovation Zones. </w:t>
      </w:r>
      <w:r w:rsidRPr="00413DF7">
        <w:rPr>
          <w:rFonts w:ascii="Times New Roman" w:hAnsi="Times New Roman" w:cs="Times New Roman"/>
          <w:i/>
          <w:iCs/>
          <w:sz w:val="24"/>
          <w:szCs w:val="24"/>
        </w:rPr>
        <w:t>Educational Evaluation and Policy Analysis</w:t>
      </w:r>
      <w:r w:rsidRPr="00975708">
        <w:rPr>
          <w:rFonts w:ascii="Times New Roman" w:hAnsi="Times New Roman" w:cs="Times New Roman"/>
          <w:sz w:val="24"/>
          <w:szCs w:val="24"/>
        </w:rPr>
        <w:t xml:space="preserve">, </w:t>
      </w:r>
      <w:r w:rsidRPr="00413DF7">
        <w:rPr>
          <w:rFonts w:ascii="Times New Roman" w:hAnsi="Times New Roman" w:cs="Times New Roman"/>
          <w:i/>
          <w:iCs/>
          <w:sz w:val="24"/>
          <w:szCs w:val="24"/>
        </w:rPr>
        <w:t>39</w:t>
      </w:r>
      <w:r w:rsidRPr="00975708">
        <w:rPr>
          <w:rFonts w:ascii="Times New Roman" w:hAnsi="Times New Roman" w:cs="Times New Roman"/>
          <w:sz w:val="24"/>
          <w:szCs w:val="24"/>
        </w:rPr>
        <w:t>(4), 670-696.</w:t>
      </w:r>
    </w:p>
    <w:p w14:paraId="0763E391" w14:textId="77777777" w:rsidR="00B22915" w:rsidRDefault="00B22915" w:rsidP="00B22915">
      <w:pPr>
        <w:jc w:val="center"/>
        <w:rPr>
          <w:b/>
          <w:bCs/>
        </w:rPr>
      </w:pPr>
      <w:r w:rsidRPr="00BB15E2">
        <w:rPr>
          <w:b/>
          <w:bCs/>
        </w:rPr>
        <w:lastRenderedPageBreak/>
        <w:t>Tables and Figures</w:t>
      </w:r>
    </w:p>
    <w:p w14:paraId="1E1DE933" w14:textId="77777777" w:rsidR="00B22915" w:rsidRDefault="00B22915" w:rsidP="00B22915">
      <w:pPr>
        <w:jc w:val="center"/>
        <w:rPr>
          <w:b/>
          <w:bCs/>
        </w:rPr>
      </w:pPr>
    </w:p>
    <w:p w14:paraId="7C8813DA" w14:textId="39931D86" w:rsidR="00B22915" w:rsidRDefault="00B22915" w:rsidP="00B22915">
      <w:r w:rsidRPr="00BB15E2">
        <w:t xml:space="preserve">Table 1. </w:t>
      </w:r>
      <w:r w:rsidR="0089409A">
        <w:t xml:space="preserve">Early College </w:t>
      </w:r>
      <w:r>
        <w:t>Program Rollout</w:t>
      </w:r>
    </w:p>
    <w:p w14:paraId="768E612F" w14:textId="07166865" w:rsidR="009A3A31" w:rsidRDefault="009A3A31" w:rsidP="009A3A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229"/>
        <w:gridCol w:w="1229"/>
        <w:gridCol w:w="1229"/>
        <w:gridCol w:w="1229"/>
        <w:gridCol w:w="1229"/>
        <w:gridCol w:w="1230"/>
      </w:tblGrid>
      <w:tr w:rsidR="009A3A31" w14:paraId="1632469E" w14:textId="77777777" w:rsidTr="00A26956">
        <w:tc>
          <w:tcPr>
            <w:tcW w:w="1975" w:type="dxa"/>
          </w:tcPr>
          <w:p w14:paraId="4F3341FB" w14:textId="77777777" w:rsidR="009A3A31" w:rsidRDefault="009A3A31" w:rsidP="00A26956">
            <w:pPr>
              <w:rPr>
                <w:color w:val="000000"/>
                <w:sz w:val="22"/>
              </w:rPr>
            </w:pPr>
          </w:p>
        </w:tc>
        <w:tc>
          <w:tcPr>
            <w:tcW w:w="2458" w:type="dxa"/>
            <w:gridSpan w:val="2"/>
            <w:tcBorders>
              <w:bottom w:val="single" w:sz="4" w:space="0" w:color="auto"/>
            </w:tcBorders>
            <w:vAlign w:val="center"/>
          </w:tcPr>
          <w:p w14:paraId="7C772866" w14:textId="77777777" w:rsidR="009A3A31" w:rsidRDefault="009A3A31" w:rsidP="00A26956">
            <w:pPr>
              <w:jc w:val="center"/>
              <w:rPr>
                <w:color w:val="000000"/>
                <w:sz w:val="22"/>
              </w:rPr>
            </w:pPr>
            <w:r>
              <w:rPr>
                <w:color w:val="000000"/>
                <w:sz w:val="22"/>
              </w:rPr>
              <w:t>2016-17</w:t>
            </w:r>
          </w:p>
        </w:tc>
        <w:tc>
          <w:tcPr>
            <w:tcW w:w="2458" w:type="dxa"/>
            <w:gridSpan w:val="2"/>
            <w:tcBorders>
              <w:bottom w:val="single" w:sz="4" w:space="0" w:color="auto"/>
            </w:tcBorders>
            <w:vAlign w:val="center"/>
          </w:tcPr>
          <w:p w14:paraId="0255D8AE" w14:textId="77777777" w:rsidR="009A3A31" w:rsidRDefault="009A3A31" w:rsidP="00A26956">
            <w:pPr>
              <w:jc w:val="center"/>
              <w:rPr>
                <w:color w:val="000000"/>
                <w:sz w:val="22"/>
              </w:rPr>
            </w:pPr>
            <w:r>
              <w:rPr>
                <w:color w:val="000000"/>
                <w:sz w:val="22"/>
              </w:rPr>
              <w:t>2017-18</w:t>
            </w:r>
          </w:p>
        </w:tc>
        <w:tc>
          <w:tcPr>
            <w:tcW w:w="2459" w:type="dxa"/>
            <w:gridSpan w:val="2"/>
            <w:tcBorders>
              <w:bottom w:val="single" w:sz="4" w:space="0" w:color="auto"/>
            </w:tcBorders>
            <w:vAlign w:val="center"/>
          </w:tcPr>
          <w:p w14:paraId="326635FF" w14:textId="77777777" w:rsidR="009A3A31" w:rsidRDefault="009A3A31" w:rsidP="00A26956">
            <w:pPr>
              <w:jc w:val="center"/>
              <w:rPr>
                <w:color w:val="000000"/>
                <w:sz w:val="22"/>
              </w:rPr>
            </w:pPr>
            <w:r>
              <w:rPr>
                <w:color w:val="000000"/>
                <w:sz w:val="22"/>
              </w:rPr>
              <w:t>2018-19</w:t>
            </w:r>
          </w:p>
        </w:tc>
      </w:tr>
      <w:tr w:rsidR="009A3A31" w14:paraId="290728DC" w14:textId="77777777" w:rsidTr="00A26956">
        <w:tc>
          <w:tcPr>
            <w:tcW w:w="1975" w:type="dxa"/>
            <w:tcBorders>
              <w:bottom w:val="single" w:sz="4" w:space="0" w:color="auto"/>
            </w:tcBorders>
          </w:tcPr>
          <w:p w14:paraId="21CBD0C0" w14:textId="77777777" w:rsidR="009A3A31" w:rsidRDefault="009A3A31" w:rsidP="00A26956">
            <w:pPr>
              <w:rPr>
                <w:color w:val="000000"/>
                <w:sz w:val="22"/>
              </w:rPr>
            </w:pPr>
          </w:p>
        </w:tc>
        <w:tc>
          <w:tcPr>
            <w:tcW w:w="1229" w:type="dxa"/>
            <w:tcBorders>
              <w:top w:val="single" w:sz="4" w:space="0" w:color="auto"/>
              <w:bottom w:val="single" w:sz="4" w:space="0" w:color="auto"/>
            </w:tcBorders>
            <w:vAlign w:val="center"/>
          </w:tcPr>
          <w:p w14:paraId="231415D1" w14:textId="77777777" w:rsidR="009A3A31" w:rsidRDefault="009A3A31" w:rsidP="00A26956">
            <w:pPr>
              <w:jc w:val="center"/>
              <w:rPr>
                <w:color w:val="000000"/>
                <w:sz w:val="22"/>
              </w:rPr>
            </w:pPr>
            <w:r>
              <w:rPr>
                <w:color w:val="000000"/>
                <w:sz w:val="22"/>
              </w:rPr>
              <w:t>Fall</w:t>
            </w:r>
          </w:p>
        </w:tc>
        <w:tc>
          <w:tcPr>
            <w:tcW w:w="1229" w:type="dxa"/>
            <w:tcBorders>
              <w:top w:val="single" w:sz="4" w:space="0" w:color="auto"/>
              <w:bottom w:val="single" w:sz="4" w:space="0" w:color="auto"/>
            </w:tcBorders>
            <w:vAlign w:val="center"/>
          </w:tcPr>
          <w:p w14:paraId="5495B204" w14:textId="77777777" w:rsidR="009A3A31" w:rsidRDefault="009A3A31" w:rsidP="00A26956">
            <w:pPr>
              <w:jc w:val="center"/>
              <w:rPr>
                <w:color w:val="000000"/>
                <w:sz w:val="22"/>
              </w:rPr>
            </w:pPr>
            <w:r>
              <w:rPr>
                <w:color w:val="000000"/>
                <w:sz w:val="22"/>
              </w:rPr>
              <w:t>Spring</w:t>
            </w:r>
          </w:p>
        </w:tc>
        <w:tc>
          <w:tcPr>
            <w:tcW w:w="1229" w:type="dxa"/>
            <w:tcBorders>
              <w:top w:val="single" w:sz="4" w:space="0" w:color="auto"/>
              <w:bottom w:val="single" w:sz="4" w:space="0" w:color="auto"/>
            </w:tcBorders>
            <w:vAlign w:val="center"/>
          </w:tcPr>
          <w:p w14:paraId="0DDB1B0C" w14:textId="77777777" w:rsidR="009A3A31" w:rsidRDefault="009A3A31" w:rsidP="00A26956">
            <w:pPr>
              <w:jc w:val="center"/>
              <w:rPr>
                <w:color w:val="000000"/>
                <w:sz w:val="22"/>
              </w:rPr>
            </w:pPr>
            <w:r>
              <w:rPr>
                <w:color w:val="000000"/>
                <w:sz w:val="22"/>
              </w:rPr>
              <w:t>Fall</w:t>
            </w:r>
          </w:p>
        </w:tc>
        <w:tc>
          <w:tcPr>
            <w:tcW w:w="1229" w:type="dxa"/>
            <w:tcBorders>
              <w:top w:val="single" w:sz="4" w:space="0" w:color="auto"/>
              <w:bottom w:val="single" w:sz="4" w:space="0" w:color="auto"/>
            </w:tcBorders>
            <w:vAlign w:val="center"/>
          </w:tcPr>
          <w:p w14:paraId="29A95BCD" w14:textId="77777777" w:rsidR="009A3A31" w:rsidRDefault="009A3A31" w:rsidP="00A26956">
            <w:pPr>
              <w:jc w:val="center"/>
              <w:rPr>
                <w:color w:val="000000"/>
                <w:sz w:val="22"/>
              </w:rPr>
            </w:pPr>
            <w:r>
              <w:rPr>
                <w:color w:val="000000"/>
                <w:sz w:val="22"/>
              </w:rPr>
              <w:t>Spring</w:t>
            </w:r>
          </w:p>
        </w:tc>
        <w:tc>
          <w:tcPr>
            <w:tcW w:w="1229" w:type="dxa"/>
            <w:tcBorders>
              <w:top w:val="single" w:sz="4" w:space="0" w:color="auto"/>
              <w:bottom w:val="single" w:sz="4" w:space="0" w:color="auto"/>
            </w:tcBorders>
            <w:vAlign w:val="center"/>
          </w:tcPr>
          <w:p w14:paraId="6133830A" w14:textId="77777777" w:rsidR="009A3A31" w:rsidRDefault="009A3A31" w:rsidP="00A26956">
            <w:pPr>
              <w:jc w:val="center"/>
              <w:rPr>
                <w:color w:val="000000"/>
                <w:sz w:val="22"/>
              </w:rPr>
            </w:pPr>
            <w:r>
              <w:rPr>
                <w:color w:val="000000"/>
                <w:sz w:val="22"/>
              </w:rPr>
              <w:t>Fall</w:t>
            </w:r>
          </w:p>
        </w:tc>
        <w:tc>
          <w:tcPr>
            <w:tcW w:w="1230" w:type="dxa"/>
            <w:tcBorders>
              <w:top w:val="single" w:sz="4" w:space="0" w:color="auto"/>
              <w:bottom w:val="single" w:sz="4" w:space="0" w:color="auto"/>
            </w:tcBorders>
            <w:vAlign w:val="center"/>
          </w:tcPr>
          <w:p w14:paraId="1036FFFC" w14:textId="77777777" w:rsidR="009A3A31" w:rsidRDefault="009A3A31" w:rsidP="00A26956">
            <w:pPr>
              <w:jc w:val="center"/>
              <w:rPr>
                <w:color w:val="000000"/>
                <w:sz w:val="22"/>
              </w:rPr>
            </w:pPr>
            <w:r>
              <w:rPr>
                <w:color w:val="000000"/>
                <w:sz w:val="22"/>
              </w:rPr>
              <w:t>Spring</w:t>
            </w:r>
          </w:p>
        </w:tc>
      </w:tr>
      <w:tr w:rsidR="009A3A31" w14:paraId="48F9A843" w14:textId="77777777" w:rsidTr="00A26956">
        <w:tc>
          <w:tcPr>
            <w:tcW w:w="1975" w:type="dxa"/>
            <w:tcBorders>
              <w:top w:val="single" w:sz="4" w:space="0" w:color="auto"/>
            </w:tcBorders>
          </w:tcPr>
          <w:p w14:paraId="12B75040" w14:textId="77777777" w:rsidR="009A3A31" w:rsidRDefault="009A3A31" w:rsidP="00A26956">
            <w:pPr>
              <w:rPr>
                <w:color w:val="000000"/>
                <w:sz w:val="22"/>
              </w:rPr>
            </w:pPr>
            <w:r>
              <w:rPr>
                <w:color w:val="000000"/>
                <w:sz w:val="22"/>
              </w:rPr>
              <w:t>HS1</w:t>
            </w:r>
          </w:p>
        </w:tc>
        <w:tc>
          <w:tcPr>
            <w:tcW w:w="1229" w:type="dxa"/>
            <w:tcBorders>
              <w:top w:val="single" w:sz="4" w:space="0" w:color="auto"/>
            </w:tcBorders>
            <w:vAlign w:val="center"/>
          </w:tcPr>
          <w:p w14:paraId="1D8E4FF0" w14:textId="77777777" w:rsidR="009A3A31" w:rsidRDefault="009A3A31" w:rsidP="00A26956">
            <w:pPr>
              <w:jc w:val="center"/>
              <w:rPr>
                <w:color w:val="000000"/>
                <w:sz w:val="22"/>
              </w:rPr>
            </w:pPr>
          </w:p>
        </w:tc>
        <w:tc>
          <w:tcPr>
            <w:tcW w:w="1229" w:type="dxa"/>
            <w:tcBorders>
              <w:top w:val="single" w:sz="4" w:space="0" w:color="auto"/>
            </w:tcBorders>
            <w:vAlign w:val="center"/>
          </w:tcPr>
          <w:p w14:paraId="779D75DD" w14:textId="77777777" w:rsidR="009A3A31" w:rsidRDefault="009A3A31" w:rsidP="00A26956">
            <w:pPr>
              <w:jc w:val="center"/>
              <w:rPr>
                <w:color w:val="000000"/>
                <w:sz w:val="22"/>
              </w:rPr>
            </w:pPr>
          </w:p>
        </w:tc>
        <w:tc>
          <w:tcPr>
            <w:tcW w:w="1229" w:type="dxa"/>
            <w:tcBorders>
              <w:top w:val="single" w:sz="4" w:space="0" w:color="auto"/>
            </w:tcBorders>
            <w:vAlign w:val="center"/>
          </w:tcPr>
          <w:p w14:paraId="6EBF8AA8" w14:textId="77777777" w:rsidR="009A3A31" w:rsidRDefault="009A3A31" w:rsidP="00A26956">
            <w:pPr>
              <w:jc w:val="center"/>
              <w:rPr>
                <w:color w:val="000000"/>
                <w:sz w:val="22"/>
              </w:rPr>
            </w:pPr>
          </w:p>
        </w:tc>
        <w:tc>
          <w:tcPr>
            <w:tcW w:w="1229" w:type="dxa"/>
            <w:tcBorders>
              <w:top w:val="single" w:sz="4" w:space="0" w:color="auto"/>
            </w:tcBorders>
            <w:vAlign w:val="center"/>
          </w:tcPr>
          <w:p w14:paraId="4537341C" w14:textId="77777777" w:rsidR="009A3A31" w:rsidRDefault="009A3A31" w:rsidP="00A26956">
            <w:pPr>
              <w:jc w:val="center"/>
              <w:rPr>
                <w:color w:val="000000"/>
                <w:sz w:val="22"/>
              </w:rPr>
            </w:pPr>
          </w:p>
        </w:tc>
        <w:tc>
          <w:tcPr>
            <w:tcW w:w="1229" w:type="dxa"/>
            <w:tcBorders>
              <w:top w:val="single" w:sz="4" w:space="0" w:color="auto"/>
            </w:tcBorders>
            <w:vAlign w:val="center"/>
          </w:tcPr>
          <w:p w14:paraId="71D6F15B" w14:textId="77777777" w:rsidR="009A3A31" w:rsidRDefault="009A3A31" w:rsidP="00A26956">
            <w:pPr>
              <w:jc w:val="center"/>
              <w:rPr>
                <w:color w:val="000000"/>
                <w:sz w:val="22"/>
              </w:rPr>
            </w:pPr>
          </w:p>
        </w:tc>
        <w:tc>
          <w:tcPr>
            <w:tcW w:w="1230" w:type="dxa"/>
            <w:tcBorders>
              <w:top w:val="single" w:sz="4" w:space="0" w:color="auto"/>
            </w:tcBorders>
            <w:vAlign w:val="center"/>
          </w:tcPr>
          <w:p w14:paraId="5DF6326F" w14:textId="77777777" w:rsidR="009A3A31" w:rsidRDefault="009A3A31" w:rsidP="00A26956">
            <w:pPr>
              <w:jc w:val="center"/>
              <w:rPr>
                <w:color w:val="000000"/>
                <w:sz w:val="22"/>
              </w:rPr>
            </w:pPr>
          </w:p>
        </w:tc>
      </w:tr>
      <w:tr w:rsidR="009A3A31" w14:paraId="7C02D72D" w14:textId="77777777" w:rsidTr="00A26956">
        <w:tc>
          <w:tcPr>
            <w:tcW w:w="1975" w:type="dxa"/>
          </w:tcPr>
          <w:p w14:paraId="2CB8E74F" w14:textId="77777777" w:rsidR="009A3A31" w:rsidRDefault="009A3A31" w:rsidP="00A26956">
            <w:pPr>
              <w:ind w:firstLine="429"/>
              <w:rPr>
                <w:color w:val="000000"/>
                <w:sz w:val="22"/>
              </w:rPr>
            </w:pPr>
            <w:r>
              <w:rPr>
                <w:color w:val="000000"/>
                <w:sz w:val="22"/>
              </w:rPr>
              <w:t>11</w:t>
            </w:r>
            <w:r w:rsidRPr="00FC09AD">
              <w:rPr>
                <w:color w:val="000000"/>
                <w:sz w:val="22"/>
                <w:vertAlign w:val="superscript"/>
              </w:rPr>
              <w:t>th</w:t>
            </w:r>
            <w:r>
              <w:rPr>
                <w:color w:val="000000"/>
                <w:sz w:val="22"/>
              </w:rPr>
              <w:t xml:space="preserve"> Graders</w:t>
            </w:r>
          </w:p>
        </w:tc>
        <w:tc>
          <w:tcPr>
            <w:tcW w:w="1229" w:type="dxa"/>
            <w:vAlign w:val="center"/>
          </w:tcPr>
          <w:p w14:paraId="4C8E9ACA" w14:textId="77777777" w:rsidR="009A3A31" w:rsidRDefault="009A3A31" w:rsidP="00A26956">
            <w:pPr>
              <w:jc w:val="center"/>
              <w:rPr>
                <w:color w:val="000000"/>
                <w:sz w:val="22"/>
              </w:rPr>
            </w:pPr>
          </w:p>
        </w:tc>
        <w:tc>
          <w:tcPr>
            <w:tcW w:w="1229" w:type="dxa"/>
            <w:shd w:val="clear" w:color="auto" w:fill="F2F2F2" w:themeFill="background1" w:themeFillShade="F2"/>
            <w:vAlign w:val="center"/>
          </w:tcPr>
          <w:p w14:paraId="15D5101A" w14:textId="77777777" w:rsidR="009A3A31" w:rsidRDefault="009A3A31" w:rsidP="00A26956">
            <w:pPr>
              <w:jc w:val="center"/>
              <w:rPr>
                <w:color w:val="000000"/>
                <w:sz w:val="22"/>
              </w:rPr>
            </w:pPr>
            <w:r>
              <w:rPr>
                <w:color w:val="000000"/>
                <w:sz w:val="22"/>
              </w:rPr>
              <w:t>X</w:t>
            </w:r>
          </w:p>
        </w:tc>
        <w:tc>
          <w:tcPr>
            <w:tcW w:w="1229" w:type="dxa"/>
            <w:vAlign w:val="center"/>
          </w:tcPr>
          <w:p w14:paraId="29D76B52" w14:textId="77777777" w:rsidR="009A3A31" w:rsidRDefault="009A3A31" w:rsidP="00A26956">
            <w:pPr>
              <w:jc w:val="center"/>
              <w:rPr>
                <w:color w:val="000000"/>
                <w:sz w:val="22"/>
              </w:rPr>
            </w:pPr>
          </w:p>
        </w:tc>
        <w:tc>
          <w:tcPr>
            <w:tcW w:w="1229" w:type="dxa"/>
            <w:shd w:val="clear" w:color="auto" w:fill="F2F2F2" w:themeFill="background1" w:themeFillShade="F2"/>
            <w:vAlign w:val="center"/>
          </w:tcPr>
          <w:p w14:paraId="483CF345" w14:textId="77777777" w:rsidR="009A3A31" w:rsidRDefault="009A3A31" w:rsidP="00A26956">
            <w:pPr>
              <w:jc w:val="center"/>
              <w:rPr>
                <w:color w:val="000000"/>
                <w:sz w:val="22"/>
              </w:rPr>
            </w:pPr>
            <w:r>
              <w:rPr>
                <w:color w:val="000000"/>
                <w:sz w:val="22"/>
              </w:rPr>
              <w:t>X</w:t>
            </w:r>
          </w:p>
        </w:tc>
        <w:tc>
          <w:tcPr>
            <w:tcW w:w="1229" w:type="dxa"/>
            <w:vAlign w:val="center"/>
          </w:tcPr>
          <w:p w14:paraId="654D66AC" w14:textId="77777777" w:rsidR="009A3A31" w:rsidRDefault="009A3A31" w:rsidP="00A26956">
            <w:pPr>
              <w:jc w:val="center"/>
              <w:rPr>
                <w:color w:val="000000"/>
                <w:sz w:val="22"/>
              </w:rPr>
            </w:pPr>
          </w:p>
        </w:tc>
        <w:tc>
          <w:tcPr>
            <w:tcW w:w="1230" w:type="dxa"/>
            <w:shd w:val="clear" w:color="auto" w:fill="F2F2F2" w:themeFill="background1" w:themeFillShade="F2"/>
            <w:vAlign w:val="center"/>
          </w:tcPr>
          <w:p w14:paraId="6568AEB2" w14:textId="77777777" w:rsidR="009A3A31" w:rsidRDefault="009A3A31" w:rsidP="00A26956">
            <w:pPr>
              <w:jc w:val="center"/>
              <w:rPr>
                <w:color w:val="000000"/>
                <w:sz w:val="22"/>
              </w:rPr>
            </w:pPr>
            <w:r>
              <w:rPr>
                <w:color w:val="000000"/>
                <w:sz w:val="22"/>
              </w:rPr>
              <w:t>X</w:t>
            </w:r>
          </w:p>
        </w:tc>
      </w:tr>
      <w:tr w:rsidR="009A3A31" w14:paraId="3A023A0A" w14:textId="77777777" w:rsidTr="00A26956">
        <w:tc>
          <w:tcPr>
            <w:tcW w:w="1975" w:type="dxa"/>
          </w:tcPr>
          <w:p w14:paraId="1405C480" w14:textId="77777777" w:rsidR="009A3A31" w:rsidRDefault="009A3A31" w:rsidP="00A26956">
            <w:pPr>
              <w:ind w:firstLine="429"/>
              <w:rPr>
                <w:color w:val="000000"/>
                <w:sz w:val="22"/>
              </w:rPr>
            </w:pPr>
            <w:r>
              <w:rPr>
                <w:color w:val="000000"/>
                <w:sz w:val="22"/>
              </w:rPr>
              <w:t>12</w:t>
            </w:r>
            <w:r w:rsidRPr="00FC09AD">
              <w:rPr>
                <w:color w:val="000000"/>
                <w:sz w:val="22"/>
                <w:vertAlign w:val="superscript"/>
              </w:rPr>
              <w:t>th</w:t>
            </w:r>
            <w:r>
              <w:rPr>
                <w:color w:val="000000"/>
                <w:sz w:val="22"/>
                <w:vertAlign w:val="superscript"/>
              </w:rPr>
              <w:t xml:space="preserve"> </w:t>
            </w:r>
            <w:r>
              <w:rPr>
                <w:color w:val="000000"/>
                <w:sz w:val="22"/>
              </w:rPr>
              <w:t>Graders</w:t>
            </w:r>
          </w:p>
        </w:tc>
        <w:tc>
          <w:tcPr>
            <w:tcW w:w="1229" w:type="dxa"/>
            <w:shd w:val="clear" w:color="auto" w:fill="F2F2F2" w:themeFill="background1" w:themeFillShade="F2"/>
            <w:vAlign w:val="center"/>
          </w:tcPr>
          <w:p w14:paraId="3C500C63" w14:textId="77777777" w:rsidR="009A3A31" w:rsidRDefault="009A3A31" w:rsidP="00A26956">
            <w:pPr>
              <w:jc w:val="center"/>
              <w:rPr>
                <w:color w:val="000000"/>
                <w:sz w:val="22"/>
              </w:rPr>
            </w:pPr>
            <w:r>
              <w:rPr>
                <w:color w:val="000000"/>
                <w:sz w:val="22"/>
              </w:rPr>
              <w:t>X</w:t>
            </w:r>
          </w:p>
        </w:tc>
        <w:tc>
          <w:tcPr>
            <w:tcW w:w="1229" w:type="dxa"/>
            <w:shd w:val="clear" w:color="auto" w:fill="F2F2F2" w:themeFill="background1" w:themeFillShade="F2"/>
            <w:vAlign w:val="center"/>
          </w:tcPr>
          <w:p w14:paraId="65F7FA0B" w14:textId="77777777" w:rsidR="009A3A31" w:rsidRDefault="009A3A31" w:rsidP="00A26956">
            <w:pPr>
              <w:jc w:val="center"/>
              <w:rPr>
                <w:color w:val="000000"/>
                <w:sz w:val="22"/>
              </w:rPr>
            </w:pPr>
            <w:r>
              <w:rPr>
                <w:color w:val="000000"/>
                <w:sz w:val="22"/>
              </w:rPr>
              <w:t>X</w:t>
            </w:r>
          </w:p>
        </w:tc>
        <w:tc>
          <w:tcPr>
            <w:tcW w:w="1229" w:type="dxa"/>
            <w:shd w:val="clear" w:color="auto" w:fill="F2F2F2" w:themeFill="background1" w:themeFillShade="F2"/>
            <w:vAlign w:val="center"/>
          </w:tcPr>
          <w:p w14:paraId="75406E28" w14:textId="77777777" w:rsidR="009A3A31" w:rsidRDefault="009A3A31" w:rsidP="00A26956">
            <w:pPr>
              <w:jc w:val="center"/>
              <w:rPr>
                <w:color w:val="000000"/>
                <w:sz w:val="22"/>
              </w:rPr>
            </w:pPr>
            <w:r>
              <w:rPr>
                <w:color w:val="000000"/>
                <w:sz w:val="22"/>
              </w:rPr>
              <w:t>X</w:t>
            </w:r>
          </w:p>
        </w:tc>
        <w:tc>
          <w:tcPr>
            <w:tcW w:w="1229" w:type="dxa"/>
            <w:shd w:val="clear" w:color="auto" w:fill="F2F2F2" w:themeFill="background1" w:themeFillShade="F2"/>
            <w:vAlign w:val="center"/>
          </w:tcPr>
          <w:p w14:paraId="43CEDF87" w14:textId="77777777" w:rsidR="009A3A31" w:rsidRDefault="009A3A31" w:rsidP="00A26956">
            <w:pPr>
              <w:jc w:val="center"/>
              <w:rPr>
                <w:color w:val="000000"/>
                <w:sz w:val="22"/>
              </w:rPr>
            </w:pPr>
            <w:r>
              <w:rPr>
                <w:color w:val="000000"/>
                <w:sz w:val="22"/>
              </w:rPr>
              <w:t>X</w:t>
            </w:r>
          </w:p>
        </w:tc>
        <w:tc>
          <w:tcPr>
            <w:tcW w:w="1229" w:type="dxa"/>
            <w:shd w:val="clear" w:color="auto" w:fill="F2F2F2" w:themeFill="background1" w:themeFillShade="F2"/>
            <w:vAlign w:val="center"/>
          </w:tcPr>
          <w:p w14:paraId="72622691" w14:textId="77777777" w:rsidR="009A3A31" w:rsidRDefault="009A3A31" w:rsidP="00A26956">
            <w:pPr>
              <w:jc w:val="center"/>
              <w:rPr>
                <w:color w:val="000000"/>
                <w:sz w:val="22"/>
              </w:rPr>
            </w:pPr>
            <w:r>
              <w:rPr>
                <w:color w:val="000000"/>
                <w:sz w:val="22"/>
              </w:rPr>
              <w:t>X</w:t>
            </w:r>
          </w:p>
        </w:tc>
        <w:tc>
          <w:tcPr>
            <w:tcW w:w="1230" w:type="dxa"/>
            <w:shd w:val="clear" w:color="auto" w:fill="F2F2F2" w:themeFill="background1" w:themeFillShade="F2"/>
            <w:vAlign w:val="center"/>
          </w:tcPr>
          <w:p w14:paraId="3A6E716D" w14:textId="77777777" w:rsidR="009A3A31" w:rsidRDefault="009A3A31" w:rsidP="00A26956">
            <w:pPr>
              <w:jc w:val="center"/>
              <w:rPr>
                <w:color w:val="000000"/>
                <w:sz w:val="22"/>
              </w:rPr>
            </w:pPr>
            <w:r>
              <w:rPr>
                <w:color w:val="000000"/>
                <w:sz w:val="22"/>
              </w:rPr>
              <w:t>X</w:t>
            </w:r>
          </w:p>
        </w:tc>
      </w:tr>
      <w:tr w:rsidR="009A3A31" w14:paraId="74961A9D" w14:textId="77777777" w:rsidTr="00A26956">
        <w:tc>
          <w:tcPr>
            <w:tcW w:w="1975" w:type="dxa"/>
          </w:tcPr>
          <w:p w14:paraId="02796A80" w14:textId="77777777" w:rsidR="009A3A31" w:rsidRDefault="009A3A31" w:rsidP="00A26956">
            <w:pPr>
              <w:rPr>
                <w:color w:val="000000"/>
                <w:sz w:val="22"/>
              </w:rPr>
            </w:pPr>
          </w:p>
        </w:tc>
        <w:tc>
          <w:tcPr>
            <w:tcW w:w="1229" w:type="dxa"/>
            <w:vAlign w:val="center"/>
          </w:tcPr>
          <w:p w14:paraId="06F77450" w14:textId="77777777" w:rsidR="009A3A31" w:rsidRDefault="009A3A31" w:rsidP="00A26956">
            <w:pPr>
              <w:jc w:val="center"/>
              <w:rPr>
                <w:color w:val="000000"/>
                <w:sz w:val="22"/>
              </w:rPr>
            </w:pPr>
          </w:p>
        </w:tc>
        <w:tc>
          <w:tcPr>
            <w:tcW w:w="1229" w:type="dxa"/>
            <w:vAlign w:val="center"/>
          </w:tcPr>
          <w:p w14:paraId="5E35E34D" w14:textId="77777777" w:rsidR="009A3A31" w:rsidRDefault="009A3A31" w:rsidP="00A26956">
            <w:pPr>
              <w:jc w:val="center"/>
              <w:rPr>
                <w:color w:val="000000"/>
                <w:sz w:val="22"/>
              </w:rPr>
            </w:pPr>
          </w:p>
        </w:tc>
        <w:tc>
          <w:tcPr>
            <w:tcW w:w="1229" w:type="dxa"/>
            <w:vAlign w:val="center"/>
          </w:tcPr>
          <w:p w14:paraId="545DE152" w14:textId="77777777" w:rsidR="009A3A31" w:rsidRDefault="009A3A31" w:rsidP="00A26956">
            <w:pPr>
              <w:jc w:val="center"/>
              <w:rPr>
                <w:color w:val="000000"/>
                <w:sz w:val="22"/>
              </w:rPr>
            </w:pPr>
          </w:p>
        </w:tc>
        <w:tc>
          <w:tcPr>
            <w:tcW w:w="1229" w:type="dxa"/>
            <w:vAlign w:val="center"/>
          </w:tcPr>
          <w:p w14:paraId="3099E7F9" w14:textId="77777777" w:rsidR="009A3A31" w:rsidRDefault="009A3A31" w:rsidP="00A26956">
            <w:pPr>
              <w:jc w:val="center"/>
              <w:rPr>
                <w:color w:val="000000"/>
                <w:sz w:val="22"/>
              </w:rPr>
            </w:pPr>
          </w:p>
        </w:tc>
        <w:tc>
          <w:tcPr>
            <w:tcW w:w="1229" w:type="dxa"/>
            <w:vAlign w:val="center"/>
          </w:tcPr>
          <w:p w14:paraId="1B65057D" w14:textId="77777777" w:rsidR="009A3A31" w:rsidRDefault="009A3A31" w:rsidP="00A26956">
            <w:pPr>
              <w:jc w:val="center"/>
              <w:rPr>
                <w:color w:val="000000"/>
                <w:sz w:val="22"/>
              </w:rPr>
            </w:pPr>
          </w:p>
        </w:tc>
        <w:tc>
          <w:tcPr>
            <w:tcW w:w="1230" w:type="dxa"/>
            <w:vAlign w:val="center"/>
          </w:tcPr>
          <w:p w14:paraId="0D905193" w14:textId="77777777" w:rsidR="009A3A31" w:rsidRDefault="009A3A31" w:rsidP="00A26956">
            <w:pPr>
              <w:jc w:val="center"/>
              <w:rPr>
                <w:color w:val="000000"/>
                <w:sz w:val="22"/>
              </w:rPr>
            </w:pPr>
          </w:p>
        </w:tc>
      </w:tr>
      <w:tr w:rsidR="009A3A31" w14:paraId="31328EDF" w14:textId="77777777" w:rsidTr="00A26956">
        <w:tc>
          <w:tcPr>
            <w:tcW w:w="1975" w:type="dxa"/>
          </w:tcPr>
          <w:p w14:paraId="3D87EB4D" w14:textId="77777777" w:rsidR="009A3A31" w:rsidRDefault="009A3A31" w:rsidP="00A26956">
            <w:pPr>
              <w:rPr>
                <w:color w:val="000000"/>
                <w:sz w:val="22"/>
              </w:rPr>
            </w:pPr>
            <w:r>
              <w:rPr>
                <w:color w:val="000000"/>
                <w:sz w:val="22"/>
              </w:rPr>
              <w:t>HS2</w:t>
            </w:r>
          </w:p>
        </w:tc>
        <w:tc>
          <w:tcPr>
            <w:tcW w:w="1229" w:type="dxa"/>
            <w:vAlign w:val="center"/>
          </w:tcPr>
          <w:p w14:paraId="225AC2F7" w14:textId="77777777" w:rsidR="009A3A31" w:rsidRDefault="009A3A31" w:rsidP="00A26956">
            <w:pPr>
              <w:jc w:val="center"/>
              <w:rPr>
                <w:color w:val="000000"/>
                <w:sz w:val="22"/>
              </w:rPr>
            </w:pPr>
          </w:p>
        </w:tc>
        <w:tc>
          <w:tcPr>
            <w:tcW w:w="1229" w:type="dxa"/>
            <w:vAlign w:val="center"/>
          </w:tcPr>
          <w:p w14:paraId="0EF636FB" w14:textId="77777777" w:rsidR="009A3A31" w:rsidRDefault="009A3A31" w:rsidP="00A26956">
            <w:pPr>
              <w:jc w:val="center"/>
              <w:rPr>
                <w:color w:val="000000"/>
                <w:sz w:val="22"/>
              </w:rPr>
            </w:pPr>
          </w:p>
        </w:tc>
        <w:tc>
          <w:tcPr>
            <w:tcW w:w="1229" w:type="dxa"/>
            <w:vAlign w:val="center"/>
          </w:tcPr>
          <w:p w14:paraId="16A7E5F8" w14:textId="77777777" w:rsidR="009A3A31" w:rsidRDefault="009A3A31" w:rsidP="00A26956">
            <w:pPr>
              <w:jc w:val="center"/>
              <w:rPr>
                <w:color w:val="000000"/>
                <w:sz w:val="22"/>
              </w:rPr>
            </w:pPr>
          </w:p>
        </w:tc>
        <w:tc>
          <w:tcPr>
            <w:tcW w:w="1229" w:type="dxa"/>
            <w:vAlign w:val="center"/>
          </w:tcPr>
          <w:p w14:paraId="422E2A12" w14:textId="77777777" w:rsidR="009A3A31" w:rsidRDefault="009A3A31" w:rsidP="00A26956">
            <w:pPr>
              <w:jc w:val="center"/>
              <w:rPr>
                <w:color w:val="000000"/>
                <w:sz w:val="22"/>
              </w:rPr>
            </w:pPr>
          </w:p>
        </w:tc>
        <w:tc>
          <w:tcPr>
            <w:tcW w:w="1229" w:type="dxa"/>
            <w:vAlign w:val="center"/>
          </w:tcPr>
          <w:p w14:paraId="0010B941" w14:textId="77777777" w:rsidR="009A3A31" w:rsidRDefault="009A3A31" w:rsidP="00A26956">
            <w:pPr>
              <w:jc w:val="center"/>
              <w:rPr>
                <w:color w:val="000000"/>
                <w:sz w:val="22"/>
              </w:rPr>
            </w:pPr>
          </w:p>
        </w:tc>
        <w:tc>
          <w:tcPr>
            <w:tcW w:w="1230" w:type="dxa"/>
            <w:vAlign w:val="center"/>
          </w:tcPr>
          <w:p w14:paraId="1C9F9562" w14:textId="77777777" w:rsidR="009A3A31" w:rsidRDefault="009A3A31" w:rsidP="00A26956">
            <w:pPr>
              <w:jc w:val="center"/>
              <w:rPr>
                <w:color w:val="000000"/>
                <w:sz w:val="22"/>
              </w:rPr>
            </w:pPr>
          </w:p>
        </w:tc>
      </w:tr>
      <w:tr w:rsidR="009A3A31" w14:paraId="2F012ACD" w14:textId="77777777" w:rsidTr="00A26956">
        <w:tc>
          <w:tcPr>
            <w:tcW w:w="1975" w:type="dxa"/>
          </w:tcPr>
          <w:p w14:paraId="7B9FBFF3" w14:textId="77777777" w:rsidR="009A3A31" w:rsidRDefault="009A3A31" w:rsidP="00A26956">
            <w:pPr>
              <w:ind w:firstLine="429"/>
              <w:rPr>
                <w:color w:val="000000"/>
                <w:sz w:val="22"/>
              </w:rPr>
            </w:pPr>
            <w:r>
              <w:rPr>
                <w:color w:val="000000"/>
                <w:sz w:val="22"/>
              </w:rPr>
              <w:t>11</w:t>
            </w:r>
            <w:r w:rsidRPr="00FC09AD">
              <w:rPr>
                <w:color w:val="000000"/>
                <w:sz w:val="22"/>
                <w:vertAlign w:val="superscript"/>
              </w:rPr>
              <w:t>th</w:t>
            </w:r>
            <w:r>
              <w:rPr>
                <w:color w:val="000000"/>
                <w:sz w:val="22"/>
              </w:rPr>
              <w:t xml:space="preserve"> Graders</w:t>
            </w:r>
          </w:p>
        </w:tc>
        <w:tc>
          <w:tcPr>
            <w:tcW w:w="1229" w:type="dxa"/>
            <w:vAlign w:val="center"/>
          </w:tcPr>
          <w:p w14:paraId="3A93BD4C" w14:textId="77777777" w:rsidR="009A3A31" w:rsidRDefault="009A3A31" w:rsidP="00A26956">
            <w:pPr>
              <w:jc w:val="center"/>
              <w:rPr>
                <w:color w:val="000000"/>
                <w:sz w:val="22"/>
              </w:rPr>
            </w:pPr>
          </w:p>
        </w:tc>
        <w:tc>
          <w:tcPr>
            <w:tcW w:w="1229" w:type="dxa"/>
            <w:vAlign w:val="center"/>
          </w:tcPr>
          <w:p w14:paraId="50D1D55D" w14:textId="77777777" w:rsidR="009A3A31" w:rsidRDefault="009A3A31" w:rsidP="00A26956">
            <w:pPr>
              <w:jc w:val="center"/>
              <w:rPr>
                <w:color w:val="000000"/>
                <w:sz w:val="22"/>
              </w:rPr>
            </w:pPr>
          </w:p>
        </w:tc>
        <w:tc>
          <w:tcPr>
            <w:tcW w:w="1229" w:type="dxa"/>
            <w:vAlign w:val="center"/>
          </w:tcPr>
          <w:p w14:paraId="1CF338F0" w14:textId="77777777" w:rsidR="009A3A31" w:rsidRDefault="009A3A31" w:rsidP="00A26956">
            <w:pPr>
              <w:jc w:val="center"/>
              <w:rPr>
                <w:color w:val="000000"/>
                <w:sz w:val="22"/>
              </w:rPr>
            </w:pPr>
          </w:p>
        </w:tc>
        <w:tc>
          <w:tcPr>
            <w:tcW w:w="1229" w:type="dxa"/>
            <w:shd w:val="clear" w:color="auto" w:fill="F2F2F2" w:themeFill="background1" w:themeFillShade="F2"/>
            <w:vAlign w:val="center"/>
          </w:tcPr>
          <w:p w14:paraId="39DC1519" w14:textId="77777777" w:rsidR="009A3A31" w:rsidRDefault="009A3A31" w:rsidP="00A26956">
            <w:pPr>
              <w:jc w:val="center"/>
              <w:rPr>
                <w:color w:val="000000"/>
                <w:sz w:val="22"/>
              </w:rPr>
            </w:pPr>
            <w:r>
              <w:rPr>
                <w:color w:val="000000"/>
                <w:sz w:val="22"/>
              </w:rPr>
              <w:t>X</w:t>
            </w:r>
          </w:p>
        </w:tc>
        <w:tc>
          <w:tcPr>
            <w:tcW w:w="1229" w:type="dxa"/>
            <w:vAlign w:val="center"/>
          </w:tcPr>
          <w:p w14:paraId="4B22259D" w14:textId="77777777" w:rsidR="009A3A31" w:rsidRDefault="009A3A31" w:rsidP="00A26956">
            <w:pPr>
              <w:jc w:val="center"/>
              <w:rPr>
                <w:color w:val="000000"/>
                <w:sz w:val="22"/>
              </w:rPr>
            </w:pPr>
          </w:p>
        </w:tc>
        <w:tc>
          <w:tcPr>
            <w:tcW w:w="1230" w:type="dxa"/>
            <w:vAlign w:val="center"/>
          </w:tcPr>
          <w:p w14:paraId="7809E773" w14:textId="77777777" w:rsidR="009A3A31" w:rsidRDefault="009A3A31" w:rsidP="00A26956">
            <w:pPr>
              <w:jc w:val="center"/>
              <w:rPr>
                <w:color w:val="000000"/>
                <w:sz w:val="22"/>
              </w:rPr>
            </w:pPr>
          </w:p>
        </w:tc>
      </w:tr>
      <w:tr w:rsidR="009A3A31" w14:paraId="5991F18E" w14:textId="77777777" w:rsidTr="00A26956">
        <w:tc>
          <w:tcPr>
            <w:tcW w:w="1975" w:type="dxa"/>
          </w:tcPr>
          <w:p w14:paraId="5AD3D669" w14:textId="77777777" w:rsidR="009A3A31" w:rsidRDefault="009A3A31" w:rsidP="00A26956">
            <w:pPr>
              <w:ind w:firstLine="429"/>
              <w:rPr>
                <w:color w:val="000000"/>
                <w:sz w:val="22"/>
              </w:rPr>
            </w:pPr>
            <w:r>
              <w:rPr>
                <w:color w:val="000000"/>
                <w:sz w:val="22"/>
              </w:rPr>
              <w:t>12</w:t>
            </w:r>
            <w:r w:rsidRPr="00FC09AD">
              <w:rPr>
                <w:color w:val="000000"/>
                <w:sz w:val="22"/>
                <w:vertAlign w:val="superscript"/>
              </w:rPr>
              <w:t>th</w:t>
            </w:r>
            <w:r>
              <w:rPr>
                <w:color w:val="000000"/>
                <w:sz w:val="22"/>
                <w:vertAlign w:val="superscript"/>
              </w:rPr>
              <w:t xml:space="preserve"> </w:t>
            </w:r>
            <w:r>
              <w:rPr>
                <w:color w:val="000000"/>
                <w:sz w:val="22"/>
              </w:rPr>
              <w:t>Graders</w:t>
            </w:r>
          </w:p>
        </w:tc>
        <w:tc>
          <w:tcPr>
            <w:tcW w:w="1229" w:type="dxa"/>
            <w:vAlign w:val="center"/>
          </w:tcPr>
          <w:p w14:paraId="0BD54F1E" w14:textId="77777777" w:rsidR="009A3A31" w:rsidRDefault="009A3A31" w:rsidP="00A26956">
            <w:pPr>
              <w:jc w:val="center"/>
              <w:rPr>
                <w:color w:val="000000"/>
                <w:sz w:val="22"/>
              </w:rPr>
            </w:pPr>
          </w:p>
        </w:tc>
        <w:tc>
          <w:tcPr>
            <w:tcW w:w="1229" w:type="dxa"/>
            <w:vAlign w:val="center"/>
          </w:tcPr>
          <w:p w14:paraId="1148E4A1" w14:textId="77777777" w:rsidR="009A3A31" w:rsidRDefault="009A3A31" w:rsidP="00A26956">
            <w:pPr>
              <w:jc w:val="center"/>
              <w:rPr>
                <w:color w:val="000000"/>
                <w:sz w:val="22"/>
              </w:rPr>
            </w:pPr>
          </w:p>
        </w:tc>
        <w:tc>
          <w:tcPr>
            <w:tcW w:w="1229" w:type="dxa"/>
            <w:shd w:val="clear" w:color="auto" w:fill="F2F2F2" w:themeFill="background1" w:themeFillShade="F2"/>
            <w:vAlign w:val="center"/>
          </w:tcPr>
          <w:p w14:paraId="3477A6D7" w14:textId="77777777" w:rsidR="009A3A31" w:rsidRDefault="009A3A31" w:rsidP="00A26956">
            <w:pPr>
              <w:jc w:val="center"/>
              <w:rPr>
                <w:color w:val="000000"/>
                <w:sz w:val="22"/>
              </w:rPr>
            </w:pPr>
            <w:r>
              <w:rPr>
                <w:color w:val="000000"/>
                <w:sz w:val="22"/>
              </w:rPr>
              <w:t>X</w:t>
            </w:r>
          </w:p>
        </w:tc>
        <w:tc>
          <w:tcPr>
            <w:tcW w:w="1229" w:type="dxa"/>
            <w:shd w:val="clear" w:color="auto" w:fill="F2F2F2" w:themeFill="background1" w:themeFillShade="F2"/>
            <w:vAlign w:val="center"/>
          </w:tcPr>
          <w:p w14:paraId="6D486257" w14:textId="77777777" w:rsidR="009A3A31" w:rsidRDefault="009A3A31" w:rsidP="00A26956">
            <w:pPr>
              <w:jc w:val="center"/>
              <w:rPr>
                <w:color w:val="000000"/>
                <w:sz w:val="22"/>
              </w:rPr>
            </w:pPr>
            <w:r>
              <w:rPr>
                <w:color w:val="000000"/>
                <w:sz w:val="22"/>
              </w:rPr>
              <w:t>X</w:t>
            </w:r>
          </w:p>
        </w:tc>
        <w:tc>
          <w:tcPr>
            <w:tcW w:w="1229" w:type="dxa"/>
            <w:shd w:val="clear" w:color="auto" w:fill="F2F2F2" w:themeFill="background1" w:themeFillShade="F2"/>
            <w:vAlign w:val="center"/>
          </w:tcPr>
          <w:p w14:paraId="0CF19473" w14:textId="77777777" w:rsidR="009A3A31" w:rsidRDefault="009A3A31" w:rsidP="00A26956">
            <w:pPr>
              <w:jc w:val="center"/>
              <w:rPr>
                <w:color w:val="000000"/>
                <w:sz w:val="22"/>
              </w:rPr>
            </w:pPr>
            <w:r>
              <w:rPr>
                <w:color w:val="000000"/>
                <w:sz w:val="22"/>
              </w:rPr>
              <w:t>X</w:t>
            </w:r>
          </w:p>
        </w:tc>
        <w:tc>
          <w:tcPr>
            <w:tcW w:w="1230" w:type="dxa"/>
            <w:shd w:val="clear" w:color="auto" w:fill="F2F2F2" w:themeFill="background1" w:themeFillShade="F2"/>
            <w:vAlign w:val="center"/>
          </w:tcPr>
          <w:p w14:paraId="2AD8C889" w14:textId="77777777" w:rsidR="009A3A31" w:rsidRDefault="009A3A31" w:rsidP="00A26956">
            <w:pPr>
              <w:jc w:val="center"/>
              <w:rPr>
                <w:color w:val="000000"/>
                <w:sz w:val="22"/>
              </w:rPr>
            </w:pPr>
            <w:r>
              <w:rPr>
                <w:color w:val="000000"/>
                <w:sz w:val="22"/>
              </w:rPr>
              <w:t>X</w:t>
            </w:r>
          </w:p>
        </w:tc>
      </w:tr>
      <w:tr w:rsidR="009A3A31" w14:paraId="305F21CD" w14:textId="77777777" w:rsidTr="00A26956">
        <w:tc>
          <w:tcPr>
            <w:tcW w:w="1975" w:type="dxa"/>
          </w:tcPr>
          <w:p w14:paraId="4EECC0DB" w14:textId="77777777" w:rsidR="009A3A31" w:rsidRDefault="009A3A31" w:rsidP="00A26956">
            <w:pPr>
              <w:rPr>
                <w:color w:val="000000"/>
                <w:sz w:val="22"/>
              </w:rPr>
            </w:pPr>
          </w:p>
        </w:tc>
        <w:tc>
          <w:tcPr>
            <w:tcW w:w="1229" w:type="dxa"/>
            <w:vAlign w:val="center"/>
          </w:tcPr>
          <w:p w14:paraId="6BAF7D74" w14:textId="77777777" w:rsidR="009A3A31" w:rsidRDefault="009A3A31" w:rsidP="00A26956">
            <w:pPr>
              <w:jc w:val="center"/>
              <w:rPr>
                <w:color w:val="000000"/>
                <w:sz w:val="22"/>
              </w:rPr>
            </w:pPr>
          </w:p>
        </w:tc>
        <w:tc>
          <w:tcPr>
            <w:tcW w:w="1229" w:type="dxa"/>
            <w:vAlign w:val="center"/>
          </w:tcPr>
          <w:p w14:paraId="466CBA8F" w14:textId="77777777" w:rsidR="009A3A31" w:rsidRDefault="009A3A31" w:rsidP="00A26956">
            <w:pPr>
              <w:jc w:val="center"/>
              <w:rPr>
                <w:color w:val="000000"/>
                <w:sz w:val="22"/>
              </w:rPr>
            </w:pPr>
          </w:p>
        </w:tc>
        <w:tc>
          <w:tcPr>
            <w:tcW w:w="1229" w:type="dxa"/>
            <w:vAlign w:val="center"/>
          </w:tcPr>
          <w:p w14:paraId="543DDDAF" w14:textId="77777777" w:rsidR="009A3A31" w:rsidRDefault="009A3A31" w:rsidP="00A26956">
            <w:pPr>
              <w:jc w:val="center"/>
              <w:rPr>
                <w:color w:val="000000"/>
                <w:sz w:val="22"/>
              </w:rPr>
            </w:pPr>
          </w:p>
        </w:tc>
        <w:tc>
          <w:tcPr>
            <w:tcW w:w="1229" w:type="dxa"/>
            <w:vAlign w:val="center"/>
          </w:tcPr>
          <w:p w14:paraId="646E6554" w14:textId="77777777" w:rsidR="009A3A31" w:rsidRDefault="009A3A31" w:rsidP="00A26956">
            <w:pPr>
              <w:jc w:val="center"/>
              <w:rPr>
                <w:color w:val="000000"/>
                <w:sz w:val="22"/>
              </w:rPr>
            </w:pPr>
          </w:p>
        </w:tc>
        <w:tc>
          <w:tcPr>
            <w:tcW w:w="1229" w:type="dxa"/>
            <w:vAlign w:val="center"/>
          </w:tcPr>
          <w:p w14:paraId="7A3230C9" w14:textId="77777777" w:rsidR="009A3A31" w:rsidRDefault="009A3A31" w:rsidP="00A26956">
            <w:pPr>
              <w:jc w:val="center"/>
              <w:rPr>
                <w:color w:val="000000"/>
                <w:sz w:val="22"/>
              </w:rPr>
            </w:pPr>
          </w:p>
        </w:tc>
        <w:tc>
          <w:tcPr>
            <w:tcW w:w="1230" w:type="dxa"/>
            <w:vAlign w:val="center"/>
          </w:tcPr>
          <w:p w14:paraId="72869716" w14:textId="77777777" w:rsidR="009A3A31" w:rsidRDefault="009A3A31" w:rsidP="00A26956">
            <w:pPr>
              <w:jc w:val="center"/>
              <w:rPr>
                <w:color w:val="000000"/>
                <w:sz w:val="22"/>
              </w:rPr>
            </w:pPr>
          </w:p>
        </w:tc>
      </w:tr>
      <w:tr w:rsidR="009A3A31" w14:paraId="4245A659" w14:textId="77777777" w:rsidTr="00A26956">
        <w:tc>
          <w:tcPr>
            <w:tcW w:w="1975" w:type="dxa"/>
          </w:tcPr>
          <w:p w14:paraId="4CA08439" w14:textId="77777777" w:rsidR="009A3A31" w:rsidRDefault="009A3A31" w:rsidP="00A26956">
            <w:pPr>
              <w:rPr>
                <w:color w:val="000000"/>
                <w:sz w:val="22"/>
              </w:rPr>
            </w:pPr>
            <w:r>
              <w:rPr>
                <w:color w:val="000000"/>
                <w:sz w:val="22"/>
              </w:rPr>
              <w:t>HS3</w:t>
            </w:r>
          </w:p>
        </w:tc>
        <w:tc>
          <w:tcPr>
            <w:tcW w:w="1229" w:type="dxa"/>
            <w:vAlign w:val="center"/>
          </w:tcPr>
          <w:p w14:paraId="44FD54E0" w14:textId="77777777" w:rsidR="009A3A31" w:rsidRDefault="009A3A31" w:rsidP="00A26956">
            <w:pPr>
              <w:jc w:val="center"/>
              <w:rPr>
                <w:color w:val="000000"/>
                <w:sz w:val="22"/>
              </w:rPr>
            </w:pPr>
          </w:p>
        </w:tc>
        <w:tc>
          <w:tcPr>
            <w:tcW w:w="1229" w:type="dxa"/>
            <w:vAlign w:val="center"/>
          </w:tcPr>
          <w:p w14:paraId="45ADEADE" w14:textId="77777777" w:rsidR="009A3A31" w:rsidRDefault="009A3A31" w:rsidP="00A26956">
            <w:pPr>
              <w:jc w:val="center"/>
              <w:rPr>
                <w:color w:val="000000"/>
                <w:sz w:val="22"/>
              </w:rPr>
            </w:pPr>
          </w:p>
        </w:tc>
        <w:tc>
          <w:tcPr>
            <w:tcW w:w="1229" w:type="dxa"/>
            <w:vAlign w:val="center"/>
          </w:tcPr>
          <w:p w14:paraId="3C182A27" w14:textId="77777777" w:rsidR="009A3A31" w:rsidRDefault="009A3A31" w:rsidP="00A26956">
            <w:pPr>
              <w:jc w:val="center"/>
              <w:rPr>
                <w:color w:val="000000"/>
                <w:sz w:val="22"/>
              </w:rPr>
            </w:pPr>
          </w:p>
        </w:tc>
        <w:tc>
          <w:tcPr>
            <w:tcW w:w="1229" w:type="dxa"/>
            <w:vAlign w:val="center"/>
          </w:tcPr>
          <w:p w14:paraId="0615FC67" w14:textId="77777777" w:rsidR="009A3A31" w:rsidRDefault="009A3A31" w:rsidP="00A26956">
            <w:pPr>
              <w:jc w:val="center"/>
              <w:rPr>
                <w:color w:val="000000"/>
                <w:sz w:val="22"/>
              </w:rPr>
            </w:pPr>
          </w:p>
        </w:tc>
        <w:tc>
          <w:tcPr>
            <w:tcW w:w="1229" w:type="dxa"/>
            <w:vAlign w:val="center"/>
          </w:tcPr>
          <w:p w14:paraId="1480B3EB" w14:textId="77777777" w:rsidR="009A3A31" w:rsidRDefault="009A3A31" w:rsidP="00A26956">
            <w:pPr>
              <w:jc w:val="center"/>
              <w:rPr>
                <w:color w:val="000000"/>
                <w:sz w:val="22"/>
              </w:rPr>
            </w:pPr>
          </w:p>
        </w:tc>
        <w:tc>
          <w:tcPr>
            <w:tcW w:w="1230" w:type="dxa"/>
            <w:vAlign w:val="center"/>
          </w:tcPr>
          <w:p w14:paraId="2882F033" w14:textId="77777777" w:rsidR="009A3A31" w:rsidRDefault="009A3A31" w:rsidP="00A26956">
            <w:pPr>
              <w:jc w:val="center"/>
              <w:rPr>
                <w:color w:val="000000"/>
                <w:sz w:val="22"/>
              </w:rPr>
            </w:pPr>
          </w:p>
        </w:tc>
      </w:tr>
      <w:tr w:rsidR="009A3A31" w14:paraId="38D6C82D" w14:textId="77777777" w:rsidTr="00A26956">
        <w:tc>
          <w:tcPr>
            <w:tcW w:w="1975" w:type="dxa"/>
          </w:tcPr>
          <w:p w14:paraId="050B8BA9" w14:textId="77777777" w:rsidR="009A3A31" w:rsidRDefault="009A3A31" w:rsidP="00A26956">
            <w:pPr>
              <w:ind w:firstLine="429"/>
              <w:rPr>
                <w:color w:val="000000"/>
                <w:sz w:val="22"/>
              </w:rPr>
            </w:pPr>
            <w:r>
              <w:rPr>
                <w:color w:val="000000"/>
                <w:sz w:val="22"/>
              </w:rPr>
              <w:t>11</w:t>
            </w:r>
            <w:r w:rsidRPr="00FC09AD">
              <w:rPr>
                <w:color w:val="000000"/>
                <w:sz w:val="22"/>
                <w:vertAlign w:val="superscript"/>
              </w:rPr>
              <w:t>th</w:t>
            </w:r>
            <w:r>
              <w:rPr>
                <w:color w:val="000000"/>
                <w:sz w:val="22"/>
              </w:rPr>
              <w:t xml:space="preserve"> Graders</w:t>
            </w:r>
          </w:p>
        </w:tc>
        <w:tc>
          <w:tcPr>
            <w:tcW w:w="1229" w:type="dxa"/>
            <w:vAlign w:val="center"/>
          </w:tcPr>
          <w:p w14:paraId="26F99861" w14:textId="77777777" w:rsidR="009A3A31" w:rsidRDefault="009A3A31" w:rsidP="00A26956">
            <w:pPr>
              <w:jc w:val="center"/>
              <w:rPr>
                <w:color w:val="000000"/>
                <w:sz w:val="22"/>
              </w:rPr>
            </w:pPr>
          </w:p>
        </w:tc>
        <w:tc>
          <w:tcPr>
            <w:tcW w:w="1229" w:type="dxa"/>
            <w:vAlign w:val="center"/>
          </w:tcPr>
          <w:p w14:paraId="50578DBD" w14:textId="77777777" w:rsidR="009A3A31" w:rsidRDefault="009A3A31" w:rsidP="00A26956">
            <w:pPr>
              <w:jc w:val="center"/>
              <w:rPr>
                <w:color w:val="000000"/>
                <w:sz w:val="22"/>
              </w:rPr>
            </w:pPr>
          </w:p>
        </w:tc>
        <w:tc>
          <w:tcPr>
            <w:tcW w:w="1229" w:type="dxa"/>
            <w:vAlign w:val="center"/>
          </w:tcPr>
          <w:p w14:paraId="49E576F5" w14:textId="77777777" w:rsidR="009A3A31" w:rsidRDefault="009A3A31" w:rsidP="00A26956">
            <w:pPr>
              <w:jc w:val="center"/>
              <w:rPr>
                <w:color w:val="000000"/>
                <w:sz w:val="22"/>
              </w:rPr>
            </w:pPr>
          </w:p>
        </w:tc>
        <w:tc>
          <w:tcPr>
            <w:tcW w:w="1229" w:type="dxa"/>
            <w:vAlign w:val="center"/>
          </w:tcPr>
          <w:p w14:paraId="0311730B" w14:textId="77777777" w:rsidR="009A3A31" w:rsidRDefault="009A3A31" w:rsidP="00A26956">
            <w:pPr>
              <w:jc w:val="center"/>
              <w:rPr>
                <w:color w:val="000000"/>
                <w:sz w:val="22"/>
              </w:rPr>
            </w:pPr>
          </w:p>
        </w:tc>
        <w:tc>
          <w:tcPr>
            <w:tcW w:w="1229" w:type="dxa"/>
            <w:vAlign w:val="center"/>
          </w:tcPr>
          <w:p w14:paraId="4F771EE6" w14:textId="77777777" w:rsidR="009A3A31" w:rsidRDefault="009A3A31" w:rsidP="00A26956">
            <w:pPr>
              <w:jc w:val="center"/>
              <w:rPr>
                <w:color w:val="000000"/>
                <w:sz w:val="22"/>
              </w:rPr>
            </w:pPr>
          </w:p>
        </w:tc>
        <w:tc>
          <w:tcPr>
            <w:tcW w:w="1230" w:type="dxa"/>
            <w:vAlign w:val="center"/>
          </w:tcPr>
          <w:p w14:paraId="27E93659" w14:textId="77777777" w:rsidR="009A3A31" w:rsidRDefault="009A3A31" w:rsidP="00A26956">
            <w:pPr>
              <w:jc w:val="center"/>
              <w:rPr>
                <w:color w:val="000000"/>
                <w:sz w:val="22"/>
              </w:rPr>
            </w:pPr>
          </w:p>
        </w:tc>
      </w:tr>
      <w:tr w:rsidR="009A3A31" w14:paraId="4F5BBE45" w14:textId="77777777" w:rsidTr="00A26956">
        <w:tc>
          <w:tcPr>
            <w:tcW w:w="1975" w:type="dxa"/>
            <w:tcBorders>
              <w:bottom w:val="single" w:sz="4" w:space="0" w:color="auto"/>
            </w:tcBorders>
          </w:tcPr>
          <w:p w14:paraId="22CA4A01" w14:textId="77777777" w:rsidR="009A3A31" w:rsidRDefault="009A3A31" w:rsidP="00A26956">
            <w:pPr>
              <w:ind w:firstLine="429"/>
              <w:rPr>
                <w:color w:val="000000"/>
                <w:sz w:val="22"/>
              </w:rPr>
            </w:pPr>
            <w:r>
              <w:rPr>
                <w:color w:val="000000"/>
                <w:sz w:val="22"/>
              </w:rPr>
              <w:t>12</w:t>
            </w:r>
            <w:r w:rsidRPr="00FC09AD">
              <w:rPr>
                <w:color w:val="000000"/>
                <w:sz w:val="22"/>
                <w:vertAlign w:val="superscript"/>
              </w:rPr>
              <w:t>th</w:t>
            </w:r>
            <w:r>
              <w:rPr>
                <w:color w:val="000000"/>
                <w:sz w:val="22"/>
                <w:vertAlign w:val="superscript"/>
              </w:rPr>
              <w:t xml:space="preserve"> </w:t>
            </w:r>
            <w:r>
              <w:rPr>
                <w:color w:val="000000"/>
                <w:sz w:val="22"/>
              </w:rPr>
              <w:t>Graders</w:t>
            </w:r>
          </w:p>
        </w:tc>
        <w:tc>
          <w:tcPr>
            <w:tcW w:w="1229" w:type="dxa"/>
            <w:tcBorders>
              <w:bottom w:val="single" w:sz="4" w:space="0" w:color="auto"/>
            </w:tcBorders>
            <w:vAlign w:val="center"/>
          </w:tcPr>
          <w:p w14:paraId="4585D22B" w14:textId="77777777" w:rsidR="009A3A31" w:rsidRDefault="009A3A31" w:rsidP="00A26956">
            <w:pPr>
              <w:jc w:val="center"/>
              <w:rPr>
                <w:color w:val="000000"/>
                <w:sz w:val="22"/>
              </w:rPr>
            </w:pPr>
          </w:p>
        </w:tc>
        <w:tc>
          <w:tcPr>
            <w:tcW w:w="1229" w:type="dxa"/>
            <w:tcBorders>
              <w:bottom w:val="single" w:sz="4" w:space="0" w:color="auto"/>
            </w:tcBorders>
            <w:vAlign w:val="center"/>
          </w:tcPr>
          <w:p w14:paraId="39DC923D" w14:textId="77777777" w:rsidR="009A3A31" w:rsidRDefault="009A3A31" w:rsidP="00A26956">
            <w:pPr>
              <w:jc w:val="center"/>
              <w:rPr>
                <w:color w:val="000000"/>
                <w:sz w:val="22"/>
              </w:rPr>
            </w:pPr>
          </w:p>
        </w:tc>
        <w:tc>
          <w:tcPr>
            <w:tcW w:w="1229" w:type="dxa"/>
            <w:tcBorders>
              <w:bottom w:val="single" w:sz="4" w:space="0" w:color="auto"/>
            </w:tcBorders>
            <w:vAlign w:val="center"/>
          </w:tcPr>
          <w:p w14:paraId="5DE30719" w14:textId="77777777" w:rsidR="009A3A31" w:rsidRDefault="009A3A31" w:rsidP="00A26956">
            <w:pPr>
              <w:jc w:val="center"/>
              <w:rPr>
                <w:color w:val="000000"/>
                <w:sz w:val="22"/>
              </w:rPr>
            </w:pPr>
          </w:p>
        </w:tc>
        <w:tc>
          <w:tcPr>
            <w:tcW w:w="1229" w:type="dxa"/>
            <w:tcBorders>
              <w:bottom w:val="single" w:sz="4" w:space="0" w:color="auto"/>
            </w:tcBorders>
            <w:vAlign w:val="center"/>
          </w:tcPr>
          <w:p w14:paraId="69943B39" w14:textId="77777777" w:rsidR="009A3A31" w:rsidRDefault="009A3A31" w:rsidP="00A26956">
            <w:pPr>
              <w:jc w:val="center"/>
              <w:rPr>
                <w:color w:val="000000"/>
                <w:sz w:val="22"/>
              </w:rPr>
            </w:pPr>
          </w:p>
        </w:tc>
        <w:tc>
          <w:tcPr>
            <w:tcW w:w="1229" w:type="dxa"/>
            <w:tcBorders>
              <w:bottom w:val="single" w:sz="4" w:space="0" w:color="auto"/>
            </w:tcBorders>
            <w:shd w:val="clear" w:color="auto" w:fill="F2F2F2" w:themeFill="background1" w:themeFillShade="F2"/>
            <w:vAlign w:val="center"/>
          </w:tcPr>
          <w:p w14:paraId="76B0DE2F" w14:textId="77777777" w:rsidR="009A3A31" w:rsidRDefault="009A3A31" w:rsidP="00A26956">
            <w:pPr>
              <w:jc w:val="center"/>
              <w:rPr>
                <w:color w:val="000000"/>
                <w:sz w:val="22"/>
              </w:rPr>
            </w:pPr>
            <w:r>
              <w:rPr>
                <w:color w:val="000000"/>
                <w:sz w:val="22"/>
              </w:rPr>
              <w:t>X</w:t>
            </w:r>
          </w:p>
        </w:tc>
        <w:tc>
          <w:tcPr>
            <w:tcW w:w="1230" w:type="dxa"/>
            <w:tcBorders>
              <w:bottom w:val="single" w:sz="4" w:space="0" w:color="auto"/>
            </w:tcBorders>
            <w:shd w:val="clear" w:color="auto" w:fill="F2F2F2" w:themeFill="background1" w:themeFillShade="F2"/>
            <w:vAlign w:val="center"/>
          </w:tcPr>
          <w:p w14:paraId="7A48A12A" w14:textId="77777777" w:rsidR="009A3A31" w:rsidRDefault="009A3A31" w:rsidP="00A26956">
            <w:pPr>
              <w:jc w:val="center"/>
              <w:rPr>
                <w:color w:val="000000"/>
                <w:sz w:val="22"/>
              </w:rPr>
            </w:pPr>
            <w:r>
              <w:rPr>
                <w:color w:val="000000"/>
                <w:sz w:val="22"/>
              </w:rPr>
              <w:t>X</w:t>
            </w:r>
          </w:p>
        </w:tc>
      </w:tr>
    </w:tbl>
    <w:p w14:paraId="12A8871D" w14:textId="77777777" w:rsidR="00DF4535" w:rsidRDefault="00DF4535" w:rsidP="00B22915"/>
    <w:p w14:paraId="1FB2B000" w14:textId="77777777" w:rsidR="00022E72" w:rsidRDefault="00022E72">
      <w:pPr>
        <w:spacing w:after="160" w:line="259" w:lineRule="auto"/>
      </w:pPr>
      <w:r>
        <w:br w:type="page"/>
      </w:r>
    </w:p>
    <w:p w14:paraId="3A74E794" w14:textId="497EC75A" w:rsidR="00B22915" w:rsidRPr="00BB15E2" w:rsidRDefault="00B22915" w:rsidP="00B22915">
      <w:r>
        <w:lastRenderedPageBreak/>
        <w:t xml:space="preserve">Table 2. </w:t>
      </w:r>
      <w:r w:rsidRPr="00BB15E2">
        <w:t>Sample Summary Statistics</w:t>
      </w:r>
    </w:p>
    <w:p w14:paraId="31E4DD54" w14:textId="77777777" w:rsidR="00B22915" w:rsidRDefault="00B22915" w:rsidP="00B22915">
      <w:pPr>
        <w:rPr>
          <w:b/>
          <w:bCs/>
        </w:rPr>
      </w:pPr>
    </w:p>
    <w:tbl>
      <w:tblPr>
        <w:tblW w:w="13590" w:type="dxa"/>
        <w:tblLook w:val="04A0" w:firstRow="1" w:lastRow="0" w:firstColumn="1" w:lastColumn="0" w:noHBand="0" w:noVBand="1"/>
      </w:tblPr>
      <w:tblGrid>
        <w:gridCol w:w="2430"/>
        <w:gridCol w:w="990"/>
        <w:gridCol w:w="990"/>
        <w:gridCol w:w="270"/>
        <w:gridCol w:w="990"/>
        <w:gridCol w:w="900"/>
        <w:gridCol w:w="270"/>
        <w:gridCol w:w="1080"/>
        <w:gridCol w:w="1080"/>
        <w:gridCol w:w="270"/>
        <w:gridCol w:w="990"/>
        <w:gridCol w:w="990"/>
        <w:gridCol w:w="270"/>
        <w:gridCol w:w="990"/>
        <w:gridCol w:w="1080"/>
      </w:tblGrid>
      <w:tr w:rsidR="004830BC" w:rsidRPr="00BB15E2" w14:paraId="3EA8E88A" w14:textId="77777777" w:rsidTr="004830BC">
        <w:trPr>
          <w:trHeight w:val="300"/>
        </w:trPr>
        <w:tc>
          <w:tcPr>
            <w:tcW w:w="2430" w:type="dxa"/>
            <w:tcBorders>
              <w:top w:val="nil"/>
              <w:left w:val="nil"/>
              <w:bottom w:val="nil"/>
              <w:right w:val="nil"/>
            </w:tcBorders>
            <w:shd w:val="clear" w:color="auto" w:fill="auto"/>
            <w:noWrap/>
            <w:vAlign w:val="bottom"/>
            <w:hideMark/>
          </w:tcPr>
          <w:p w14:paraId="340B9AB6" w14:textId="77777777" w:rsidR="004830BC" w:rsidRPr="00BB15E2" w:rsidRDefault="004830BC" w:rsidP="00B22915">
            <w:pPr>
              <w:rPr>
                <w:sz w:val="20"/>
                <w:szCs w:val="20"/>
              </w:rPr>
            </w:pPr>
          </w:p>
        </w:tc>
        <w:tc>
          <w:tcPr>
            <w:tcW w:w="1980" w:type="dxa"/>
            <w:gridSpan w:val="2"/>
            <w:tcBorders>
              <w:top w:val="nil"/>
              <w:left w:val="nil"/>
              <w:bottom w:val="single" w:sz="4" w:space="0" w:color="auto"/>
              <w:right w:val="nil"/>
            </w:tcBorders>
            <w:shd w:val="clear" w:color="auto" w:fill="auto"/>
            <w:noWrap/>
            <w:vAlign w:val="bottom"/>
            <w:hideMark/>
          </w:tcPr>
          <w:p w14:paraId="1D278533" w14:textId="77777777" w:rsidR="004830BC" w:rsidRPr="00BB15E2" w:rsidRDefault="004830BC" w:rsidP="00B22915">
            <w:pPr>
              <w:jc w:val="center"/>
              <w:rPr>
                <w:color w:val="000000"/>
                <w:sz w:val="20"/>
                <w:szCs w:val="20"/>
              </w:rPr>
            </w:pPr>
            <w:r w:rsidRPr="00BB15E2">
              <w:rPr>
                <w:color w:val="000000"/>
                <w:sz w:val="20"/>
                <w:szCs w:val="20"/>
              </w:rPr>
              <w:t>Treated HS Post</w:t>
            </w:r>
          </w:p>
        </w:tc>
        <w:tc>
          <w:tcPr>
            <w:tcW w:w="270" w:type="dxa"/>
            <w:tcBorders>
              <w:top w:val="nil"/>
              <w:left w:val="nil"/>
              <w:bottom w:val="nil"/>
              <w:right w:val="nil"/>
            </w:tcBorders>
            <w:shd w:val="clear" w:color="auto" w:fill="auto"/>
            <w:noWrap/>
            <w:vAlign w:val="bottom"/>
            <w:hideMark/>
          </w:tcPr>
          <w:p w14:paraId="3E47170B" w14:textId="77777777" w:rsidR="004830BC" w:rsidRPr="00BB15E2" w:rsidRDefault="004830BC" w:rsidP="00B22915">
            <w:pPr>
              <w:jc w:val="center"/>
              <w:rPr>
                <w:color w:val="000000"/>
                <w:sz w:val="20"/>
                <w:szCs w:val="20"/>
              </w:rPr>
            </w:pPr>
          </w:p>
        </w:tc>
        <w:tc>
          <w:tcPr>
            <w:tcW w:w="1890" w:type="dxa"/>
            <w:gridSpan w:val="2"/>
            <w:tcBorders>
              <w:top w:val="nil"/>
              <w:left w:val="nil"/>
              <w:bottom w:val="single" w:sz="4" w:space="0" w:color="auto"/>
              <w:right w:val="nil"/>
            </w:tcBorders>
            <w:shd w:val="clear" w:color="auto" w:fill="auto"/>
            <w:noWrap/>
            <w:vAlign w:val="bottom"/>
            <w:hideMark/>
          </w:tcPr>
          <w:p w14:paraId="470B39D0" w14:textId="77777777" w:rsidR="004830BC" w:rsidRPr="00BB15E2" w:rsidRDefault="004830BC" w:rsidP="00B22915">
            <w:pPr>
              <w:jc w:val="center"/>
              <w:rPr>
                <w:color w:val="000000"/>
                <w:sz w:val="20"/>
                <w:szCs w:val="20"/>
              </w:rPr>
            </w:pPr>
            <w:r w:rsidRPr="00BB15E2">
              <w:rPr>
                <w:color w:val="000000"/>
                <w:sz w:val="20"/>
                <w:szCs w:val="20"/>
              </w:rPr>
              <w:t>Treated HS Pre</w:t>
            </w:r>
          </w:p>
        </w:tc>
        <w:tc>
          <w:tcPr>
            <w:tcW w:w="270" w:type="dxa"/>
            <w:tcBorders>
              <w:top w:val="nil"/>
              <w:left w:val="nil"/>
              <w:bottom w:val="nil"/>
              <w:right w:val="nil"/>
            </w:tcBorders>
            <w:shd w:val="clear" w:color="auto" w:fill="auto"/>
            <w:noWrap/>
            <w:vAlign w:val="bottom"/>
            <w:hideMark/>
          </w:tcPr>
          <w:p w14:paraId="1F622913" w14:textId="77777777" w:rsidR="004830BC" w:rsidRPr="00BB15E2" w:rsidRDefault="004830BC" w:rsidP="00B22915">
            <w:pPr>
              <w:jc w:val="center"/>
              <w:rPr>
                <w:color w:val="000000"/>
                <w:sz w:val="20"/>
                <w:szCs w:val="20"/>
              </w:rPr>
            </w:pPr>
          </w:p>
        </w:tc>
        <w:tc>
          <w:tcPr>
            <w:tcW w:w="2160" w:type="dxa"/>
            <w:gridSpan w:val="2"/>
            <w:tcBorders>
              <w:top w:val="nil"/>
              <w:left w:val="nil"/>
              <w:bottom w:val="single" w:sz="4" w:space="0" w:color="auto"/>
              <w:right w:val="nil"/>
            </w:tcBorders>
            <w:shd w:val="clear" w:color="auto" w:fill="auto"/>
            <w:noWrap/>
            <w:vAlign w:val="bottom"/>
            <w:hideMark/>
          </w:tcPr>
          <w:p w14:paraId="09E85B4D" w14:textId="77777777" w:rsidR="004830BC" w:rsidRPr="00BB15E2" w:rsidRDefault="004830BC" w:rsidP="00B22915">
            <w:pPr>
              <w:jc w:val="center"/>
              <w:rPr>
                <w:color w:val="000000"/>
                <w:sz w:val="20"/>
                <w:szCs w:val="20"/>
              </w:rPr>
            </w:pPr>
            <w:r w:rsidRPr="00BB15E2">
              <w:rPr>
                <w:color w:val="000000"/>
                <w:sz w:val="20"/>
                <w:szCs w:val="20"/>
              </w:rPr>
              <w:t>Control HS Post</w:t>
            </w:r>
          </w:p>
        </w:tc>
        <w:tc>
          <w:tcPr>
            <w:tcW w:w="270" w:type="dxa"/>
            <w:tcBorders>
              <w:top w:val="nil"/>
              <w:left w:val="nil"/>
              <w:bottom w:val="nil"/>
              <w:right w:val="nil"/>
            </w:tcBorders>
            <w:shd w:val="clear" w:color="auto" w:fill="auto"/>
            <w:noWrap/>
            <w:vAlign w:val="bottom"/>
            <w:hideMark/>
          </w:tcPr>
          <w:p w14:paraId="73B212F5" w14:textId="77777777" w:rsidR="004830BC" w:rsidRPr="00BB15E2" w:rsidRDefault="004830BC" w:rsidP="00B22915">
            <w:pPr>
              <w:jc w:val="center"/>
              <w:rPr>
                <w:color w:val="000000"/>
                <w:sz w:val="20"/>
                <w:szCs w:val="20"/>
              </w:rPr>
            </w:pPr>
          </w:p>
        </w:tc>
        <w:tc>
          <w:tcPr>
            <w:tcW w:w="1980" w:type="dxa"/>
            <w:gridSpan w:val="2"/>
            <w:tcBorders>
              <w:top w:val="nil"/>
              <w:left w:val="nil"/>
              <w:bottom w:val="single" w:sz="4" w:space="0" w:color="auto"/>
              <w:right w:val="nil"/>
            </w:tcBorders>
            <w:shd w:val="clear" w:color="auto" w:fill="auto"/>
            <w:noWrap/>
            <w:vAlign w:val="bottom"/>
            <w:hideMark/>
          </w:tcPr>
          <w:p w14:paraId="61B4BAF1" w14:textId="77777777" w:rsidR="004830BC" w:rsidRPr="00BB15E2" w:rsidRDefault="004830BC" w:rsidP="00B22915">
            <w:pPr>
              <w:jc w:val="center"/>
              <w:rPr>
                <w:color w:val="000000"/>
                <w:sz w:val="20"/>
                <w:szCs w:val="20"/>
              </w:rPr>
            </w:pPr>
            <w:r w:rsidRPr="00BB15E2">
              <w:rPr>
                <w:color w:val="000000"/>
                <w:sz w:val="20"/>
                <w:szCs w:val="20"/>
              </w:rPr>
              <w:t>Control HS Pre</w:t>
            </w:r>
          </w:p>
        </w:tc>
        <w:tc>
          <w:tcPr>
            <w:tcW w:w="270" w:type="dxa"/>
            <w:tcBorders>
              <w:top w:val="nil"/>
              <w:left w:val="nil"/>
              <w:bottom w:val="nil"/>
              <w:right w:val="nil"/>
            </w:tcBorders>
            <w:shd w:val="clear" w:color="auto" w:fill="auto"/>
            <w:noWrap/>
            <w:vAlign w:val="bottom"/>
            <w:hideMark/>
          </w:tcPr>
          <w:p w14:paraId="1706FB6C" w14:textId="77777777" w:rsidR="004830BC" w:rsidRPr="00BB15E2" w:rsidRDefault="004830BC" w:rsidP="00B22915">
            <w:pPr>
              <w:jc w:val="center"/>
              <w:rPr>
                <w:color w:val="000000"/>
                <w:sz w:val="20"/>
                <w:szCs w:val="20"/>
              </w:rPr>
            </w:pPr>
          </w:p>
        </w:tc>
        <w:tc>
          <w:tcPr>
            <w:tcW w:w="2070" w:type="dxa"/>
            <w:gridSpan w:val="2"/>
            <w:tcBorders>
              <w:top w:val="nil"/>
              <w:left w:val="nil"/>
              <w:bottom w:val="single" w:sz="4" w:space="0" w:color="auto"/>
              <w:right w:val="nil"/>
            </w:tcBorders>
            <w:shd w:val="clear" w:color="auto" w:fill="auto"/>
            <w:noWrap/>
            <w:vAlign w:val="bottom"/>
            <w:hideMark/>
          </w:tcPr>
          <w:p w14:paraId="6003AA0B" w14:textId="77777777" w:rsidR="004830BC" w:rsidRPr="00BB15E2" w:rsidRDefault="004830BC" w:rsidP="00B22915">
            <w:pPr>
              <w:jc w:val="center"/>
              <w:rPr>
                <w:color w:val="000000"/>
                <w:sz w:val="20"/>
                <w:szCs w:val="20"/>
              </w:rPr>
            </w:pPr>
            <w:r w:rsidRPr="00BB15E2">
              <w:rPr>
                <w:color w:val="000000"/>
                <w:sz w:val="20"/>
                <w:szCs w:val="20"/>
              </w:rPr>
              <w:t>All</w:t>
            </w:r>
          </w:p>
        </w:tc>
      </w:tr>
      <w:tr w:rsidR="004830BC" w:rsidRPr="00BB15E2" w14:paraId="65DB3782" w14:textId="77777777" w:rsidTr="004830BC">
        <w:trPr>
          <w:trHeight w:val="300"/>
        </w:trPr>
        <w:tc>
          <w:tcPr>
            <w:tcW w:w="2430" w:type="dxa"/>
            <w:tcBorders>
              <w:top w:val="nil"/>
              <w:left w:val="nil"/>
              <w:bottom w:val="single" w:sz="4" w:space="0" w:color="auto"/>
              <w:right w:val="nil"/>
            </w:tcBorders>
            <w:shd w:val="clear" w:color="auto" w:fill="auto"/>
            <w:noWrap/>
            <w:vAlign w:val="bottom"/>
            <w:hideMark/>
          </w:tcPr>
          <w:p w14:paraId="70EDD3F1" w14:textId="77777777" w:rsidR="004830BC" w:rsidRPr="00BB15E2" w:rsidRDefault="004830BC" w:rsidP="00B22915">
            <w:pPr>
              <w:rPr>
                <w:color w:val="000000"/>
                <w:sz w:val="20"/>
                <w:szCs w:val="20"/>
              </w:rPr>
            </w:pPr>
            <w:r w:rsidRPr="00BB15E2">
              <w:rPr>
                <w:color w:val="000000"/>
                <w:sz w:val="20"/>
                <w:szCs w:val="20"/>
              </w:rPr>
              <w:t> </w:t>
            </w:r>
          </w:p>
        </w:tc>
        <w:tc>
          <w:tcPr>
            <w:tcW w:w="990" w:type="dxa"/>
            <w:tcBorders>
              <w:top w:val="nil"/>
              <w:left w:val="nil"/>
              <w:bottom w:val="single" w:sz="4" w:space="0" w:color="auto"/>
              <w:right w:val="nil"/>
            </w:tcBorders>
            <w:shd w:val="clear" w:color="auto" w:fill="auto"/>
            <w:noWrap/>
            <w:vAlign w:val="bottom"/>
            <w:hideMark/>
          </w:tcPr>
          <w:p w14:paraId="6EE8C546" w14:textId="77777777" w:rsidR="004830BC" w:rsidRPr="00BB15E2" w:rsidRDefault="004830BC" w:rsidP="00B22915">
            <w:pPr>
              <w:jc w:val="center"/>
              <w:rPr>
                <w:color w:val="000000"/>
                <w:sz w:val="20"/>
                <w:szCs w:val="20"/>
              </w:rPr>
            </w:pPr>
            <w:r w:rsidRPr="00BB15E2">
              <w:rPr>
                <w:color w:val="000000"/>
                <w:sz w:val="20"/>
                <w:szCs w:val="20"/>
              </w:rPr>
              <w:t>mean</w:t>
            </w:r>
          </w:p>
        </w:tc>
        <w:tc>
          <w:tcPr>
            <w:tcW w:w="990" w:type="dxa"/>
            <w:tcBorders>
              <w:top w:val="nil"/>
              <w:left w:val="nil"/>
              <w:bottom w:val="single" w:sz="4" w:space="0" w:color="auto"/>
              <w:right w:val="nil"/>
            </w:tcBorders>
            <w:shd w:val="clear" w:color="auto" w:fill="auto"/>
            <w:noWrap/>
            <w:vAlign w:val="bottom"/>
            <w:hideMark/>
          </w:tcPr>
          <w:p w14:paraId="72E51107" w14:textId="77777777" w:rsidR="004830BC" w:rsidRPr="00BB15E2" w:rsidRDefault="004830BC" w:rsidP="00B22915">
            <w:pPr>
              <w:jc w:val="center"/>
              <w:rPr>
                <w:color w:val="000000"/>
                <w:sz w:val="20"/>
                <w:szCs w:val="20"/>
              </w:rPr>
            </w:pPr>
            <w:r w:rsidRPr="00BB15E2">
              <w:rPr>
                <w:color w:val="000000"/>
                <w:sz w:val="20"/>
                <w:szCs w:val="20"/>
              </w:rPr>
              <w:t>SD</w:t>
            </w:r>
          </w:p>
        </w:tc>
        <w:tc>
          <w:tcPr>
            <w:tcW w:w="270" w:type="dxa"/>
            <w:tcBorders>
              <w:top w:val="nil"/>
              <w:left w:val="nil"/>
              <w:bottom w:val="single" w:sz="4" w:space="0" w:color="auto"/>
              <w:right w:val="nil"/>
            </w:tcBorders>
            <w:shd w:val="clear" w:color="auto" w:fill="auto"/>
            <w:noWrap/>
            <w:vAlign w:val="bottom"/>
            <w:hideMark/>
          </w:tcPr>
          <w:p w14:paraId="0528C085" w14:textId="77777777" w:rsidR="004830BC" w:rsidRPr="00BB15E2" w:rsidRDefault="004830BC" w:rsidP="00B22915">
            <w:pPr>
              <w:jc w:val="center"/>
              <w:rPr>
                <w:color w:val="000000"/>
                <w:sz w:val="20"/>
                <w:szCs w:val="20"/>
              </w:rPr>
            </w:pPr>
            <w:r w:rsidRPr="00BB15E2">
              <w:rPr>
                <w:color w:val="000000"/>
                <w:sz w:val="20"/>
                <w:szCs w:val="20"/>
              </w:rPr>
              <w:t> </w:t>
            </w:r>
          </w:p>
        </w:tc>
        <w:tc>
          <w:tcPr>
            <w:tcW w:w="990" w:type="dxa"/>
            <w:tcBorders>
              <w:top w:val="nil"/>
              <w:left w:val="nil"/>
              <w:bottom w:val="single" w:sz="4" w:space="0" w:color="auto"/>
              <w:right w:val="nil"/>
            </w:tcBorders>
            <w:shd w:val="clear" w:color="auto" w:fill="auto"/>
            <w:noWrap/>
            <w:vAlign w:val="bottom"/>
            <w:hideMark/>
          </w:tcPr>
          <w:p w14:paraId="076E6505" w14:textId="77777777" w:rsidR="004830BC" w:rsidRPr="00BB15E2" w:rsidRDefault="004830BC" w:rsidP="00B22915">
            <w:pPr>
              <w:jc w:val="center"/>
              <w:rPr>
                <w:color w:val="000000"/>
                <w:sz w:val="20"/>
                <w:szCs w:val="20"/>
              </w:rPr>
            </w:pPr>
            <w:r w:rsidRPr="00BB15E2">
              <w:rPr>
                <w:color w:val="000000"/>
                <w:sz w:val="20"/>
                <w:szCs w:val="20"/>
              </w:rPr>
              <w:t>mean</w:t>
            </w:r>
          </w:p>
        </w:tc>
        <w:tc>
          <w:tcPr>
            <w:tcW w:w="900" w:type="dxa"/>
            <w:tcBorders>
              <w:top w:val="nil"/>
              <w:left w:val="nil"/>
              <w:bottom w:val="single" w:sz="4" w:space="0" w:color="auto"/>
              <w:right w:val="nil"/>
            </w:tcBorders>
            <w:shd w:val="clear" w:color="auto" w:fill="auto"/>
            <w:noWrap/>
            <w:vAlign w:val="bottom"/>
            <w:hideMark/>
          </w:tcPr>
          <w:p w14:paraId="312614DC" w14:textId="77777777" w:rsidR="004830BC" w:rsidRPr="00BB15E2" w:rsidRDefault="004830BC" w:rsidP="00B22915">
            <w:pPr>
              <w:jc w:val="center"/>
              <w:rPr>
                <w:color w:val="000000"/>
                <w:sz w:val="20"/>
                <w:szCs w:val="20"/>
              </w:rPr>
            </w:pPr>
            <w:r w:rsidRPr="00BB15E2">
              <w:rPr>
                <w:color w:val="000000"/>
                <w:sz w:val="20"/>
                <w:szCs w:val="20"/>
              </w:rPr>
              <w:t>SD</w:t>
            </w:r>
          </w:p>
        </w:tc>
        <w:tc>
          <w:tcPr>
            <w:tcW w:w="270" w:type="dxa"/>
            <w:tcBorders>
              <w:top w:val="nil"/>
              <w:left w:val="nil"/>
              <w:bottom w:val="single" w:sz="4" w:space="0" w:color="auto"/>
              <w:right w:val="nil"/>
            </w:tcBorders>
            <w:shd w:val="clear" w:color="auto" w:fill="auto"/>
            <w:noWrap/>
            <w:vAlign w:val="bottom"/>
            <w:hideMark/>
          </w:tcPr>
          <w:p w14:paraId="63DE3548" w14:textId="77777777" w:rsidR="004830BC" w:rsidRPr="00BB15E2" w:rsidRDefault="004830BC" w:rsidP="00B22915">
            <w:pPr>
              <w:jc w:val="center"/>
              <w:rPr>
                <w:color w:val="000000"/>
                <w:sz w:val="20"/>
                <w:szCs w:val="20"/>
              </w:rPr>
            </w:pPr>
            <w:r w:rsidRPr="00BB15E2">
              <w:rPr>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14:paraId="5EAEFF4B" w14:textId="77777777" w:rsidR="004830BC" w:rsidRPr="00BB15E2" w:rsidRDefault="004830BC" w:rsidP="00B22915">
            <w:pPr>
              <w:jc w:val="center"/>
              <w:rPr>
                <w:color w:val="000000"/>
                <w:sz w:val="20"/>
                <w:szCs w:val="20"/>
              </w:rPr>
            </w:pPr>
            <w:r w:rsidRPr="00BB15E2">
              <w:rPr>
                <w:color w:val="000000"/>
                <w:sz w:val="20"/>
                <w:szCs w:val="20"/>
              </w:rPr>
              <w:t>mean</w:t>
            </w:r>
          </w:p>
        </w:tc>
        <w:tc>
          <w:tcPr>
            <w:tcW w:w="1080" w:type="dxa"/>
            <w:tcBorders>
              <w:top w:val="nil"/>
              <w:left w:val="nil"/>
              <w:bottom w:val="single" w:sz="4" w:space="0" w:color="auto"/>
              <w:right w:val="nil"/>
            </w:tcBorders>
            <w:shd w:val="clear" w:color="auto" w:fill="auto"/>
            <w:noWrap/>
            <w:vAlign w:val="bottom"/>
            <w:hideMark/>
          </w:tcPr>
          <w:p w14:paraId="7A84CEE9" w14:textId="77777777" w:rsidR="004830BC" w:rsidRPr="00BB15E2" w:rsidRDefault="004830BC" w:rsidP="00B22915">
            <w:pPr>
              <w:jc w:val="center"/>
              <w:rPr>
                <w:color w:val="000000"/>
                <w:sz w:val="20"/>
                <w:szCs w:val="20"/>
              </w:rPr>
            </w:pPr>
            <w:r w:rsidRPr="00BB15E2">
              <w:rPr>
                <w:color w:val="000000"/>
                <w:sz w:val="20"/>
                <w:szCs w:val="20"/>
              </w:rPr>
              <w:t>SD</w:t>
            </w:r>
          </w:p>
        </w:tc>
        <w:tc>
          <w:tcPr>
            <w:tcW w:w="270" w:type="dxa"/>
            <w:tcBorders>
              <w:top w:val="nil"/>
              <w:left w:val="nil"/>
              <w:bottom w:val="single" w:sz="4" w:space="0" w:color="auto"/>
              <w:right w:val="nil"/>
            </w:tcBorders>
            <w:shd w:val="clear" w:color="auto" w:fill="auto"/>
            <w:noWrap/>
            <w:vAlign w:val="bottom"/>
            <w:hideMark/>
          </w:tcPr>
          <w:p w14:paraId="0A4DE3C1" w14:textId="77777777" w:rsidR="004830BC" w:rsidRPr="00BB15E2" w:rsidRDefault="004830BC" w:rsidP="00B22915">
            <w:pPr>
              <w:jc w:val="center"/>
              <w:rPr>
                <w:color w:val="000000"/>
                <w:sz w:val="20"/>
                <w:szCs w:val="20"/>
              </w:rPr>
            </w:pPr>
            <w:r w:rsidRPr="00BB15E2">
              <w:rPr>
                <w:color w:val="000000"/>
                <w:sz w:val="20"/>
                <w:szCs w:val="20"/>
              </w:rPr>
              <w:t> </w:t>
            </w:r>
          </w:p>
        </w:tc>
        <w:tc>
          <w:tcPr>
            <w:tcW w:w="990" w:type="dxa"/>
            <w:tcBorders>
              <w:top w:val="nil"/>
              <w:left w:val="nil"/>
              <w:bottom w:val="single" w:sz="4" w:space="0" w:color="auto"/>
              <w:right w:val="nil"/>
            </w:tcBorders>
            <w:shd w:val="clear" w:color="auto" w:fill="auto"/>
            <w:noWrap/>
            <w:vAlign w:val="bottom"/>
            <w:hideMark/>
          </w:tcPr>
          <w:p w14:paraId="69272666" w14:textId="77777777" w:rsidR="004830BC" w:rsidRPr="00BB15E2" w:rsidRDefault="004830BC" w:rsidP="00B22915">
            <w:pPr>
              <w:jc w:val="center"/>
              <w:rPr>
                <w:color w:val="000000"/>
                <w:sz w:val="20"/>
                <w:szCs w:val="20"/>
              </w:rPr>
            </w:pPr>
            <w:r w:rsidRPr="00BB15E2">
              <w:rPr>
                <w:color w:val="000000"/>
                <w:sz w:val="20"/>
                <w:szCs w:val="20"/>
              </w:rPr>
              <w:t>mean</w:t>
            </w:r>
          </w:p>
        </w:tc>
        <w:tc>
          <w:tcPr>
            <w:tcW w:w="990" w:type="dxa"/>
            <w:tcBorders>
              <w:top w:val="nil"/>
              <w:left w:val="nil"/>
              <w:bottom w:val="single" w:sz="4" w:space="0" w:color="auto"/>
              <w:right w:val="nil"/>
            </w:tcBorders>
            <w:shd w:val="clear" w:color="auto" w:fill="auto"/>
            <w:noWrap/>
            <w:vAlign w:val="bottom"/>
            <w:hideMark/>
          </w:tcPr>
          <w:p w14:paraId="1DF8F53E" w14:textId="77777777" w:rsidR="004830BC" w:rsidRPr="00BB15E2" w:rsidRDefault="004830BC" w:rsidP="00B22915">
            <w:pPr>
              <w:jc w:val="center"/>
              <w:rPr>
                <w:color w:val="000000"/>
                <w:sz w:val="20"/>
                <w:szCs w:val="20"/>
              </w:rPr>
            </w:pPr>
            <w:r w:rsidRPr="00BB15E2">
              <w:rPr>
                <w:color w:val="000000"/>
                <w:sz w:val="20"/>
                <w:szCs w:val="20"/>
              </w:rPr>
              <w:t>SD</w:t>
            </w:r>
          </w:p>
        </w:tc>
        <w:tc>
          <w:tcPr>
            <w:tcW w:w="270" w:type="dxa"/>
            <w:tcBorders>
              <w:top w:val="nil"/>
              <w:left w:val="nil"/>
              <w:bottom w:val="single" w:sz="4" w:space="0" w:color="auto"/>
              <w:right w:val="nil"/>
            </w:tcBorders>
            <w:shd w:val="clear" w:color="auto" w:fill="auto"/>
            <w:noWrap/>
            <w:vAlign w:val="bottom"/>
            <w:hideMark/>
          </w:tcPr>
          <w:p w14:paraId="57F1BF55" w14:textId="77777777" w:rsidR="004830BC" w:rsidRPr="00BB15E2" w:rsidRDefault="004830BC" w:rsidP="00B22915">
            <w:pPr>
              <w:jc w:val="center"/>
              <w:rPr>
                <w:color w:val="000000"/>
                <w:sz w:val="20"/>
                <w:szCs w:val="20"/>
              </w:rPr>
            </w:pPr>
            <w:r w:rsidRPr="00BB15E2">
              <w:rPr>
                <w:color w:val="000000"/>
                <w:sz w:val="20"/>
                <w:szCs w:val="20"/>
              </w:rPr>
              <w:t> </w:t>
            </w:r>
          </w:p>
        </w:tc>
        <w:tc>
          <w:tcPr>
            <w:tcW w:w="990" w:type="dxa"/>
            <w:tcBorders>
              <w:top w:val="nil"/>
              <w:left w:val="nil"/>
              <w:bottom w:val="single" w:sz="4" w:space="0" w:color="auto"/>
              <w:right w:val="nil"/>
            </w:tcBorders>
            <w:shd w:val="clear" w:color="auto" w:fill="auto"/>
            <w:noWrap/>
            <w:vAlign w:val="bottom"/>
            <w:hideMark/>
          </w:tcPr>
          <w:p w14:paraId="704603E8" w14:textId="77777777" w:rsidR="004830BC" w:rsidRPr="00BB15E2" w:rsidRDefault="004830BC" w:rsidP="00B22915">
            <w:pPr>
              <w:jc w:val="center"/>
              <w:rPr>
                <w:color w:val="000000"/>
                <w:sz w:val="20"/>
                <w:szCs w:val="20"/>
              </w:rPr>
            </w:pPr>
            <w:r w:rsidRPr="00BB15E2">
              <w:rPr>
                <w:color w:val="000000"/>
                <w:sz w:val="20"/>
                <w:szCs w:val="20"/>
              </w:rPr>
              <w:t>mean</w:t>
            </w:r>
          </w:p>
        </w:tc>
        <w:tc>
          <w:tcPr>
            <w:tcW w:w="1080" w:type="dxa"/>
            <w:tcBorders>
              <w:top w:val="nil"/>
              <w:left w:val="nil"/>
              <w:bottom w:val="single" w:sz="4" w:space="0" w:color="auto"/>
              <w:right w:val="nil"/>
            </w:tcBorders>
            <w:shd w:val="clear" w:color="auto" w:fill="auto"/>
            <w:noWrap/>
            <w:vAlign w:val="bottom"/>
            <w:hideMark/>
          </w:tcPr>
          <w:p w14:paraId="4910C7ED" w14:textId="77777777" w:rsidR="004830BC" w:rsidRPr="00BB15E2" w:rsidRDefault="004830BC" w:rsidP="00B22915">
            <w:pPr>
              <w:jc w:val="center"/>
              <w:rPr>
                <w:color w:val="000000"/>
                <w:sz w:val="20"/>
                <w:szCs w:val="20"/>
              </w:rPr>
            </w:pPr>
            <w:r w:rsidRPr="00BB15E2">
              <w:rPr>
                <w:color w:val="000000"/>
                <w:sz w:val="20"/>
                <w:szCs w:val="20"/>
              </w:rPr>
              <w:t>SD</w:t>
            </w:r>
          </w:p>
        </w:tc>
      </w:tr>
      <w:tr w:rsidR="004830BC" w:rsidRPr="00BB15E2" w14:paraId="114D2D67" w14:textId="77777777" w:rsidTr="004830BC">
        <w:trPr>
          <w:trHeight w:val="300"/>
        </w:trPr>
        <w:tc>
          <w:tcPr>
            <w:tcW w:w="2430" w:type="dxa"/>
            <w:tcBorders>
              <w:top w:val="nil"/>
              <w:left w:val="nil"/>
              <w:bottom w:val="nil"/>
              <w:right w:val="nil"/>
            </w:tcBorders>
            <w:shd w:val="clear" w:color="auto" w:fill="auto"/>
            <w:noWrap/>
            <w:vAlign w:val="bottom"/>
            <w:hideMark/>
          </w:tcPr>
          <w:p w14:paraId="25ED73E2" w14:textId="77777777" w:rsidR="004830BC" w:rsidRPr="00BB15E2" w:rsidRDefault="004830BC" w:rsidP="00B22915">
            <w:pPr>
              <w:rPr>
                <w:color w:val="000000"/>
                <w:sz w:val="20"/>
                <w:szCs w:val="20"/>
              </w:rPr>
            </w:pPr>
            <w:r w:rsidRPr="00BB15E2">
              <w:rPr>
                <w:color w:val="000000"/>
                <w:sz w:val="20"/>
                <w:szCs w:val="20"/>
              </w:rPr>
              <w:t>Female</w:t>
            </w:r>
          </w:p>
        </w:tc>
        <w:tc>
          <w:tcPr>
            <w:tcW w:w="990" w:type="dxa"/>
            <w:tcBorders>
              <w:top w:val="nil"/>
              <w:left w:val="nil"/>
              <w:bottom w:val="nil"/>
              <w:right w:val="nil"/>
            </w:tcBorders>
            <w:shd w:val="clear" w:color="auto" w:fill="auto"/>
            <w:noWrap/>
            <w:vAlign w:val="bottom"/>
            <w:hideMark/>
          </w:tcPr>
          <w:p w14:paraId="21837008" w14:textId="77777777" w:rsidR="004830BC" w:rsidRPr="00BB15E2" w:rsidRDefault="004830BC" w:rsidP="00B22915">
            <w:pPr>
              <w:jc w:val="center"/>
              <w:rPr>
                <w:color w:val="000000"/>
                <w:sz w:val="20"/>
                <w:szCs w:val="20"/>
              </w:rPr>
            </w:pPr>
            <w:r w:rsidRPr="00BB15E2">
              <w:rPr>
                <w:color w:val="000000"/>
                <w:sz w:val="20"/>
                <w:szCs w:val="20"/>
              </w:rPr>
              <w:t>0.40</w:t>
            </w:r>
          </w:p>
        </w:tc>
        <w:tc>
          <w:tcPr>
            <w:tcW w:w="990" w:type="dxa"/>
            <w:tcBorders>
              <w:top w:val="nil"/>
              <w:left w:val="nil"/>
              <w:bottom w:val="nil"/>
              <w:right w:val="nil"/>
            </w:tcBorders>
            <w:shd w:val="clear" w:color="auto" w:fill="auto"/>
            <w:noWrap/>
            <w:vAlign w:val="bottom"/>
            <w:hideMark/>
          </w:tcPr>
          <w:p w14:paraId="4A6DAEF5" w14:textId="77777777" w:rsidR="004830BC" w:rsidRPr="00BB15E2" w:rsidRDefault="004830BC" w:rsidP="00B22915">
            <w:pPr>
              <w:jc w:val="center"/>
              <w:rPr>
                <w:color w:val="000000"/>
                <w:sz w:val="20"/>
                <w:szCs w:val="20"/>
              </w:rPr>
            </w:pPr>
            <w:r w:rsidRPr="00BB15E2">
              <w:rPr>
                <w:color w:val="000000"/>
                <w:sz w:val="20"/>
                <w:szCs w:val="20"/>
              </w:rPr>
              <w:t>0.49</w:t>
            </w:r>
          </w:p>
        </w:tc>
        <w:tc>
          <w:tcPr>
            <w:tcW w:w="270" w:type="dxa"/>
            <w:tcBorders>
              <w:top w:val="nil"/>
              <w:left w:val="nil"/>
              <w:bottom w:val="nil"/>
              <w:right w:val="nil"/>
            </w:tcBorders>
            <w:shd w:val="clear" w:color="auto" w:fill="auto"/>
            <w:noWrap/>
            <w:vAlign w:val="bottom"/>
            <w:hideMark/>
          </w:tcPr>
          <w:p w14:paraId="153BA5F6"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C5A7E19" w14:textId="77777777" w:rsidR="004830BC" w:rsidRPr="00BB15E2" w:rsidRDefault="004830BC" w:rsidP="00B22915">
            <w:pPr>
              <w:jc w:val="center"/>
              <w:rPr>
                <w:color w:val="000000"/>
                <w:sz w:val="20"/>
                <w:szCs w:val="20"/>
              </w:rPr>
            </w:pPr>
            <w:r w:rsidRPr="00BB15E2">
              <w:rPr>
                <w:color w:val="000000"/>
                <w:sz w:val="20"/>
                <w:szCs w:val="20"/>
              </w:rPr>
              <w:t>0.45</w:t>
            </w:r>
          </w:p>
        </w:tc>
        <w:tc>
          <w:tcPr>
            <w:tcW w:w="900" w:type="dxa"/>
            <w:tcBorders>
              <w:top w:val="nil"/>
              <w:left w:val="nil"/>
              <w:bottom w:val="nil"/>
              <w:right w:val="nil"/>
            </w:tcBorders>
            <w:shd w:val="clear" w:color="auto" w:fill="auto"/>
            <w:noWrap/>
            <w:vAlign w:val="bottom"/>
            <w:hideMark/>
          </w:tcPr>
          <w:p w14:paraId="26A4539C"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6982DAAE"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5C0C2797" w14:textId="77777777" w:rsidR="004830BC" w:rsidRPr="00BB15E2" w:rsidRDefault="004830BC" w:rsidP="00B22915">
            <w:pPr>
              <w:jc w:val="center"/>
              <w:rPr>
                <w:color w:val="000000"/>
                <w:sz w:val="20"/>
                <w:szCs w:val="20"/>
              </w:rPr>
            </w:pPr>
            <w:r w:rsidRPr="00BB15E2">
              <w:rPr>
                <w:color w:val="000000"/>
                <w:sz w:val="20"/>
                <w:szCs w:val="20"/>
              </w:rPr>
              <w:t>0.47</w:t>
            </w:r>
          </w:p>
        </w:tc>
        <w:tc>
          <w:tcPr>
            <w:tcW w:w="1080" w:type="dxa"/>
            <w:tcBorders>
              <w:top w:val="nil"/>
              <w:left w:val="nil"/>
              <w:bottom w:val="nil"/>
              <w:right w:val="nil"/>
            </w:tcBorders>
            <w:shd w:val="clear" w:color="auto" w:fill="auto"/>
            <w:noWrap/>
            <w:vAlign w:val="bottom"/>
            <w:hideMark/>
          </w:tcPr>
          <w:p w14:paraId="5957B8A6"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465EB5F8"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3A77CB61" w14:textId="77777777" w:rsidR="004830BC" w:rsidRPr="00BB15E2" w:rsidRDefault="004830BC" w:rsidP="00B22915">
            <w:pPr>
              <w:jc w:val="center"/>
              <w:rPr>
                <w:color w:val="000000"/>
                <w:sz w:val="20"/>
                <w:szCs w:val="20"/>
              </w:rPr>
            </w:pPr>
            <w:r w:rsidRPr="00BB15E2">
              <w:rPr>
                <w:color w:val="000000"/>
                <w:sz w:val="20"/>
                <w:szCs w:val="20"/>
              </w:rPr>
              <w:t>0.48</w:t>
            </w:r>
          </w:p>
        </w:tc>
        <w:tc>
          <w:tcPr>
            <w:tcW w:w="990" w:type="dxa"/>
            <w:tcBorders>
              <w:top w:val="nil"/>
              <w:left w:val="nil"/>
              <w:bottom w:val="nil"/>
              <w:right w:val="nil"/>
            </w:tcBorders>
            <w:shd w:val="clear" w:color="auto" w:fill="auto"/>
            <w:noWrap/>
            <w:vAlign w:val="bottom"/>
            <w:hideMark/>
          </w:tcPr>
          <w:p w14:paraId="20C20B60"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2CFEBDB5"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43C0988D" w14:textId="77777777" w:rsidR="004830BC" w:rsidRPr="00BB15E2" w:rsidRDefault="004830BC" w:rsidP="00B22915">
            <w:pPr>
              <w:jc w:val="center"/>
              <w:rPr>
                <w:color w:val="000000"/>
                <w:sz w:val="20"/>
                <w:szCs w:val="20"/>
              </w:rPr>
            </w:pPr>
            <w:r w:rsidRPr="00BB15E2">
              <w:rPr>
                <w:color w:val="000000"/>
                <w:sz w:val="20"/>
                <w:szCs w:val="20"/>
              </w:rPr>
              <w:t>0.47</w:t>
            </w:r>
          </w:p>
        </w:tc>
        <w:tc>
          <w:tcPr>
            <w:tcW w:w="1080" w:type="dxa"/>
            <w:tcBorders>
              <w:top w:val="nil"/>
              <w:left w:val="nil"/>
              <w:bottom w:val="nil"/>
              <w:right w:val="nil"/>
            </w:tcBorders>
            <w:shd w:val="clear" w:color="auto" w:fill="auto"/>
            <w:noWrap/>
            <w:vAlign w:val="bottom"/>
            <w:hideMark/>
          </w:tcPr>
          <w:p w14:paraId="4EA94438" w14:textId="77777777" w:rsidR="004830BC" w:rsidRPr="00BB15E2" w:rsidRDefault="004830BC" w:rsidP="00B22915">
            <w:pPr>
              <w:jc w:val="center"/>
              <w:rPr>
                <w:color w:val="000000"/>
                <w:sz w:val="20"/>
                <w:szCs w:val="20"/>
              </w:rPr>
            </w:pPr>
            <w:r w:rsidRPr="00BB15E2">
              <w:rPr>
                <w:color w:val="000000"/>
                <w:sz w:val="20"/>
                <w:szCs w:val="20"/>
              </w:rPr>
              <w:t>0.50</w:t>
            </w:r>
          </w:p>
        </w:tc>
      </w:tr>
      <w:tr w:rsidR="004830BC" w:rsidRPr="00BB15E2" w14:paraId="4361B68D" w14:textId="77777777" w:rsidTr="004830BC">
        <w:trPr>
          <w:trHeight w:val="300"/>
        </w:trPr>
        <w:tc>
          <w:tcPr>
            <w:tcW w:w="2430" w:type="dxa"/>
            <w:tcBorders>
              <w:top w:val="nil"/>
              <w:left w:val="nil"/>
              <w:bottom w:val="nil"/>
              <w:right w:val="nil"/>
            </w:tcBorders>
            <w:shd w:val="clear" w:color="auto" w:fill="auto"/>
            <w:noWrap/>
            <w:vAlign w:val="bottom"/>
            <w:hideMark/>
          </w:tcPr>
          <w:p w14:paraId="58D37958" w14:textId="77777777" w:rsidR="004830BC" w:rsidRPr="00BB15E2" w:rsidRDefault="004830BC" w:rsidP="00B22915">
            <w:pPr>
              <w:rPr>
                <w:color w:val="000000"/>
                <w:sz w:val="20"/>
                <w:szCs w:val="20"/>
              </w:rPr>
            </w:pPr>
            <w:r w:rsidRPr="00BB15E2">
              <w:rPr>
                <w:color w:val="000000"/>
                <w:sz w:val="20"/>
                <w:szCs w:val="20"/>
              </w:rPr>
              <w:t>Chinese</w:t>
            </w:r>
          </w:p>
        </w:tc>
        <w:tc>
          <w:tcPr>
            <w:tcW w:w="990" w:type="dxa"/>
            <w:tcBorders>
              <w:top w:val="nil"/>
              <w:left w:val="nil"/>
              <w:bottom w:val="nil"/>
              <w:right w:val="nil"/>
            </w:tcBorders>
            <w:shd w:val="clear" w:color="auto" w:fill="auto"/>
            <w:noWrap/>
            <w:vAlign w:val="bottom"/>
            <w:hideMark/>
          </w:tcPr>
          <w:p w14:paraId="43E31643" w14:textId="77777777" w:rsidR="004830BC" w:rsidRPr="00BB15E2" w:rsidRDefault="004830BC" w:rsidP="00B22915">
            <w:pPr>
              <w:jc w:val="center"/>
              <w:rPr>
                <w:color w:val="000000"/>
                <w:sz w:val="20"/>
                <w:szCs w:val="20"/>
              </w:rPr>
            </w:pPr>
            <w:r w:rsidRPr="00BB15E2">
              <w:rPr>
                <w:color w:val="000000"/>
                <w:sz w:val="20"/>
                <w:szCs w:val="20"/>
              </w:rPr>
              <w:t>0.26</w:t>
            </w:r>
          </w:p>
        </w:tc>
        <w:tc>
          <w:tcPr>
            <w:tcW w:w="990" w:type="dxa"/>
            <w:tcBorders>
              <w:top w:val="nil"/>
              <w:left w:val="nil"/>
              <w:bottom w:val="nil"/>
              <w:right w:val="nil"/>
            </w:tcBorders>
            <w:shd w:val="clear" w:color="auto" w:fill="auto"/>
            <w:noWrap/>
            <w:vAlign w:val="bottom"/>
            <w:hideMark/>
          </w:tcPr>
          <w:p w14:paraId="79D9D464" w14:textId="77777777" w:rsidR="004830BC" w:rsidRPr="00BB15E2" w:rsidRDefault="004830BC" w:rsidP="00B22915">
            <w:pPr>
              <w:jc w:val="center"/>
              <w:rPr>
                <w:color w:val="000000"/>
                <w:sz w:val="20"/>
                <w:szCs w:val="20"/>
              </w:rPr>
            </w:pPr>
            <w:r w:rsidRPr="00BB15E2">
              <w:rPr>
                <w:color w:val="000000"/>
                <w:sz w:val="20"/>
                <w:szCs w:val="20"/>
              </w:rPr>
              <w:t>0.44</w:t>
            </w:r>
          </w:p>
        </w:tc>
        <w:tc>
          <w:tcPr>
            <w:tcW w:w="270" w:type="dxa"/>
            <w:tcBorders>
              <w:top w:val="nil"/>
              <w:left w:val="nil"/>
              <w:bottom w:val="nil"/>
              <w:right w:val="nil"/>
            </w:tcBorders>
            <w:shd w:val="clear" w:color="auto" w:fill="auto"/>
            <w:noWrap/>
            <w:vAlign w:val="bottom"/>
            <w:hideMark/>
          </w:tcPr>
          <w:p w14:paraId="4198FD42"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538B0EF" w14:textId="77777777" w:rsidR="004830BC" w:rsidRPr="00BB15E2" w:rsidRDefault="004830BC" w:rsidP="00B22915">
            <w:pPr>
              <w:jc w:val="center"/>
              <w:rPr>
                <w:color w:val="000000"/>
                <w:sz w:val="20"/>
                <w:szCs w:val="20"/>
              </w:rPr>
            </w:pPr>
            <w:r w:rsidRPr="00BB15E2">
              <w:rPr>
                <w:color w:val="000000"/>
                <w:sz w:val="20"/>
                <w:szCs w:val="20"/>
              </w:rPr>
              <w:t>0.44</w:t>
            </w:r>
          </w:p>
        </w:tc>
        <w:tc>
          <w:tcPr>
            <w:tcW w:w="900" w:type="dxa"/>
            <w:tcBorders>
              <w:top w:val="nil"/>
              <w:left w:val="nil"/>
              <w:bottom w:val="nil"/>
              <w:right w:val="nil"/>
            </w:tcBorders>
            <w:shd w:val="clear" w:color="auto" w:fill="auto"/>
            <w:noWrap/>
            <w:vAlign w:val="bottom"/>
            <w:hideMark/>
          </w:tcPr>
          <w:p w14:paraId="0AE88024"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5A1D110E"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28242925" w14:textId="77777777" w:rsidR="004830BC" w:rsidRPr="00BB15E2" w:rsidRDefault="004830BC" w:rsidP="00B22915">
            <w:pPr>
              <w:jc w:val="center"/>
              <w:rPr>
                <w:color w:val="000000"/>
                <w:sz w:val="20"/>
                <w:szCs w:val="20"/>
              </w:rPr>
            </w:pPr>
            <w:r w:rsidRPr="00BB15E2">
              <w:rPr>
                <w:color w:val="000000"/>
                <w:sz w:val="20"/>
                <w:szCs w:val="20"/>
              </w:rPr>
              <w:t>0.50</w:t>
            </w:r>
          </w:p>
        </w:tc>
        <w:tc>
          <w:tcPr>
            <w:tcW w:w="1080" w:type="dxa"/>
            <w:tcBorders>
              <w:top w:val="nil"/>
              <w:left w:val="nil"/>
              <w:bottom w:val="nil"/>
              <w:right w:val="nil"/>
            </w:tcBorders>
            <w:shd w:val="clear" w:color="auto" w:fill="auto"/>
            <w:noWrap/>
            <w:vAlign w:val="bottom"/>
            <w:hideMark/>
          </w:tcPr>
          <w:p w14:paraId="0E4B28DE"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59D48C2B"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4A1234A6" w14:textId="77777777" w:rsidR="004830BC" w:rsidRPr="00BB15E2" w:rsidRDefault="004830BC" w:rsidP="00B22915">
            <w:pPr>
              <w:jc w:val="center"/>
              <w:rPr>
                <w:color w:val="000000"/>
                <w:sz w:val="20"/>
                <w:szCs w:val="20"/>
              </w:rPr>
            </w:pPr>
            <w:r w:rsidRPr="00BB15E2">
              <w:rPr>
                <w:color w:val="000000"/>
                <w:sz w:val="20"/>
                <w:szCs w:val="20"/>
              </w:rPr>
              <w:t>0.56</w:t>
            </w:r>
          </w:p>
        </w:tc>
        <w:tc>
          <w:tcPr>
            <w:tcW w:w="990" w:type="dxa"/>
            <w:tcBorders>
              <w:top w:val="nil"/>
              <w:left w:val="nil"/>
              <w:bottom w:val="nil"/>
              <w:right w:val="nil"/>
            </w:tcBorders>
            <w:shd w:val="clear" w:color="auto" w:fill="auto"/>
            <w:noWrap/>
            <w:vAlign w:val="bottom"/>
            <w:hideMark/>
          </w:tcPr>
          <w:p w14:paraId="377A94C7"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4A155497"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F5B10FA" w14:textId="77777777" w:rsidR="004830BC" w:rsidRPr="00BB15E2" w:rsidRDefault="004830BC" w:rsidP="00B22915">
            <w:pPr>
              <w:jc w:val="center"/>
              <w:rPr>
                <w:color w:val="000000"/>
                <w:sz w:val="20"/>
                <w:szCs w:val="20"/>
              </w:rPr>
            </w:pPr>
            <w:r w:rsidRPr="00BB15E2">
              <w:rPr>
                <w:color w:val="000000"/>
                <w:sz w:val="20"/>
                <w:szCs w:val="20"/>
              </w:rPr>
              <w:t>0.52</w:t>
            </w:r>
          </w:p>
        </w:tc>
        <w:tc>
          <w:tcPr>
            <w:tcW w:w="1080" w:type="dxa"/>
            <w:tcBorders>
              <w:top w:val="nil"/>
              <w:left w:val="nil"/>
              <w:bottom w:val="nil"/>
              <w:right w:val="nil"/>
            </w:tcBorders>
            <w:shd w:val="clear" w:color="auto" w:fill="auto"/>
            <w:noWrap/>
            <w:vAlign w:val="bottom"/>
            <w:hideMark/>
          </w:tcPr>
          <w:p w14:paraId="53A724C8" w14:textId="77777777" w:rsidR="004830BC" w:rsidRPr="00BB15E2" w:rsidRDefault="004830BC" w:rsidP="00B22915">
            <w:pPr>
              <w:jc w:val="center"/>
              <w:rPr>
                <w:color w:val="000000"/>
                <w:sz w:val="20"/>
                <w:szCs w:val="20"/>
              </w:rPr>
            </w:pPr>
            <w:r w:rsidRPr="00BB15E2">
              <w:rPr>
                <w:color w:val="000000"/>
                <w:sz w:val="20"/>
                <w:szCs w:val="20"/>
              </w:rPr>
              <w:t>0.50</w:t>
            </w:r>
          </w:p>
        </w:tc>
      </w:tr>
      <w:tr w:rsidR="004830BC" w:rsidRPr="00BB15E2" w14:paraId="22EF37ED" w14:textId="77777777" w:rsidTr="004830BC">
        <w:trPr>
          <w:trHeight w:val="300"/>
        </w:trPr>
        <w:tc>
          <w:tcPr>
            <w:tcW w:w="2430" w:type="dxa"/>
            <w:tcBorders>
              <w:top w:val="nil"/>
              <w:left w:val="nil"/>
              <w:bottom w:val="nil"/>
              <w:right w:val="nil"/>
            </w:tcBorders>
            <w:shd w:val="clear" w:color="auto" w:fill="auto"/>
            <w:noWrap/>
            <w:vAlign w:val="bottom"/>
            <w:hideMark/>
          </w:tcPr>
          <w:p w14:paraId="16A5220E" w14:textId="77777777" w:rsidR="004830BC" w:rsidRPr="00BB15E2" w:rsidRDefault="004830BC" w:rsidP="00B22915">
            <w:pPr>
              <w:rPr>
                <w:color w:val="000000"/>
                <w:sz w:val="20"/>
                <w:szCs w:val="20"/>
              </w:rPr>
            </w:pPr>
            <w:r w:rsidRPr="00BB15E2">
              <w:rPr>
                <w:color w:val="000000"/>
                <w:sz w:val="20"/>
                <w:szCs w:val="20"/>
              </w:rPr>
              <w:t>Hispanic</w:t>
            </w:r>
          </w:p>
        </w:tc>
        <w:tc>
          <w:tcPr>
            <w:tcW w:w="990" w:type="dxa"/>
            <w:tcBorders>
              <w:top w:val="nil"/>
              <w:left w:val="nil"/>
              <w:bottom w:val="nil"/>
              <w:right w:val="nil"/>
            </w:tcBorders>
            <w:shd w:val="clear" w:color="auto" w:fill="auto"/>
            <w:noWrap/>
            <w:vAlign w:val="bottom"/>
            <w:hideMark/>
          </w:tcPr>
          <w:p w14:paraId="58183CF7" w14:textId="77777777" w:rsidR="004830BC" w:rsidRPr="00BB15E2" w:rsidRDefault="004830BC" w:rsidP="00B22915">
            <w:pPr>
              <w:jc w:val="center"/>
              <w:rPr>
                <w:color w:val="000000"/>
                <w:sz w:val="20"/>
                <w:szCs w:val="20"/>
              </w:rPr>
            </w:pPr>
            <w:r w:rsidRPr="00BB15E2">
              <w:rPr>
                <w:color w:val="000000"/>
                <w:sz w:val="20"/>
                <w:szCs w:val="20"/>
              </w:rPr>
              <w:t>0.56</w:t>
            </w:r>
          </w:p>
        </w:tc>
        <w:tc>
          <w:tcPr>
            <w:tcW w:w="990" w:type="dxa"/>
            <w:tcBorders>
              <w:top w:val="nil"/>
              <w:left w:val="nil"/>
              <w:bottom w:val="nil"/>
              <w:right w:val="nil"/>
            </w:tcBorders>
            <w:shd w:val="clear" w:color="auto" w:fill="auto"/>
            <w:noWrap/>
            <w:vAlign w:val="bottom"/>
            <w:hideMark/>
          </w:tcPr>
          <w:p w14:paraId="34E7AD51"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4F98290A"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1B6B4598" w14:textId="77777777" w:rsidR="004830BC" w:rsidRPr="00BB15E2" w:rsidRDefault="004830BC" w:rsidP="00B22915">
            <w:pPr>
              <w:jc w:val="center"/>
              <w:rPr>
                <w:color w:val="000000"/>
                <w:sz w:val="20"/>
                <w:szCs w:val="20"/>
              </w:rPr>
            </w:pPr>
            <w:r w:rsidRPr="00BB15E2">
              <w:rPr>
                <w:color w:val="000000"/>
                <w:sz w:val="20"/>
                <w:szCs w:val="20"/>
              </w:rPr>
              <w:t>0.41</w:t>
            </w:r>
          </w:p>
        </w:tc>
        <w:tc>
          <w:tcPr>
            <w:tcW w:w="900" w:type="dxa"/>
            <w:tcBorders>
              <w:top w:val="nil"/>
              <w:left w:val="nil"/>
              <w:bottom w:val="nil"/>
              <w:right w:val="nil"/>
            </w:tcBorders>
            <w:shd w:val="clear" w:color="auto" w:fill="auto"/>
            <w:noWrap/>
            <w:vAlign w:val="bottom"/>
            <w:hideMark/>
          </w:tcPr>
          <w:p w14:paraId="7D598D57" w14:textId="77777777" w:rsidR="004830BC" w:rsidRPr="00BB15E2" w:rsidRDefault="004830BC" w:rsidP="00B22915">
            <w:pPr>
              <w:jc w:val="center"/>
              <w:rPr>
                <w:color w:val="000000"/>
                <w:sz w:val="20"/>
                <w:szCs w:val="20"/>
              </w:rPr>
            </w:pPr>
            <w:r w:rsidRPr="00BB15E2">
              <w:rPr>
                <w:color w:val="000000"/>
                <w:sz w:val="20"/>
                <w:szCs w:val="20"/>
              </w:rPr>
              <w:t>0.49</w:t>
            </w:r>
          </w:p>
        </w:tc>
        <w:tc>
          <w:tcPr>
            <w:tcW w:w="270" w:type="dxa"/>
            <w:tcBorders>
              <w:top w:val="nil"/>
              <w:left w:val="nil"/>
              <w:bottom w:val="nil"/>
              <w:right w:val="nil"/>
            </w:tcBorders>
            <w:shd w:val="clear" w:color="auto" w:fill="auto"/>
            <w:noWrap/>
            <w:vAlign w:val="bottom"/>
            <w:hideMark/>
          </w:tcPr>
          <w:p w14:paraId="0B20BF3B"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0254EA9E" w14:textId="77777777" w:rsidR="004830BC" w:rsidRPr="00BB15E2" w:rsidRDefault="004830BC" w:rsidP="00B22915">
            <w:pPr>
              <w:jc w:val="center"/>
              <w:rPr>
                <w:color w:val="000000"/>
                <w:sz w:val="20"/>
                <w:szCs w:val="20"/>
              </w:rPr>
            </w:pPr>
            <w:r w:rsidRPr="00BB15E2">
              <w:rPr>
                <w:color w:val="000000"/>
                <w:sz w:val="20"/>
                <w:szCs w:val="20"/>
              </w:rPr>
              <w:t>0.30</w:t>
            </w:r>
          </w:p>
        </w:tc>
        <w:tc>
          <w:tcPr>
            <w:tcW w:w="1080" w:type="dxa"/>
            <w:tcBorders>
              <w:top w:val="nil"/>
              <w:left w:val="nil"/>
              <w:bottom w:val="nil"/>
              <w:right w:val="nil"/>
            </w:tcBorders>
            <w:shd w:val="clear" w:color="auto" w:fill="auto"/>
            <w:noWrap/>
            <w:vAlign w:val="bottom"/>
            <w:hideMark/>
          </w:tcPr>
          <w:p w14:paraId="0EB95B03" w14:textId="77777777" w:rsidR="004830BC" w:rsidRPr="00BB15E2" w:rsidRDefault="004830BC" w:rsidP="00B22915">
            <w:pPr>
              <w:jc w:val="center"/>
              <w:rPr>
                <w:color w:val="000000"/>
                <w:sz w:val="20"/>
                <w:szCs w:val="20"/>
              </w:rPr>
            </w:pPr>
            <w:r w:rsidRPr="00BB15E2">
              <w:rPr>
                <w:color w:val="000000"/>
                <w:sz w:val="20"/>
                <w:szCs w:val="20"/>
              </w:rPr>
              <w:t>0.46</w:t>
            </w:r>
          </w:p>
        </w:tc>
        <w:tc>
          <w:tcPr>
            <w:tcW w:w="270" w:type="dxa"/>
            <w:tcBorders>
              <w:top w:val="nil"/>
              <w:left w:val="nil"/>
              <w:bottom w:val="nil"/>
              <w:right w:val="nil"/>
            </w:tcBorders>
            <w:shd w:val="clear" w:color="auto" w:fill="auto"/>
            <w:noWrap/>
            <w:vAlign w:val="bottom"/>
            <w:hideMark/>
          </w:tcPr>
          <w:p w14:paraId="2DA1373C"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1CD0BD0F" w14:textId="77777777" w:rsidR="004830BC" w:rsidRPr="00BB15E2" w:rsidRDefault="004830BC" w:rsidP="00B22915">
            <w:pPr>
              <w:jc w:val="center"/>
              <w:rPr>
                <w:color w:val="000000"/>
                <w:sz w:val="20"/>
                <w:szCs w:val="20"/>
              </w:rPr>
            </w:pPr>
            <w:r w:rsidRPr="00BB15E2">
              <w:rPr>
                <w:color w:val="000000"/>
                <w:sz w:val="20"/>
                <w:szCs w:val="20"/>
              </w:rPr>
              <w:t>0.23</w:t>
            </w:r>
          </w:p>
        </w:tc>
        <w:tc>
          <w:tcPr>
            <w:tcW w:w="990" w:type="dxa"/>
            <w:tcBorders>
              <w:top w:val="nil"/>
              <w:left w:val="nil"/>
              <w:bottom w:val="nil"/>
              <w:right w:val="nil"/>
            </w:tcBorders>
            <w:shd w:val="clear" w:color="auto" w:fill="auto"/>
            <w:noWrap/>
            <w:vAlign w:val="bottom"/>
            <w:hideMark/>
          </w:tcPr>
          <w:p w14:paraId="0EF1AE23" w14:textId="77777777" w:rsidR="004830BC" w:rsidRPr="00BB15E2" w:rsidRDefault="004830BC" w:rsidP="00B22915">
            <w:pPr>
              <w:jc w:val="center"/>
              <w:rPr>
                <w:color w:val="000000"/>
                <w:sz w:val="20"/>
                <w:szCs w:val="20"/>
              </w:rPr>
            </w:pPr>
            <w:r w:rsidRPr="00BB15E2">
              <w:rPr>
                <w:color w:val="000000"/>
                <w:sz w:val="20"/>
                <w:szCs w:val="20"/>
              </w:rPr>
              <w:t>0.42</w:t>
            </w:r>
          </w:p>
        </w:tc>
        <w:tc>
          <w:tcPr>
            <w:tcW w:w="270" w:type="dxa"/>
            <w:tcBorders>
              <w:top w:val="nil"/>
              <w:left w:val="nil"/>
              <w:bottom w:val="nil"/>
              <w:right w:val="nil"/>
            </w:tcBorders>
            <w:shd w:val="clear" w:color="auto" w:fill="auto"/>
            <w:noWrap/>
            <w:vAlign w:val="bottom"/>
            <w:hideMark/>
          </w:tcPr>
          <w:p w14:paraId="154F7664"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47D9081" w14:textId="77777777" w:rsidR="004830BC" w:rsidRPr="00BB15E2" w:rsidRDefault="004830BC" w:rsidP="00B22915">
            <w:pPr>
              <w:jc w:val="center"/>
              <w:rPr>
                <w:color w:val="000000"/>
                <w:sz w:val="20"/>
                <w:szCs w:val="20"/>
              </w:rPr>
            </w:pPr>
            <w:r w:rsidRPr="00BB15E2">
              <w:rPr>
                <w:color w:val="000000"/>
                <w:sz w:val="20"/>
                <w:szCs w:val="20"/>
              </w:rPr>
              <w:t>0.28</w:t>
            </w:r>
          </w:p>
        </w:tc>
        <w:tc>
          <w:tcPr>
            <w:tcW w:w="1080" w:type="dxa"/>
            <w:tcBorders>
              <w:top w:val="nil"/>
              <w:left w:val="nil"/>
              <w:bottom w:val="nil"/>
              <w:right w:val="nil"/>
            </w:tcBorders>
            <w:shd w:val="clear" w:color="auto" w:fill="auto"/>
            <w:noWrap/>
            <w:vAlign w:val="bottom"/>
            <w:hideMark/>
          </w:tcPr>
          <w:p w14:paraId="001D64DB" w14:textId="77777777" w:rsidR="004830BC" w:rsidRPr="00BB15E2" w:rsidRDefault="004830BC" w:rsidP="00B22915">
            <w:pPr>
              <w:jc w:val="center"/>
              <w:rPr>
                <w:color w:val="000000"/>
                <w:sz w:val="20"/>
                <w:szCs w:val="20"/>
              </w:rPr>
            </w:pPr>
            <w:r w:rsidRPr="00BB15E2">
              <w:rPr>
                <w:color w:val="000000"/>
                <w:sz w:val="20"/>
                <w:szCs w:val="20"/>
              </w:rPr>
              <w:t>0.45</w:t>
            </w:r>
          </w:p>
        </w:tc>
      </w:tr>
      <w:tr w:rsidR="004830BC" w:rsidRPr="00BB15E2" w14:paraId="41F7BCC8" w14:textId="77777777" w:rsidTr="004830BC">
        <w:trPr>
          <w:trHeight w:val="300"/>
        </w:trPr>
        <w:tc>
          <w:tcPr>
            <w:tcW w:w="2430" w:type="dxa"/>
            <w:tcBorders>
              <w:top w:val="nil"/>
              <w:left w:val="nil"/>
              <w:bottom w:val="nil"/>
              <w:right w:val="nil"/>
            </w:tcBorders>
            <w:shd w:val="clear" w:color="auto" w:fill="auto"/>
            <w:noWrap/>
            <w:vAlign w:val="bottom"/>
            <w:hideMark/>
          </w:tcPr>
          <w:p w14:paraId="4E414D89" w14:textId="77777777" w:rsidR="004830BC" w:rsidRPr="00BB15E2" w:rsidRDefault="004830BC" w:rsidP="00B22915">
            <w:pPr>
              <w:rPr>
                <w:color w:val="000000"/>
                <w:sz w:val="20"/>
                <w:szCs w:val="20"/>
              </w:rPr>
            </w:pPr>
            <w:r w:rsidRPr="00BB15E2">
              <w:rPr>
                <w:color w:val="000000"/>
                <w:sz w:val="20"/>
                <w:szCs w:val="20"/>
              </w:rPr>
              <w:t>Mother HS Grad</w:t>
            </w:r>
          </w:p>
        </w:tc>
        <w:tc>
          <w:tcPr>
            <w:tcW w:w="990" w:type="dxa"/>
            <w:tcBorders>
              <w:top w:val="nil"/>
              <w:left w:val="nil"/>
              <w:bottom w:val="nil"/>
              <w:right w:val="nil"/>
            </w:tcBorders>
            <w:shd w:val="clear" w:color="auto" w:fill="auto"/>
            <w:noWrap/>
            <w:vAlign w:val="bottom"/>
            <w:hideMark/>
          </w:tcPr>
          <w:p w14:paraId="3A48618A" w14:textId="77777777" w:rsidR="004830BC" w:rsidRPr="00BB15E2" w:rsidRDefault="004830BC" w:rsidP="00B22915">
            <w:pPr>
              <w:jc w:val="center"/>
              <w:rPr>
                <w:color w:val="000000"/>
                <w:sz w:val="20"/>
                <w:szCs w:val="20"/>
              </w:rPr>
            </w:pPr>
            <w:r w:rsidRPr="00BB15E2">
              <w:rPr>
                <w:color w:val="000000"/>
                <w:sz w:val="20"/>
                <w:szCs w:val="20"/>
              </w:rPr>
              <w:t>0.10</w:t>
            </w:r>
          </w:p>
        </w:tc>
        <w:tc>
          <w:tcPr>
            <w:tcW w:w="990" w:type="dxa"/>
            <w:tcBorders>
              <w:top w:val="nil"/>
              <w:left w:val="nil"/>
              <w:bottom w:val="nil"/>
              <w:right w:val="nil"/>
            </w:tcBorders>
            <w:shd w:val="clear" w:color="auto" w:fill="auto"/>
            <w:noWrap/>
            <w:vAlign w:val="bottom"/>
            <w:hideMark/>
          </w:tcPr>
          <w:p w14:paraId="05D2C859" w14:textId="77777777" w:rsidR="004830BC" w:rsidRPr="00BB15E2" w:rsidRDefault="004830BC" w:rsidP="00B22915">
            <w:pPr>
              <w:jc w:val="center"/>
              <w:rPr>
                <w:color w:val="000000"/>
                <w:sz w:val="20"/>
                <w:szCs w:val="20"/>
              </w:rPr>
            </w:pPr>
            <w:r w:rsidRPr="00BB15E2">
              <w:rPr>
                <w:color w:val="000000"/>
                <w:sz w:val="20"/>
                <w:szCs w:val="20"/>
              </w:rPr>
              <w:t>0.30</w:t>
            </w:r>
          </w:p>
        </w:tc>
        <w:tc>
          <w:tcPr>
            <w:tcW w:w="270" w:type="dxa"/>
            <w:tcBorders>
              <w:top w:val="nil"/>
              <w:left w:val="nil"/>
              <w:bottom w:val="nil"/>
              <w:right w:val="nil"/>
            </w:tcBorders>
            <w:shd w:val="clear" w:color="auto" w:fill="auto"/>
            <w:noWrap/>
            <w:vAlign w:val="bottom"/>
            <w:hideMark/>
          </w:tcPr>
          <w:p w14:paraId="38E4A675"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36D2B597" w14:textId="77777777" w:rsidR="004830BC" w:rsidRPr="00BB15E2" w:rsidRDefault="004830BC" w:rsidP="00B22915">
            <w:pPr>
              <w:jc w:val="center"/>
              <w:rPr>
                <w:color w:val="000000"/>
                <w:sz w:val="20"/>
                <w:szCs w:val="20"/>
              </w:rPr>
            </w:pPr>
            <w:r w:rsidRPr="00BB15E2">
              <w:rPr>
                <w:color w:val="000000"/>
                <w:sz w:val="20"/>
                <w:szCs w:val="20"/>
              </w:rPr>
              <w:t>0.20</w:t>
            </w:r>
          </w:p>
        </w:tc>
        <w:tc>
          <w:tcPr>
            <w:tcW w:w="900" w:type="dxa"/>
            <w:tcBorders>
              <w:top w:val="nil"/>
              <w:left w:val="nil"/>
              <w:bottom w:val="nil"/>
              <w:right w:val="nil"/>
            </w:tcBorders>
            <w:shd w:val="clear" w:color="auto" w:fill="auto"/>
            <w:noWrap/>
            <w:vAlign w:val="bottom"/>
            <w:hideMark/>
          </w:tcPr>
          <w:p w14:paraId="4C8D3F97" w14:textId="77777777" w:rsidR="004830BC" w:rsidRPr="00BB15E2" w:rsidRDefault="004830BC" w:rsidP="00B22915">
            <w:pPr>
              <w:jc w:val="center"/>
              <w:rPr>
                <w:color w:val="000000"/>
                <w:sz w:val="20"/>
                <w:szCs w:val="20"/>
              </w:rPr>
            </w:pPr>
            <w:r w:rsidRPr="00BB15E2">
              <w:rPr>
                <w:color w:val="000000"/>
                <w:sz w:val="20"/>
                <w:szCs w:val="20"/>
              </w:rPr>
              <w:t>0.40</w:t>
            </w:r>
          </w:p>
        </w:tc>
        <w:tc>
          <w:tcPr>
            <w:tcW w:w="270" w:type="dxa"/>
            <w:tcBorders>
              <w:top w:val="nil"/>
              <w:left w:val="nil"/>
              <w:bottom w:val="nil"/>
              <w:right w:val="nil"/>
            </w:tcBorders>
            <w:shd w:val="clear" w:color="auto" w:fill="auto"/>
            <w:noWrap/>
            <w:vAlign w:val="bottom"/>
            <w:hideMark/>
          </w:tcPr>
          <w:p w14:paraId="1FE657F3"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62C8C09E" w14:textId="77777777" w:rsidR="004830BC" w:rsidRPr="00BB15E2" w:rsidRDefault="004830BC" w:rsidP="00B22915">
            <w:pPr>
              <w:jc w:val="center"/>
              <w:rPr>
                <w:color w:val="000000"/>
                <w:sz w:val="20"/>
                <w:szCs w:val="20"/>
              </w:rPr>
            </w:pPr>
            <w:r w:rsidRPr="00BB15E2">
              <w:rPr>
                <w:color w:val="000000"/>
                <w:sz w:val="20"/>
                <w:szCs w:val="20"/>
              </w:rPr>
              <w:t>0.36</w:t>
            </w:r>
          </w:p>
        </w:tc>
        <w:tc>
          <w:tcPr>
            <w:tcW w:w="1080" w:type="dxa"/>
            <w:tcBorders>
              <w:top w:val="nil"/>
              <w:left w:val="nil"/>
              <w:bottom w:val="nil"/>
              <w:right w:val="nil"/>
            </w:tcBorders>
            <w:shd w:val="clear" w:color="auto" w:fill="auto"/>
            <w:noWrap/>
            <w:vAlign w:val="bottom"/>
            <w:hideMark/>
          </w:tcPr>
          <w:p w14:paraId="4A926835" w14:textId="77777777" w:rsidR="004830BC" w:rsidRPr="00BB15E2" w:rsidRDefault="004830BC" w:rsidP="00B22915">
            <w:pPr>
              <w:jc w:val="center"/>
              <w:rPr>
                <w:color w:val="000000"/>
                <w:sz w:val="20"/>
                <w:szCs w:val="20"/>
              </w:rPr>
            </w:pPr>
            <w:r w:rsidRPr="00BB15E2">
              <w:rPr>
                <w:color w:val="000000"/>
                <w:sz w:val="20"/>
                <w:szCs w:val="20"/>
              </w:rPr>
              <w:t>0.48</w:t>
            </w:r>
          </w:p>
        </w:tc>
        <w:tc>
          <w:tcPr>
            <w:tcW w:w="270" w:type="dxa"/>
            <w:tcBorders>
              <w:top w:val="nil"/>
              <w:left w:val="nil"/>
              <w:bottom w:val="nil"/>
              <w:right w:val="nil"/>
            </w:tcBorders>
            <w:shd w:val="clear" w:color="auto" w:fill="auto"/>
            <w:noWrap/>
            <w:vAlign w:val="bottom"/>
            <w:hideMark/>
          </w:tcPr>
          <w:p w14:paraId="41CF84A9"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51212115" w14:textId="77777777" w:rsidR="004830BC" w:rsidRPr="00BB15E2" w:rsidRDefault="004830BC" w:rsidP="00B22915">
            <w:pPr>
              <w:jc w:val="center"/>
              <w:rPr>
                <w:color w:val="000000"/>
                <w:sz w:val="20"/>
                <w:szCs w:val="20"/>
              </w:rPr>
            </w:pPr>
            <w:r w:rsidRPr="00BB15E2">
              <w:rPr>
                <w:color w:val="000000"/>
                <w:sz w:val="20"/>
                <w:szCs w:val="20"/>
              </w:rPr>
              <w:t>0.35</w:t>
            </w:r>
          </w:p>
        </w:tc>
        <w:tc>
          <w:tcPr>
            <w:tcW w:w="990" w:type="dxa"/>
            <w:tcBorders>
              <w:top w:val="nil"/>
              <w:left w:val="nil"/>
              <w:bottom w:val="nil"/>
              <w:right w:val="nil"/>
            </w:tcBorders>
            <w:shd w:val="clear" w:color="auto" w:fill="auto"/>
            <w:noWrap/>
            <w:vAlign w:val="bottom"/>
            <w:hideMark/>
          </w:tcPr>
          <w:p w14:paraId="7EFF0CB9" w14:textId="77777777" w:rsidR="004830BC" w:rsidRPr="00BB15E2" w:rsidRDefault="004830BC" w:rsidP="00B22915">
            <w:pPr>
              <w:jc w:val="center"/>
              <w:rPr>
                <w:color w:val="000000"/>
                <w:sz w:val="20"/>
                <w:szCs w:val="20"/>
              </w:rPr>
            </w:pPr>
            <w:r w:rsidRPr="00BB15E2">
              <w:rPr>
                <w:color w:val="000000"/>
                <w:sz w:val="20"/>
                <w:szCs w:val="20"/>
              </w:rPr>
              <w:t>0.48</w:t>
            </w:r>
          </w:p>
        </w:tc>
        <w:tc>
          <w:tcPr>
            <w:tcW w:w="270" w:type="dxa"/>
            <w:tcBorders>
              <w:top w:val="nil"/>
              <w:left w:val="nil"/>
              <w:bottom w:val="nil"/>
              <w:right w:val="nil"/>
            </w:tcBorders>
            <w:shd w:val="clear" w:color="auto" w:fill="auto"/>
            <w:noWrap/>
            <w:vAlign w:val="bottom"/>
            <w:hideMark/>
          </w:tcPr>
          <w:p w14:paraId="7BA52170"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0900C5D2" w14:textId="77777777" w:rsidR="004830BC" w:rsidRPr="00BB15E2" w:rsidRDefault="004830BC" w:rsidP="00B22915">
            <w:pPr>
              <w:jc w:val="center"/>
              <w:rPr>
                <w:color w:val="000000"/>
                <w:sz w:val="20"/>
                <w:szCs w:val="20"/>
              </w:rPr>
            </w:pPr>
            <w:r w:rsidRPr="00BB15E2">
              <w:rPr>
                <w:color w:val="000000"/>
                <w:sz w:val="20"/>
                <w:szCs w:val="20"/>
              </w:rPr>
              <w:t>0.34</w:t>
            </w:r>
          </w:p>
        </w:tc>
        <w:tc>
          <w:tcPr>
            <w:tcW w:w="1080" w:type="dxa"/>
            <w:tcBorders>
              <w:top w:val="nil"/>
              <w:left w:val="nil"/>
              <w:bottom w:val="nil"/>
              <w:right w:val="nil"/>
            </w:tcBorders>
            <w:shd w:val="clear" w:color="auto" w:fill="auto"/>
            <w:noWrap/>
            <w:vAlign w:val="bottom"/>
            <w:hideMark/>
          </w:tcPr>
          <w:p w14:paraId="7DB1ADC7" w14:textId="77777777" w:rsidR="004830BC" w:rsidRPr="00BB15E2" w:rsidRDefault="004830BC" w:rsidP="00B22915">
            <w:pPr>
              <w:jc w:val="center"/>
              <w:rPr>
                <w:color w:val="000000"/>
                <w:sz w:val="20"/>
                <w:szCs w:val="20"/>
              </w:rPr>
            </w:pPr>
            <w:r w:rsidRPr="00BB15E2">
              <w:rPr>
                <w:color w:val="000000"/>
                <w:sz w:val="20"/>
                <w:szCs w:val="20"/>
              </w:rPr>
              <w:t>0.47</w:t>
            </w:r>
          </w:p>
        </w:tc>
      </w:tr>
      <w:tr w:rsidR="004830BC" w:rsidRPr="00BB15E2" w14:paraId="3D3F13BC" w14:textId="77777777" w:rsidTr="004830BC">
        <w:trPr>
          <w:trHeight w:val="300"/>
        </w:trPr>
        <w:tc>
          <w:tcPr>
            <w:tcW w:w="2430" w:type="dxa"/>
            <w:tcBorders>
              <w:top w:val="nil"/>
              <w:left w:val="nil"/>
              <w:bottom w:val="nil"/>
              <w:right w:val="nil"/>
            </w:tcBorders>
            <w:shd w:val="clear" w:color="auto" w:fill="auto"/>
            <w:noWrap/>
            <w:vAlign w:val="bottom"/>
            <w:hideMark/>
          </w:tcPr>
          <w:p w14:paraId="5812229D" w14:textId="77777777" w:rsidR="004830BC" w:rsidRPr="00BB15E2" w:rsidRDefault="004830BC" w:rsidP="00B22915">
            <w:pPr>
              <w:rPr>
                <w:color w:val="000000"/>
                <w:sz w:val="20"/>
                <w:szCs w:val="20"/>
              </w:rPr>
            </w:pPr>
            <w:r w:rsidRPr="00BB15E2">
              <w:rPr>
                <w:color w:val="000000"/>
                <w:sz w:val="20"/>
                <w:szCs w:val="20"/>
              </w:rPr>
              <w:t>Father HS Grad</w:t>
            </w:r>
          </w:p>
        </w:tc>
        <w:tc>
          <w:tcPr>
            <w:tcW w:w="990" w:type="dxa"/>
            <w:tcBorders>
              <w:top w:val="nil"/>
              <w:left w:val="nil"/>
              <w:bottom w:val="nil"/>
              <w:right w:val="nil"/>
            </w:tcBorders>
            <w:shd w:val="clear" w:color="auto" w:fill="auto"/>
            <w:noWrap/>
            <w:vAlign w:val="bottom"/>
            <w:hideMark/>
          </w:tcPr>
          <w:p w14:paraId="4AC6D8B2" w14:textId="77777777" w:rsidR="004830BC" w:rsidRPr="00BB15E2" w:rsidRDefault="004830BC" w:rsidP="00B22915">
            <w:pPr>
              <w:jc w:val="center"/>
              <w:rPr>
                <w:color w:val="000000"/>
                <w:sz w:val="20"/>
                <w:szCs w:val="20"/>
              </w:rPr>
            </w:pPr>
            <w:r w:rsidRPr="00BB15E2">
              <w:rPr>
                <w:color w:val="000000"/>
                <w:sz w:val="20"/>
                <w:szCs w:val="20"/>
              </w:rPr>
              <w:t>0.08</w:t>
            </w:r>
          </w:p>
        </w:tc>
        <w:tc>
          <w:tcPr>
            <w:tcW w:w="990" w:type="dxa"/>
            <w:tcBorders>
              <w:top w:val="nil"/>
              <w:left w:val="nil"/>
              <w:bottom w:val="nil"/>
              <w:right w:val="nil"/>
            </w:tcBorders>
            <w:shd w:val="clear" w:color="auto" w:fill="auto"/>
            <w:noWrap/>
            <w:vAlign w:val="bottom"/>
            <w:hideMark/>
          </w:tcPr>
          <w:p w14:paraId="49740193" w14:textId="77777777" w:rsidR="004830BC" w:rsidRPr="00BB15E2" w:rsidRDefault="004830BC" w:rsidP="00B22915">
            <w:pPr>
              <w:jc w:val="center"/>
              <w:rPr>
                <w:color w:val="000000"/>
                <w:sz w:val="20"/>
                <w:szCs w:val="20"/>
              </w:rPr>
            </w:pPr>
            <w:r w:rsidRPr="00BB15E2">
              <w:rPr>
                <w:color w:val="000000"/>
                <w:sz w:val="20"/>
                <w:szCs w:val="20"/>
              </w:rPr>
              <w:t>0.28</w:t>
            </w:r>
          </w:p>
        </w:tc>
        <w:tc>
          <w:tcPr>
            <w:tcW w:w="270" w:type="dxa"/>
            <w:tcBorders>
              <w:top w:val="nil"/>
              <w:left w:val="nil"/>
              <w:bottom w:val="nil"/>
              <w:right w:val="nil"/>
            </w:tcBorders>
            <w:shd w:val="clear" w:color="auto" w:fill="auto"/>
            <w:noWrap/>
            <w:vAlign w:val="bottom"/>
            <w:hideMark/>
          </w:tcPr>
          <w:p w14:paraId="355292AD"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3BD1D470" w14:textId="77777777" w:rsidR="004830BC" w:rsidRPr="00BB15E2" w:rsidRDefault="004830BC" w:rsidP="00B22915">
            <w:pPr>
              <w:jc w:val="center"/>
              <w:rPr>
                <w:color w:val="000000"/>
                <w:sz w:val="20"/>
                <w:szCs w:val="20"/>
              </w:rPr>
            </w:pPr>
            <w:r w:rsidRPr="00BB15E2">
              <w:rPr>
                <w:color w:val="000000"/>
                <w:sz w:val="20"/>
                <w:szCs w:val="20"/>
              </w:rPr>
              <w:t>0.16</w:t>
            </w:r>
          </w:p>
        </w:tc>
        <w:tc>
          <w:tcPr>
            <w:tcW w:w="900" w:type="dxa"/>
            <w:tcBorders>
              <w:top w:val="nil"/>
              <w:left w:val="nil"/>
              <w:bottom w:val="nil"/>
              <w:right w:val="nil"/>
            </w:tcBorders>
            <w:shd w:val="clear" w:color="auto" w:fill="auto"/>
            <w:noWrap/>
            <w:vAlign w:val="bottom"/>
            <w:hideMark/>
          </w:tcPr>
          <w:p w14:paraId="7BCF9225" w14:textId="77777777" w:rsidR="004830BC" w:rsidRPr="00BB15E2" w:rsidRDefault="004830BC" w:rsidP="00B22915">
            <w:pPr>
              <w:jc w:val="center"/>
              <w:rPr>
                <w:color w:val="000000"/>
                <w:sz w:val="20"/>
                <w:szCs w:val="20"/>
              </w:rPr>
            </w:pPr>
            <w:r w:rsidRPr="00BB15E2">
              <w:rPr>
                <w:color w:val="000000"/>
                <w:sz w:val="20"/>
                <w:szCs w:val="20"/>
              </w:rPr>
              <w:t>0.37</w:t>
            </w:r>
          </w:p>
        </w:tc>
        <w:tc>
          <w:tcPr>
            <w:tcW w:w="270" w:type="dxa"/>
            <w:tcBorders>
              <w:top w:val="nil"/>
              <w:left w:val="nil"/>
              <w:bottom w:val="nil"/>
              <w:right w:val="nil"/>
            </w:tcBorders>
            <w:shd w:val="clear" w:color="auto" w:fill="auto"/>
            <w:noWrap/>
            <w:vAlign w:val="bottom"/>
            <w:hideMark/>
          </w:tcPr>
          <w:p w14:paraId="10B875C3"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0F8A7CD4" w14:textId="77777777" w:rsidR="004830BC" w:rsidRPr="00BB15E2" w:rsidRDefault="004830BC" w:rsidP="00B22915">
            <w:pPr>
              <w:jc w:val="center"/>
              <w:rPr>
                <w:color w:val="000000"/>
                <w:sz w:val="20"/>
                <w:szCs w:val="20"/>
              </w:rPr>
            </w:pPr>
            <w:r w:rsidRPr="00BB15E2">
              <w:rPr>
                <w:color w:val="000000"/>
                <w:sz w:val="20"/>
                <w:szCs w:val="20"/>
              </w:rPr>
              <w:t>0.33</w:t>
            </w:r>
          </w:p>
        </w:tc>
        <w:tc>
          <w:tcPr>
            <w:tcW w:w="1080" w:type="dxa"/>
            <w:tcBorders>
              <w:top w:val="nil"/>
              <w:left w:val="nil"/>
              <w:bottom w:val="nil"/>
              <w:right w:val="nil"/>
            </w:tcBorders>
            <w:shd w:val="clear" w:color="auto" w:fill="auto"/>
            <w:noWrap/>
            <w:vAlign w:val="bottom"/>
            <w:hideMark/>
          </w:tcPr>
          <w:p w14:paraId="4EE39354" w14:textId="77777777" w:rsidR="004830BC" w:rsidRPr="00BB15E2" w:rsidRDefault="004830BC" w:rsidP="00B22915">
            <w:pPr>
              <w:jc w:val="center"/>
              <w:rPr>
                <w:color w:val="000000"/>
                <w:sz w:val="20"/>
                <w:szCs w:val="20"/>
              </w:rPr>
            </w:pPr>
            <w:r w:rsidRPr="00BB15E2">
              <w:rPr>
                <w:color w:val="000000"/>
                <w:sz w:val="20"/>
                <w:szCs w:val="20"/>
              </w:rPr>
              <w:t>0.47</w:t>
            </w:r>
          </w:p>
        </w:tc>
        <w:tc>
          <w:tcPr>
            <w:tcW w:w="270" w:type="dxa"/>
            <w:tcBorders>
              <w:top w:val="nil"/>
              <w:left w:val="nil"/>
              <w:bottom w:val="nil"/>
              <w:right w:val="nil"/>
            </w:tcBorders>
            <w:shd w:val="clear" w:color="auto" w:fill="auto"/>
            <w:noWrap/>
            <w:vAlign w:val="bottom"/>
            <w:hideMark/>
          </w:tcPr>
          <w:p w14:paraId="59C08027"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49014A35" w14:textId="77777777" w:rsidR="004830BC" w:rsidRPr="00BB15E2" w:rsidRDefault="004830BC" w:rsidP="00B22915">
            <w:pPr>
              <w:jc w:val="center"/>
              <w:rPr>
                <w:color w:val="000000"/>
                <w:sz w:val="20"/>
                <w:szCs w:val="20"/>
              </w:rPr>
            </w:pPr>
            <w:r w:rsidRPr="00BB15E2">
              <w:rPr>
                <w:color w:val="000000"/>
                <w:sz w:val="20"/>
                <w:szCs w:val="20"/>
              </w:rPr>
              <w:t>0.33</w:t>
            </w:r>
          </w:p>
        </w:tc>
        <w:tc>
          <w:tcPr>
            <w:tcW w:w="990" w:type="dxa"/>
            <w:tcBorders>
              <w:top w:val="nil"/>
              <w:left w:val="nil"/>
              <w:bottom w:val="nil"/>
              <w:right w:val="nil"/>
            </w:tcBorders>
            <w:shd w:val="clear" w:color="auto" w:fill="auto"/>
            <w:noWrap/>
            <w:vAlign w:val="bottom"/>
            <w:hideMark/>
          </w:tcPr>
          <w:p w14:paraId="5188BEA0" w14:textId="77777777" w:rsidR="004830BC" w:rsidRPr="00BB15E2" w:rsidRDefault="004830BC" w:rsidP="00B22915">
            <w:pPr>
              <w:jc w:val="center"/>
              <w:rPr>
                <w:color w:val="000000"/>
                <w:sz w:val="20"/>
                <w:szCs w:val="20"/>
              </w:rPr>
            </w:pPr>
            <w:r w:rsidRPr="00BB15E2">
              <w:rPr>
                <w:color w:val="000000"/>
                <w:sz w:val="20"/>
                <w:szCs w:val="20"/>
              </w:rPr>
              <w:t>0.47</w:t>
            </w:r>
          </w:p>
        </w:tc>
        <w:tc>
          <w:tcPr>
            <w:tcW w:w="270" w:type="dxa"/>
            <w:tcBorders>
              <w:top w:val="nil"/>
              <w:left w:val="nil"/>
              <w:bottom w:val="nil"/>
              <w:right w:val="nil"/>
            </w:tcBorders>
            <w:shd w:val="clear" w:color="auto" w:fill="auto"/>
            <w:noWrap/>
            <w:vAlign w:val="bottom"/>
            <w:hideMark/>
          </w:tcPr>
          <w:p w14:paraId="2B33F722"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039CAC85" w14:textId="77777777" w:rsidR="004830BC" w:rsidRPr="00BB15E2" w:rsidRDefault="004830BC" w:rsidP="00B22915">
            <w:pPr>
              <w:jc w:val="center"/>
              <w:rPr>
                <w:color w:val="000000"/>
                <w:sz w:val="20"/>
                <w:szCs w:val="20"/>
              </w:rPr>
            </w:pPr>
            <w:r w:rsidRPr="00BB15E2">
              <w:rPr>
                <w:color w:val="000000"/>
                <w:sz w:val="20"/>
                <w:szCs w:val="20"/>
              </w:rPr>
              <w:t>0.31</w:t>
            </w:r>
          </w:p>
        </w:tc>
        <w:tc>
          <w:tcPr>
            <w:tcW w:w="1080" w:type="dxa"/>
            <w:tcBorders>
              <w:top w:val="nil"/>
              <w:left w:val="nil"/>
              <w:bottom w:val="nil"/>
              <w:right w:val="nil"/>
            </w:tcBorders>
            <w:shd w:val="clear" w:color="auto" w:fill="auto"/>
            <w:noWrap/>
            <w:vAlign w:val="bottom"/>
            <w:hideMark/>
          </w:tcPr>
          <w:p w14:paraId="2C9323A3" w14:textId="77777777" w:rsidR="004830BC" w:rsidRPr="00BB15E2" w:rsidRDefault="004830BC" w:rsidP="00B22915">
            <w:pPr>
              <w:jc w:val="center"/>
              <w:rPr>
                <w:color w:val="000000"/>
                <w:sz w:val="20"/>
                <w:szCs w:val="20"/>
              </w:rPr>
            </w:pPr>
            <w:r w:rsidRPr="00BB15E2">
              <w:rPr>
                <w:color w:val="000000"/>
                <w:sz w:val="20"/>
                <w:szCs w:val="20"/>
              </w:rPr>
              <w:t>0.46</w:t>
            </w:r>
          </w:p>
        </w:tc>
      </w:tr>
      <w:tr w:rsidR="004830BC" w:rsidRPr="00BB15E2" w14:paraId="0FDA83F5" w14:textId="77777777" w:rsidTr="004830BC">
        <w:trPr>
          <w:trHeight w:val="300"/>
        </w:trPr>
        <w:tc>
          <w:tcPr>
            <w:tcW w:w="2430" w:type="dxa"/>
            <w:tcBorders>
              <w:top w:val="nil"/>
              <w:left w:val="nil"/>
              <w:bottom w:val="nil"/>
              <w:right w:val="nil"/>
            </w:tcBorders>
            <w:shd w:val="clear" w:color="auto" w:fill="auto"/>
            <w:noWrap/>
            <w:vAlign w:val="bottom"/>
          </w:tcPr>
          <w:p w14:paraId="37E4D862" w14:textId="77777777" w:rsidR="004830BC" w:rsidRPr="00BB15E2" w:rsidRDefault="004830BC" w:rsidP="00B22915">
            <w:pPr>
              <w:rPr>
                <w:color w:val="000000"/>
                <w:sz w:val="20"/>
                <w:szCs w:val="20"/>
              </w:rPr>
            </w:pPr>
            <w:r>
              <w:rPr>
                <w:color w:val="000000"/>
                <w:sz w:val="20"/>
                <w:szCs w:val="20"/>
              </w:rPr>
              <w:t>SPED</w:t>
            </w:r>
          </w:p>
        </w:tc>
        <w:tc>
          <w:tcPr>
            <w:tcW w:w="990" w:type="dxa"/>
            <w:tcBorders>
              <w:top w:val="nil"/>
              <w:left w:val="nil"/>
              <w:bottom w:val="nil"/>
              <w:right w:val="nil"/>
            </w:tcBorders>
            <w:shd w:val="clear" w:color="auto" w:fill="auto"/>
            <w:noWrap/>
            <w:vAlign w:val="bottom"/>
          </w:tcPr>
          <w:p w14:paraId="614DED35" w14:textId="77777777" w:rsidR="004830BC" w:rsidRPr="00BB15E2" w:rsidRDefault="004830BC" w:rsidP="00B22915">
            <w:pPr>
              <w:jc w:val="center"/>
              <w:rPr>
                <w:color w:val="000000"/>
                <w:sz w:val="20"/>
                <w:szCs w:val="20"/>
              </w:rPr>
            </w:pPr>
            <w:r w:rsidRPr="00BB15E2">
              <w:rPr>
                <w:color w:val="000000"/>
                <w:sz w:val="20"/>
                <w:szCs w:val="20"/>
              </w:rPr>
              <w:t>0.06</w:t>
            </w:r>
          </w:p>
        </w:tc>
        <w:tc>
          <w:tcPr>
            <w:tcW w:w="990" w:type="dxa"/>
            <w:tcBorders>
              <w:top w:val="nil"/>
              <w:left w:val="nil"/>
              <w:bottom w:val="nil"/>
              <w:right w:val="nil"/>
            </w:tcBorders>
            <w:shd w:val="clear" w:color="auto" w:fill="auto"/>
            <w:noWrap/>
            <w:vAlign w:val="bottom"/>
          </w:tcPr>
          <w:p w14:paraId="059200A5" w14:textId="77777777" w:rsidR="004830BC" w:rsidRPr="00BB15E2" w:rsidRDefault="004830BC" w:rsidP="00B22915">
            <w:pPr>
              <w:jc w:val="center"/>
              <w:rPr>
                <w:color w:val="000000"/>
                <w:sz w:val="20"/>
                <w:szCs w:val="20"/>
              </w:rPr>
            </w:pPr>
            <w:r w:rsidRPr="00BB15E2">
              <w:rPr>
                <w:color w:val="000000"/>
                <w:sz w:val="20"/>
                <w:szCs w:val="20"/>
              </w:rPr>
              <w:t>0.23</w:t>
            </w:r>
          </w:p>
        </w:tc>
        <w:tc>
          <w:tcPr>
            <w:tcW w:w="270" w:type="dxa"/>
            <w:tcBorders>
              <w:top w:val="nil"/>
              <w:left w:val="nil"/>
              <w:bottom w:val="nil"/>
              <w:right w:val="nil"/>
            </w:tcBorders>
            <w:shd w:val="clear" w:color="auto" w:fill="auto"/>
            <w:noWrap/>
            <w:vAlign w:val="bottom"/>
          </w:tcPr>
          <w:p w14:paraId="2F79F410"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tcPr>
          <w:p w14:paraId="7494CD52" w14:textId="77777777" w:rsidR="004830BC" w:rsidRPr="00BB15E2" w:rsidRDefault="004830BC" w:rsidP="00B22915">
            <w:pPr>
              <w:jc w:val="center"/>
              <w:rPr>
                <w:color w:val="000000"/>
                <w:sz w:val="20"/>
                <w:szCs w:val="20"/>
              </w:rPr>
            </w:pPr>
            <w:r w:rsidRPr="00BB15E2">
              <w:rPr>
                <w:color w:val="000000"/>
                <w:sz w:val="20"/>
                <w:szCs w:val="20"/>
              </w:rPr>
              <w:t>0.08</w:t>
            </w:r>
          </w:p>
        </w:tc>
        <w:tc>
          <w:tcPr>
            <w:tcW w:w="900" w:type="dxa"/>
            <w:tcBorders>
              <w:top w:val="nil"/>
              <w:left w:val="nil"/>
              <w:bottom w:val="nil"/>
              <w:right w:val="nil"/>
            </w:tcBorders>
            <w:shd w:val="clear" w:color="auto" w:fill="auto"/>
            <w:noWrap/>
            <w:vAlign w:val="bottom"/>
          </w:tcPr>
          <w:p w14:paraId="0B95B5E2" w14:textId="77777777" w:rsidR="004830BC" w:rsidRPr="00BB15E2" w:rsidRDefault="004830BC" w:rsidP="00B22915">
            <w:pPr>
              <w:jc w:val="center"/>
              <w:rPr>
                <w:color w:val="000000"/>
                <w:sz w:val="20"/>
                <w:szCs w:val="20"/>
              </w:rPr>
            </w:pPr>
            <w:r w:rsidRPr="00BB15E2">
              <w:rPr>
                <w:color w:val="000000"/>
                <w:sz w:val="20"/>
                <w:szCs w:val="20"/>
              </w:rPr>
              <w:t>0.27</w:t>
            </w:r>
          </w:p>
        </w:tc>
        <w:tc>
          <w:tcPr>
            <w:tcW w:w="270" w:type="dxa"/>
            <w:tcBorders>
              <w:top w:val="nil"/>
              <w:left w:val="nil"/>
              <w:bottom w:val="nil"/>
              <w:right w:val="nil"/>
            </w:tcBorders>
            <w:shd w:val="clear" w:color="auto" w:fill="auto"/>
            <w:noWrap/>
            <w:vAlign w:val="bottom"/>
          </w:tcPr>
          <w:p w14:paraId="0EBFC971"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tcPr>
          <w:p w14:paraId="6E9FA713" w14:textId="77777777" w:rsidR="004830BC" w:rsidRPr="00BB15E2" w:rsidRDefault="004830BC" w:rsidP="00B22915">
            <w:pPr>
              <w:jc w:val="center"/>
              <w:rPr>
                <w:color w:val="000000"/>
                <w:sz w:val="20"/>
                <w:szCs w:val="20"/>
              </w:rPr>
            </w:pPr>
            <w:r w:rsidRPr="00BB15E2">
              <w:rPr>
                <w:color w:val="000000"/>
                <w:sz w:val="20"/>
                <w:szCs w:val="20"/>
              </w:rPr>
              <w:t>0.11</w:t>
            </w:r>
          </w:p>
        </w:tc>
        <w:tc>
          <w:tcPr>
            <w:tcW w:w="1080" w:type="dxa"/>
            <w:tcBorders>
              <w:top w:val="nil"/>
              <w:left w:val="nil"/>
              <w:bottom w:val="nil"/>
              <w:right w:val="nil"/>
            </w:tcBorders>
            <w:shd w:val="clear" w:color="auto" w:fill="auto"/>
            <w:noWrap/>
            <w:vAlign w:val="bottom"/>
          </w:tcPr>
          <w:p w14:paraId="7DD9787D" w14:textId="77777777" w:rsidR="004830BC" w:rsidRPr="00BB15E2" w:rsidRDefault="004830BC" w:rsidP="00B22915">
            <w:pPr>
              <w:jc w:val="center"/>
              <w:rPr>
                <w:color w:val="000000"/>
                <w:sz w:val="20"/>
                <w:szCs w:val="20"/>
              </w:rPr>
            </w:pPr>
            <w:r w:rsidRPr="00BB15E2">
              <w:rPr>
                <w:color w:val="000000"/>
                <w:sz w:val="20"/>
                <w:szCs w:val="20"/>
              </w:rPr>
              <w:t>0.31</w:t>
            </w:r>
          </w:p>
        </w:tc>
        <w:tc>
          <w:tcPr>
            <w:tcW w:w="270" w:type="dxa"/>
            <w:tcBorders>
              <w:top w:val="nil"/>
              <w:left w:val="nil"/>
              <w:bottom w:val="nil"/>
              <w:right w:val="nil"/>
            </w:tcBorders>
            <w:shd w:val="clear" w:color="auto" w:fill="auto"/>
            <w:noWrap/>
            <w:vAlign w:val="bottom"/>
          </w:tcPr>
          <w:p w14:paraId="0EA81819"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tcPr>
          <w:p w14:paraId="61B13891" w14:textId="77777777" w:rsidR="004830BC" w:rsidRPr="00BB15E2" w:rsidRDefault="004830BC" w:rsidP="00B22915">
            <w:pPr>
              <w:jc w:val="center"/>
              <w:rPr>
                <w:color w:val="000000"/>
                <w:sz w:val="20"/>
                <w:szCs w:val="20"/>
              </w:rPr>
            </w:pPr>
            <w:r w:rsidRPr="00BB15E2">
              <w:rPr>
                <w:color w:val="000000"/>
                <w:sz w:val="20"/>
                <w:szCs w:val="20"/>
              </w:rPr>
              <w:t>0.09</w:t>
            </w:r>
          </w:p>
        </w:tc>
        <w:tc>
          <w:tcPr>
            <w:tcW w:w="990" w:type="dxa"/>
            <w:tcBorders>
              <w:top w:val="nil"/>
              <w:left w:val="nil"/>
              <w:bottom w:val="nil"/>
              <w:right w:val="nil"/>
            </w:tcBorders>
            <w:shd w:val="clear" w:color="auto" w:fill="auto"/>
            <w:noWrap/>
            <w:vAlign w:val="bottom"/>
          </w:tcPr>
          <w:p w14:paraId="66D4096F" w14:textId="77777777" w:rsidR="004830BC" w:rsidRPr="00BB15E2" w:rsidRDefault="004830BC" w:rsidP="00B22915">
            <w:pPr>
              <w:jc w:val="center"/>
              <w:rPr>
                <w:color w:val="000000"/>
                <w:sz w:val="20"/>
                <w:szCs w:val="20"/>
              </w:rPr>
            </w:pPr>
            <w:r w:rsidRPr="00BB15E2">
              <w:rPr>
                <w:color w:val="000000"/>
                <w:sz w:val="20"/>
                <w:szCs w:val="20"/>
              </w:rPr>
              <w:t>0.29</w:t>
            </w:r>
          </w:p>
        </w:tc>
        <w:tc>
          <w:tcPr>
            <w:tcW w:w="270" w:type="dxa"/>
            <w:tcBorders>
              <w:top w:val="nil"/>
              <w:left w:val="nil"/>
              <w:bottom w:val="nil"/>
              <w:right w:val="nil"/>
            </w:tcBorders>
            <w:shd w:val="clear" w:color="auto" w:fill="auto"/>
            <w:noWrap/>
            <w:vAlign w:val="bottom"/>
          </w:tcPr>
          <w:p w14:paraId="587E5E4F"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tcPr>
          <w:p w14:paraId="02F4E886" w14:textId="77777777" w:rsidR="004830BC" w:rsidRPr="00BB15E2" w:rsidRDefault="004830BC" w:rsidP="00B22915">
            <w:pPr>
              <w:jc w:val="center"/>
              <w:rPr>
                <w:color w:val="000000"/>
                <w:sz w:val="20"/>
                <w:szCs w:val="20"/>
              </w:rPr>
            </w:pPr>
            <w:r w:rsidRPr="00BB15E2">
              <w:rPr>
                <w:color w:val="000000"/>
                <w:sz w:val="20"/>
                <w:szCs w:val="20"/>
              </w:rPr>
              <w:t>0.10</w:t>
            </w:r>
          </w:p>
        </w:tc>
        <w:tc>
          <w:tcPr>
            <w:tcW w:w="1080" w:type="dxa"/>
            <w:tcBorders>
              <w:top w:val="nil"/>
              <w:left w:val="nil"/>
              <w:bottom w:val="nil"/>
              <w:right w:val="nil"/>
            </w:tcBorders>
            <w:shd w:val="clear" w:color="auto" w:fill="auto"/>
            <w:noWrap/>
            <w:vAlign w:val="bottom"/>
          </w:tcPr>
          <w:p w14:paraId="08891EC5" w14:textId="77777777" w:rsidR="004830BC" w:rsidRPr="00BB15E2" w:rsidRDefault="004830BC" w:rsidP="00B22915">
            <w:pPr>
              <w:jc w:val="center"/>
              <w:rPr>
                <w:color w:val="000000"/>
                <w:sz w:val="20"/>
                <w:szCs w:val="20"/>
              </w:rPr>
            </w:pPr>
            <w:r w:rsidRPr="00BB15E2">
              <w:rPr>
                <w:color w:val="000000"/>
                <w:sz w:val="20"/>
                <w:szCs w:val="20"/>
              </w:rPr>
              <w:t>0.30</w:t>
            </w:r>
          </w:p>
        </w:tc>
      </w:tr>
      <w:tr w:rsidR="004830BC" w:rsidRPr="00BB15E2" w14:paraId="7A62376D" w14:textId="77777777" w:rsidTr="004830BC">
        <w:trPr>
          <w:trHeight w:val="300"/>
        </w:trPr>
        <w:tc>
          <w:tcPr>
            <w:tcW w:w="2430" w:type="dxa"/>
            <w:tcBorders>
              <w:top w:val="nil"/>
              <w:left w:val="nil"/>
              <w:bottom w:val="nil"/>
              <w:right w:val="nil"/>
            </w:tcBorders>
            <w:shd w:val="clear" w:color="auto" w:fill="auto"/>
            <w:noWrap/>
            <w:vAlign w:val="bottom"/>
          </w:tcPr>
          <w:p w14:paraId="4D05003E" w14:textId="77777777" w:rsidR="004830BC" w:rsidRPr="00BB15E2" w:rsidRDefault="004830BC" w:rsidP="00B22915">
            <w:pPr>
              <w:rPr>
                <w:color w:val="000000"/>
                <w:sz w:val="20"/>
                <w:szCs w:val="20"/>
              </w:rPr>
            </w:pPr>
            <w:r w:rsidRPr="00BB15E2">
              <w:rPr>
                <w:color w:val="000000"/>
                <w:sz w:val="20"/>
                <w:szCs w:val="20"/>
              </w:rPr>
              <w:t xml:space="preserve">AP Exams </w:t>
            </w:r>
            <w:r>
              <w:rPr>
                <w:color w:val="000000"/>
                <w:sz w:val="20"/>
                <w:szCs w:val="20"/>
              </w:rPr>
              <w:t>Gr 10</w:t>
            </w:r>
          </w:p>
        </w:tc>
        <w:tc>
          <w:tcPr>
            <w:tcW w:w="990" w:type="dxa"/>
            <w:tcBorders>
              <w:top w:val="nil"/>
              <w:left w:val="nil"/>
              <w:bottom w:val="nil"/>
              <w:right w:val="nil"/>
            </w:tcBorders>
            <w:shd w:val="clear" w:color="auto" w:fill="auto"/>
            <w:noWrap/>
            <w:vAlign w:val="bottom"/>
          </w:tcPr>
          <w:p w14:paraId="53E72F7D" w14:textId="77777777" w:rsidR="004830BC" w:rsidRPr="00BB15E2" w:rsidRDefault="004830BC" w:rsidP="00B22915">
            <w:pPr>
              <w:jc w:val="center"/>
              <w:rPr>
                <w:color w:val="000000"/>
                <w:sz w:val="20"/>
                <w:szCs w:val="20"/>
              </w:rPr>
            </w:pPr>
            <w:r w:rsidRPr="00BB15E2">
              <w:rPr>
                <w:color w:val="000000"/>
                <w:sz w:val="20"/>
                <w:szCs w:val="20"/>
              </w:rPr>
              <w:t>0.02</w:t>
            </w:r>
          </w:p>
        </w:tc>
        <w:tc>
          <w:tcPr>
            <w:tcW w:w="990" w:type="dxa"/>
            <w:tcBorders>
              <w:top w:val="nil"/>
              <w:left w:val="nil"/>
              <w:bottom w:val="nil"/>
              <w:right w:val="nil"/>
            </w:tcBorders>
            <w:shd w:val="clear" w:color="auto" w:fill="auto"/>
            <w:noWrap/>
            <w:vAlign w:val="bottom"/>
          </w:tcPr>
          <w:p w14:paraId="6715B236" w14:textId="77777777" w:rsidR="004830BC" w:rsidRPr="00BB15E2" w:rsidRDefault="004830BC" w:rsidP="00B22915">
            <w:pPr>
              <w:jc w:val="center"/>
              <w:rPr>
                <w:color w:val="000000"/>
                <w:sz w:val="20"/>
                <w:szCs w:val="20"/>
              </w:rPr>
            </w:pPr>
            <w:r w:rsidRPr="00BB15E2">
              <w:rPr>
                <w:color w:val="000000"/>
                <w:sz w:val="20"/>
                <w:szCs w:val="20"/>
              </w:rPr>
              <w:t>0.15</w:t>
            </w:r>
          </w:p>
        </w:tc>
        <w:tc>
          <w:tcPr>
            <w:tcW w:w="270" w:type="dxa"/>
            <w:tcBorders>
              <w:top w:val="nil"/>
              <w:left w:val="nil"/>
              <w:bottom w:val="nil"/>
              <w:right w:val="nil"/>
            </w:tcBorders>
            <w:shd w:val="clear" w:color="auto" w:fill="auto"/>
            <w:noWrap/>
            <w:vAlign w:val="bottom"/>
          </w:tcPr>
          <w:p w14:paraId="5561EA95"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tcPr>
          <w:p w14:paraId="28712FD2" w14:textId="77777777" w:rsidR="004830BC" w:rsidRPr="00BB15E2" w:rsidRDefault="004830BC" w:rsidP="00B22915">
            <w:pPr>
              <w:jc w:val="center"/>
              <w:rPr>
                <w:color w:val="000000"/>
                <w:sz w:val="20"/>
                <w:szCs w:val="20"/>
              </w:rPr>
            </w:pPr>
            <w:r w:rsidRPr="00BB15E2">
              <w:rPr>
                <w:color w:val="000000"/>
                <w:sz w:val="20"/>
                <w:szCs w:val="20"/>
              </w:rPr>
              <w:t>0.04</w:t>
            </w:r>
          </w:p>
        </w:tc>
        <w:tc>
          <w:tcPr>
            <w:tcW w:w="900" w:type="dxa"/>
            <w:tcBorders>
              <w:top w:val="nil"/>
              <w:left w:val="nil"/>
              <w:bottom w:val="nil"/>
              <w:right w:val="nil"/>
            </w:tcBorders>
            <w:shd w:val="clear" w:color="auto" w:fill="auto"/>
            <w:noWrap/>
            <w:vAlign w:val="bottom"/>
          </w:tcPr>
          <w:p w14:paraId="19444F07" w14:textId="77777777" w:rsidR="004830BC" w:rsidRPr="00BB15E2" w:rsidRDefault="004830BC" w:rsidP="00B22915">
            <w:pPr>
              <w:jc w:val="center"/>
              <w:rPr>
                <w:color w:val="000000"/>
                <w:sz w:val="20"/>
                <w:szCs w:val="20"/>
              </w:rPr>
            </w:pPr>
            <w:r w:rsidRPr="00BB15E2">
              <w:rPr>
                <w:color w:val="000000"/>
                <w:sz w:val="20"/>
                <w:szCs w:val="20"/>
              </w:rPr>
              <w:t>0.20</w:t>
            </w:r>
          </w:p>
        </w:tc>
        <w:tc>
          <w:tcPr>
            <w:tcW w:w="270" w:type="dxa"/>
            <w:tcBorders>
              <w:top w:val="nil"/>
              <w:left w:val="nil"/>
              <w:bottom w:val="nil"/>
              <w:right w:val="nil"/>
            </w:tcBorders>
            <w:shd w:val="clear" w:color="auto" w:fill="auto"/>
            <w:noWrap/>
            <w:vAlign w:val="bottom"/>
          </w:tcPr>
          <w:p w14:paraId="30AC4B0A"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tcPr>
          <w:p w14:paraId="5CC79194" w14:textId="77777777" w:rsidR="004830BC" w:rsidRPr="00BB15E2" w:rsidRDefault="004830BC" w:rsidP="00B22915">
            <w:pPr>
              <w:jc w:val="center"/>
              <w:rPr>
                <w:color w:val="000000"/>
                <w:sz w:val="20"/>
                <w:szCs w:val="20"/>
              </w:rPr>
            </w:pPr>
            <w:r w:rsidRPr="00BB15E2">
              <w:rPr>
                <w:color w:val="000000"/>
                <w:sz w:val="20"/>
                <w:szCs w:val="20"/>
              </w:rPr>
              <w:t>0.33</w:t>
            </w:r>
          </w:p>
        </w:tc>
        <w:tc>
          <w:tcPr>
            <w:tcW w:w="1080" w:type="dxa"/>
            <w:tcBorders>
              <w:top w:val="nil"/>
              <w:left w:val="nil"/>
              <w:bottom w:val="nil"/>
              <w:right w:val="nil"/>
            </w:tcBorders>
            <w:shd w:val="clear" w:color="auto" w:fill="auto"/>
            <w:noWrap/>
            <w:vAlign w:val="bottom"/>
          </w:tcPr>
          <w:p w14:paraId="6F28B786" w14:textId="77777777" w:rsidR="004830BC" w:rsidRPr="00BB15E2" w:rsidRDefault="004830BC" w:rsidP="00B22915">
            <w:pPr>
              <w:jc w:val="center"/>
              <w:rPr>
                <w:color w:val="000000"/>
                <w:sz w:val="20"/>
                <w:szCs w:val="20"/>
              </w:rPr>
            </w:pPr>
            <w:r w:rsidRPr="00BB15E2">
              <w:rPr>
                <w:color w:val="000000"/>
                <w:sz w:val="20"/>
                <w:szCs w:val="20"/>
              </w:rPr>
              <w:t>0.60</w:t>
            </w:r>
          </w:p>
        </w:tc>
        <w:tc>
          <w:tcPr>
            <w:tcW w:w="270" w:type="dxa"/>
            <w:tcBorders>
              <w:top w:val="nil"/>
              <w:left w:val="nil"/>
              <w:bottom w:val="nil"/>
              <w:right w:val="nil"/>
            </w:tcBorders>
            <w:shd w:val="clear" w:color="auto" w:fill="auto"/>
            <w:noWrap/>
            <w:vAlign w:val="bottom"/>
          </w:tcPr>
          <w:p w14:paraId="3D7FEB62"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tcPr>
          <w:p w14:paraId="6F75F267" w14:textId="77777777" w:rsidR="004830BC" w:rsidRPr="00BB15E2" w:rsidRDefault="004830BC" w:rsidP="00B22915">
            <w:pPr>
              <w:jc w:val="center"/>
              <w:rPr>
                <w:color w:val="000000"/>
                <w:sz w:val="20"/>
                <w:szCs w:val="20"/>
              </w:rPr>
            </w:pPr>
            <w:r w:rsidRPr="00BB15E2">
              <w:rPr>
                <w:color w:val="000000"/>
                <w:sz w:val="20"/>
                <w:szCs w:val="20"/>
              </w:rPr>
              <w:t>0.19</w:t>
            </w:r>
          </w:p>
        </w:tc>
        <w:tc>
          <w:tcPr>
            <w:tcW w:w="990" w:type="dxa"/>
            <w:tcBorders>
              <w:top w:val="nil"/>
              <w:left w:val="nil"/>
              <w:bottom w:val="nil"/>
              <w:right w:val="nil"/>
            </w:tcBorders>
            <w:shd w:val="clear" w:color="auto" w:fill="auto"/>
            <w:noWrap/>
            <w:vAlign w:val="bottom"/>
          </w:tcPr>
          <w:p w14:paraId="1AE15786" w14:textId="77777777" w:rsidR="004830BC" w:rsidRPr="00BB15E2" w:rsidRDefault="004830BC" w:rsidP="00B22915">
            <w:pPr>
              <w:jc w:val="center"/>
              <w:rPr>
                <w:color w:val="000000"/>
                <w:sz w:val="20"/>
                <w:szCs w:val="20"/>
              </w:rPr>
            </w:pPr>
            <w:r w:rsidRPr="00BB15E2">
              <w:rPr>
                <w:color w:val="000000"/>
                <w:sz w:val="20"/>
                <w:szCs w:val="20"/>
              </w:rPr>
              <w:t>0.46</w:t>
            </w:r>
          </w:p>
        </w:tc>
        <w:tc>
          <w:tcPr>
            <w:tcW w:w="270" w:type="dxa"/>
            <w:tcBorders>
              <w:top w:val="nil"/>
              <w:left w:val="nil"/>
              <w:bottom w:val="nil"/>
              <w:right w:val="nil"/>
            </w:tcBorders>
            <w:shd w:val="clear" w:color="auto" w:fill="auto"/>
            <w:noWrap/>
            <w:vAlign w:val="bottom"/>
          </w:tcPr>
          <w:p w14:paraId="38DE98A6"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tcPr>
          <w:p w14:paraId="4E92D7EB" w14:textId="77777777" w:rsidR="004830BC" w:rsidRPr="00BB15E2" w:rsidRDefault="004830BC" w:rsidP="00B22915">
            <w:pPr>
              <w:jc w:val="center"/>
              <w:rPr>
                <w:color w:val="000000"/>
                <w:sz w:val="20"/>
                <w:szCs w:val="20"/>
              </w:rPr>
            </w:pPr>
            <w:r w:rsidRPr="00BB15E2">
              <w:rPr>
                <w:color w:val="000000"/>
                <w:sz w:val="20"/>
                <w:szCs w:val="20"/>
              </w:rPr>
              <w:t>0.23</w:t>
            </w:r>
          </w:p>
        </w:tc>
        <w:tc>
          <w:tcPr>
            <w:tcW w:w="1080" w:type="dxa"/>
            <w:tcBorders>
              <w:top w:val="nil"/>
              <w:left w:val="nil"/>
              <w:bottom w:val="nil"/>
              <w:right w:val="nil"/>
            </w:tcBorders>
            <w:shd w:val="clear" w:color="auto" w:fill="auto"/>
            <w:noWrap/>
            <w:vAlign w:val="bottom"/>
          </w:tcPr>
          <w:p w14:paraId="72723460" w14:textId="77777777" w:rsidR="004830BC" w:rsidRPr="00BB15E2" w:rsidRDefault="004830BC" w:rsidP="00B22915">
            <w:pPr>
              <w:jc w:val="center"/>
              <w:rPr>
                <w:color w:val="000000"/>
                <w:sz w:val="20"/>
                <w:szCs w:val="20"/>
              </w:rPr>
            </w:pPr>
            <w:r w:rsidRPr="00BB15E2">
              <w:rPr>
                <w:color w:val="000000"/>
                <w:sz w:val="20"/>
                <w:szCs w:val="20"/>
              </w:rPr>
              <w:t>0.51</w:t>
            </w:r>
          </w:p>
        </w:tc>
      </w:tr>
      <w:tr w:rsidR="004830BC" w:rsidRPr="00BB15E2" w14:paraId="2D38659A" w14:textId="77777777" w:rsidTr="004830BC">
        <w:trPr>
          <w:trHeight w:val="300"/>
        </w:trPr>
        <w:tc>
          <w:tcPr>
            <w:tcW w:w="2430" w:type="dxa"/>
            <w:tcBorders>
              <w:top w:val="nil"/>
              <w:left w:val="nil"/>
              <w:bottom w:val="nil"/>
              <w:right w:val="nil"/>
            </w:tcBorders>
            <w:shd w:val="clear" w:color="auto" w:fill="auto"/>
            <w:noWrap/>
            <w:vAlign w:val="bottom"/>
          </w:tcPr>
          <w:p w14:paraId="24F54EA1" w14:textId="77777777" w:rsidR="004830BC" w:rsidRPr="00BB15E2" w:rsidRDefault="004830BC" w:rsidP="00B22915">
            <w:pPr>
              <w:rPr>
                <w:color w:val="000000"/>
                <w:sz w:val="20"/>
                <w:szCs w:val="20"/>
              </w:rPr>
            </w:pPr>
            <w:r w:rsidRPr="00BB15E2">
              <w:rPr>
                <w:color w:val="000000"/>
                <w:sz w:val="20"/>
                <w:szCs w:val="20"/>
              </w:rPr>
              <w:t xml:space="preserve">Days Suspended </w:t>
            </w:r>
            <w:r>
              <w:rPr>
                <w:color w:val="000000"/>
                <w:sz w:val="20"/>
                <w:szCs w:val="20"/>
              </w:rPr>
              <w:t>Gr 10</w:t>
            </w:r>
          </w:p>
        </w:tc>
        <w:tc>
          <w:tcPr>
            <w:tcW w:w="990" w:type="dxa"/>
            <w:tcBorders>
              <w:top w:val="nil"/>
              <w:left w:val="nil"/>
              <w:bottom w:val="nil"/>
              <w:right w:val="nil"/>
            </w:tcBorders>
            <w:shd w:val="clear" w:color="auto" w:fill="auto"/>
            <w:noWrap/>
            <w:vAlign w:val="bottom"/>
          </w:tcPr>
          <w:p w14:paraId="71D63E0B" w14:textId="77777777" w:rsidR="004830BC" w:rsidRPr="00BB15E2" w:rsidRDefault="004830BC" w:rsidP="00B22915">
            <w:pPr>
              <w:jc w:val="center"/>
              <w:rPr>
                <w:color w:val="000000"/>
                <w:sz w:val="20"/>
                <w:szCs w:val="20"/>
              </w:rPr>
            </w:pPr>
            <w:r w:rsidRPr="00BB15E2">
              <w:rPr>
                <w:color w:val="000000"/>
                <w:sz w:val="20"/>
                <w:szCs w:val="20"/>
              </w:rPr>
              <w:t>0.03</w:t>
            </w:r>
          </w:p>
        </w:tc>
        <w:tc>
          <w:tcPr>
            <w:tcW w:w="990" w:type="dxa"/>
            <w:tcBorders>
              <w:top w:val="nil"/>
              <w:left w:val="nil"/>
              <w:bottom w:val="nil"/>
              <w:right w:val="nil"/>
            </w:tcBorders>
            <w:shd w:val="clear" w:color="auto" w:fill="auto"/>
            <w:noWrap/>
            <w:vAlign w:val="bottom"/>
          </w:tcPr>
          <w:p w14:paraId="431717BE" w14:textId="77777777" w:rsidR="004830BC" w:rsidRPr="00BB15E2" w:rsidRDefault="004830BC" w:rsidP="00B22915">
            <w:pPr>
              <w:jc w:val="center"/>
              <w:rPr>
                <w:color w:val="000000"/>
                <w:sz w:val="20"/>
                <w:szCs w:val="20"/>
              </w:rPr>
            </w:pPr>
            <w:r w:rsidRPr="00BB15E2">
              <w:rPr>
                <w:color w:val="000000"/>
                <w:sz w:val="20"/>
                <w:szCs w:val="20"/>
              </w:rPr>
              <w:t>0.32</w:t>
            </w:r>
          </w:p>
        </w:tc>
        <w:tc>
          <w:tcPr>
            <w:tcW w:w="270" w:type="dxa"/>
            <w:tcBorders>
              <w:top w:val="nil"/>
              <w:left w:val="nil"/>
              <w:bottom w:val="nil"/>
              <w:right w:val="nil"/>
            </w:tcBorders>
            <w:shd w:val="clear" w:color="auto" w:fill="auto"/>
            <w:noWrap/>
            <w:vAlign w:val="bottom"/>
          </w:tcPr>
          <w:p w14:paraId="7EA3BB81" w14:textId="77777777" w:rsidR="004830BC" w:rsidRPr="00BB15E2" w:rsidRDefault="004830BC" w:rsidP="00B22915">
            <w:pPr>
              <w:jc w:val="center"/>
              <w:rPr>
                <w:color w:val="000000"/>
                <w:sz w:val="20"/>
                <w:szCs w:val="20"/>
              </w:rPr>
            </w:pPr>
            <w:r w:rsidRPr="00BB15E2">
              <w:rPr>
                <w:color w:val="000000"/>
                <w:sz w:val="20"/>
                <w:szCs w:val="20"/>
              </w:rPr>
              <w:t> </w:t>
            </w:r>
          </w:p>
        </w:tc>
        <w:tc>
          <w:tcPr>
            <w:tcW w:w="990" w:type="dxa"/>
            <w:tcBorders>
              <w:top w:val="nil"/>
              <w:left w:val="nil"/>
              <w:bottom w:val="nil"/>
              <w:right w:val="nil"/>
            </w:tcBorders>
            <w:shd w:val="clear" w:color="auto" w:fill="auto"/>
            <w:noWrap/>
            <w:vAlign w:val="bottom"/>
          </w:tcPr>
          <w:p w14:paraId="6A5D3D05" w14:textId="77777777" w:rsidR="004830BC" w:rsidRPr="00BB15E2" w:rsidRDefault="004830BC" w:rsidP="00B22915">
            <w:pPr>
              <w:jc w:val="center"/>
              <w:rPr>
                <w:color w:val="000000"/>
                <w:sz w:val="20"/>
                <w:szCs w:val="20"/>
              </w:rPr>
            </w:pPr>
            <w:r w:rsidRPr="00BB15E2">
              <w:rPr>
                <w:color w:val="000000"/>
                <w:sz w:val="20"/>
                <w:szCs w:val="20"/>
              </w:rPr>
              <w:t>0.08</w:t>
            </w:r>
          </w:p>
        </w:tc>
        <w:tc>
          <w:tcPr>
            <w:tcW w:w="900" w:type="dxa"/>
            <w:tcBorders>
              <w:top w:val="nil"/>
              <w:left w:val="nil"/>
              <w:bottom w:val="nil"/>
              <w:right w:val="nil"/>
            </w:tcBorders>
            <w:shd w:val="clear" w:color="auto" w:fill="auto"/>
            <w:noWrap/>
            <w:vAlign w:val="bottom"/>
          </w:tcPr>
          <w:p w14:paraId="15FADE15" w14:textId="77777777" w:rsidR="004830BC" w:rsidRPr="00BB15E2" w:rsidRDefault="004830BC" w:rsidP="00B22915">
            <w:pPr>
              <w:jc w:val="center"/>
              <w:rPr>
                <w:color w:val="000000"/>
                <w:sz w:val="20"/>
                <w:szCs w:val="20"/>
              </w:rPr>
            </w:pPr>
            <w:r w:rsidRPr="00BB15E2">
              <w:rPr>
                <w:color w:val="000000"/>
                <w:sz w:val="20"/>
                <w:szCs w:val="20"/>
              </w:rPr>
              <w:t>0.56</w:t>
            </w:r>
          </w:p>
        </w:tc>
        <w:tc>
          <w:tcPr>
            <w:tcW w:w="270" w:type="dxa"/>
            <w:tcBorders>
              <w:top w:val="nil"/>
              <w:left w:val="nil"/>
              <w:bottom w:val="nil"/>
              <w:right w:val="nil"/>
            </w:tcBorders>
            <w:shd w:val="clear" w:color="auto" w:fill="auto"/>
            <w:noWrap/>
            <w:vAlign w:val="bottom"/>
          </w:tcPr>
          <w:p w14:paraId="6570CEC3" w14:textId="77777777" w:rsidR="004830BC" w:rsidRPr="00BB15E2" w:rsidRDefault="004830BC" w:rsidP="00B22915">
            <w:pPr>
              <w:jc w:val="center"/>
              <w:rPr>
                <w:color w:val="000000"/>
                <w:sz w:val="20"/>
                <w:szCs w:val="20"/>
              </w:rPr>
            </w:pPr>
            <w:r w:rsidRPr="00BB15E2">
              <w:rPr>
                <w:color w:val="000000"/>
                <w:sz w:val="20"/>
                <w:szCs w:val="20"/>
              </w:rPr>
              <w:t> </w:t>
            </w:r>
          </w:p>
        </w:tc>
        <w:tc>
          <w:tcPr>
            <w:tcW w:w="1080" w:type="dxa"/>
            <w:tcBorders>
              <w:top w:val="nil"/>
              <w:left w:val="nil"/>
              <w:bottom w:val="nil"/>
              <w:right w:val="nil"/>
            </w:tcBorders>
            <w:shd w:val="clear" w:color="auto" w:fill="auto"/>
            <w:noWrap/>
            <w:vAlign w:val="bottom"/>
          </w:tcPr>
          <w:p w14:paraId="33B8F318" w14:textId="77777777" w:rsidR="004830BC" w:rsidRPr="00BB15E2" w:rsidRDefault="004830BC" w:rsidP="00B22915">
            <w:pPr>
              <w:jc w:val="center"/>
              <w:rPr>
                <w:color w:val="000000"/>
                <w:sz w:val="20"/>
                <w:szCs w:val="20"/>
              </w:rPr>
            </w:pPr>
            <w:r w:rsidRPr="00BB15E2">
              <w:rPr>
                <w:color w:val="000000"/>
                <w:sz w:val="20"/>
                <w:szCs w:val="20"/>
              </w:rPr>
              <w:t>0.04</w:t>
            </w:r>
          </w:p>
        </w:tc>
        <w:tc>
          <w:tcPr>
            <w:tcW w:w="1080" w:type="dxa"/>
            <w:tcBorders>
              <w:top w:val="nil"/>
              <w:left w:val="nil"/>
              <w:bottom w:val="nil"/>
              <w:right w:val="nil"/>
            </w:tcBorders>
            <w:shd w:val="clear" w:color="auto" w:fill="auto"/>
            <w:noWrap/>
            <w:vAlign w:val="bottom"/>
          </w:tcPr>
          <w:p w14:paraId="5952BAE8" w14:textId="77777777" w:rsidR="004830BC" w:rsidRPr="00BB15E2" w:rsidRDefault="004830BC" w:rsidP="00B22915">
            <w:pPr>
              <w:jc w:val="center"/>
              <w:rPr>
                <w:color w:val="000000"/>
                <w:sz w:val="20"/>
                <w:szCs w:val="20"/>
              </w:rPr>
            </w:pPr>
            <w:r w:rsidRPr="00BB15E2">
              <w:rPr>
                <w:color w:val="000000"/>
                <w:sz w:val="20"/>
                <w:szCs w:val="20"/>
              </w:rPr>
              <w:t>0.49</w:t>
            </w:r>
          </w:p>
        </w:tc>
        <w:tc>
          <w:tcPr>
            <w:tcW w:w="270" w:type="dxa"/>
            <w:tcBorders>
              <w:top w:val="nil"/>
              <w:left w:val="nil"/>
              <w:bottom w:val="nil"/>
              <w:right w:val="nil"/>
            </w:tcBorders>
            <w:shd w:val="clear" w:color="auto" w:fill="auto"/>
            <w:noWrap/>
            <w:vAlign w:val="bottom"/>
          </w:tcPr>
          <w:p w14:paraId="086B4330" w14:textId="77777777" w:rsidR="004830BC" w:rsidRPr="00BB15E2" w:rsidRDefault="004830BC" w:rsidP="00B22915">
            <w:pPr>
              <w:jc w:val="center"/>
              <w:rPr>
                <w:color w:val="000000"/>
                <w:sz w:val="20"/>
                <w:szCs w:val="20"/>
              </w:rPr>
            </w:pPr>
            <w:r w:rsidRPr="00BB15E2">
              <w:rPr>
                <w:color w:val="000000"/>
                <w:sz w:val="20"/>
                <w:szCs w:val="20"/>
              </w:rPr>
              <w:t> </w:t>
            </w:r>
          </w:p>
        </w:tc>
        <w:tc>
          <w:tcPr>
            <w:tcW w:w="990" w:type="dxa"/>
            <w:tcBorders>
              <w:top w:val="nil"/>
              <w:left w:val="nil"/>
              <w:bottom w:val="nil"/>
              <w:right w:val="nil"/>
            </w:tcBorders>
            <w:shd w:val="clear" w:color="auto" w:fill="auto"/>
            <w:noWrap/>
            <w:vAlign w:val="bottom"/>
          </w:tcPr>
          <w:p w14:paraId="15FD370C" w14:textId="77777777" w:rsidR="004830BC" w:rsidRPr="00BB15E2" w:rsidRDefault="004830BC" w:rsidP="00B22915">
            <w:pPr>
              <w:jc w:val="center"/>
              <w:rPr>
                <w:color w:val="000000"/>
                <w:sz w:val="20"/>
                <w:szCs w:val="20"/>
              </w:rPr>
            </w:pPr>
            <w:r w:rsidRPr="00BB15E2">
              <w:rPr>
                <w:color w:val="000000"/>
                <w:sz w:val="20"/>
                <w:szCs w:val="20"/>
              </w:rPr>
              <w:t>0.04</w:t>
            </w:r>
          </w:p>
        </w:tc>
        <w:tc>
          <w:tcPr>
            <w:tcW w:w="990" w:type="dxa"/>
            <w:tcBorders>
              <w:top w:val="nil"/>
              <w:left w:val="nil"/>
              <w:bottom w:val="nil"/>
              <w:right w:val="nil"/>
            </w:tcBorders>
            <w:shd w:val="clear" w:color="auto" w:fill="auto"/>
            <w:noWrap/>
            <w:vAlign w:val="bottom"/>
          </w:tcPr>
          <w:p w14:paraId="2E357A16" w14:textId="77777777" w:rsidR="004830BC" w:rsidRPr="00BB15E2" w:rsidRDefault="004830BC" w:rsidP="00B22915">
            <w:pPr>
              <w:jc w:val="center"/>
              <w:rPr>
                <w:color w:val="000000"/>
                <w:sz w:val="20"/>
                <w:szCs w:val="20"/>
              </w:rPr>
            </w:pPr>
            <w:r w:rsidRPr="00BB15E2">
              <w:rPr>
                <w:color w:val="000000"/>
                <w:sz w:val="20"/>
                <w:szCs w:val="20"/>
              </w:rPr>
              <w:t>0.44</w:t>
            </w:r>
          </w:p>
        </w:tc>
        <w:tc>
          <w:tcPr>
            <w:tcW w:w="270" w:type="dxa"/>
            <w:tcBorders>
              <w:top w:val="nil"/>
              <w:left w:val="nil"/>
              <w:bottom w:val="nil"/>
              <w:right w:val="nil"/>
            </w:tcBorders>
            <w:shd w:val="clear" w:color="auto" w:fill="auto"/>
            <w:noWrap/>
            <w:vAlign w:val="bottom"/>
          </w:tcPr>
          <w:p w14:paraId="1E6BD9FE" w14:textId="77777777" w:rsidR="004830BC" w:rsidRPr="00BB15E2" w:rsidRDefault="004830BC" w:rsidP="00B22915">
            <w:pPr>
              <w:jc w:val="center"/>
              <w:rPr>
                <w:color w:val="000000"/>
                <w:sz w:val="20"/>
                <w:szCs w:val="20"/>
              </w:rPr>
            </w:pPr>
            <w:r w:rsidRPr="00BB15E2">
              <w:rPr>
                <w:color w:val="000000"/>
                <w:sz w:val="20"/>
                <w:szCs w:val="20"/>
              </w:rPr>
              <w:t> </w:t>
            </w:r>
          </w:p>
        </w:tc>
        <w:tc>
          <w:tcPr>
            <w:tcW w:w="990" w:type="dxa"/>
            <w:tcBorders>
              <w:top w:val="nil"/>
              <w:left w:val="nil"/>
              <w:bottom w:val="nil"/>
              <w:right w:val="nil"/>
            </w:tcBorders>
            <w:shd w:val="clear" w:color="auto" w:fill="auto"/>
            <w:noWrap/>
            <w:vAlign w:val="bottom"/>
          </w:tcPr>
          <w:p w14:paraId="2A96AFC1" w14:textId="77777777" w:rsidR="004830BC" w:rsidRPr="00BB15E2" w:rsidRDefault="004830BC" w:rsidP="00B22915">
            <w:pPr>
              <w:jc w:val="center"/>
              <w:rPr>
                <w:color w:val="000000"/>
                <w:sz w:val="20"/>
                <w:szCs w:val="20"/>
              </w:rPr>
            </w:pPr>
            <w:r w:rsidRPr="00BB15E2">
              <w:rPr>
                <w:color w:val="000000"/>
                <w:sz w:val="20"/>
                <w:szCs w:val="20"/>
              </w:rPr>
              <w:t>0.05</w:t>
            </w:r>
          </w:p>
        </w:tc>
        <w:tc>
          <w:tcPr>
            <w:tcW w:w="1080" w:type="dxa"/>
            <w:tcBorders>
              <w:top w:val="nil"/>
              <w:left w:val="nil"/>
              <w:bottom w:val="nil"/>
              <w:right w:val="nil"/>
            </w:tcBorders>
            <w:shd w:val="clear" w:color="auto" w:fill="auto"/>
            <w:noWrap/>
            <w:vAlign w:val="bottom"/>
          </w:tcPr>
          <w:p w14:paraId="71E147B7" w14:textId="77777777" w:rsidR="004830BC" w:rsidRPr="00BB15E2" w:rsidRDefault="004830BC" w:rsidP="00B22915">
            <w:pPr>
              <w:jc w:val="center"/>
              <w:rPr>
                <w:color w:val="000000"/>
                <w:sz w:val="20"/>
                <w:szCs w:val="20"/>
              </w:rPr>
            </w:pPr>
            <w:r w:rsidRPr="00BB15E2">
              <w:rPr>
                <w:color w:val="000000"/>
                <w:sz w:val="20"/>
                <w:szCs w:val="20"/>
              </w:rPr>
              <w:t>0.47</w:t>
            </w:r>
          </w:p>
        </w:tc>
      </w:tr>
      <w:tr w:rsidR="004830BC" w:rsidRPr="00BB15E2" w14:paraId="27ADC1EA" w14:textId="77777777" w:rsidTr="004830BC">
        <w:trPr>
          <w:trHeight w:val="300"/>
        </w:trPr>
        <w:tc>
          <w:tcPr>
            <w:tcW w:w="2430" w:type="dxa"/>
            <w:tcBorders>
              <w:top w:val="nil"/>
              <w:left w:val="nil"/>
              <w:bottom w:val="nil"/>
              <w:right w:val="nil"/>
            </w:tcBorders>
            <w:shd w:val="clear" w:color="auto" w:fill="auto"/>
            <w:noWrap/>
            <w:vAlign w:val="bottom"/>
            <w:hideMark/>
          </w:tcPr>
          <w:p w14:paraId="679E89BA" w14:textId="02925DFC" w:rsidR="004830BC" w:rsidRPr="00BB15E2" w:rsidRDefault="004830BC" w:rsidP="00B22915">
            <w:pPr>
              <w:rPr>
                <w:color w:val="000000"/>
                <w:sz w:val="20"/>
                <w:szCs w:val="20"/>
              </w:rPr>
            </w:pPr>
            <w:r>
              <w:rPr>
                <w:color w:val="000000"/>
                <w:sz w:val="20"/>
                <w:szCs w:val="20"/>
              </w:rPr>
              <w:t xml:space="preserve">Current </w:t>
            </w:r>
            <w:r w:rsidRPr="00BB15E2">
              <w:rPr>
                <w:color w:val="000000"/>
                <w:sz w:val="20"/>
                <w:szCs w:val="20"/>
              </w:rPr>
              <w:t>EL (</w:t>
            </w:r>
            <w:r>
              <w:rPr>
                <w:color w:val="000000"/>
                <w:sz w:val="20"/>
                <w:szCs w:val="20"/>
              </w:rPr>
              <w:t>Gr 6+ Entry</w:t>
            </w:r>
            <w:r w:rsidRPr="00BB15E2">
              <w:rPr>
                <w:color w:val="000000"/>
                <w:sz w:val="20"/>
                <w:szCs w:val="20"/>
              </w:rPr>
              <w:t>)</w:t>
            </w:r>
          </w:p>
        </w:tc>
        <w:tc>
          <w:tcPr>
            <w:tcW w:w="990" w:type="dxa"/>
            <w:tcBorders>
              <w:top w:val="nil"/>
              <w:left w:val="nil"/>
              <w:bottom w:val="nil"/>
              <w:right w:val="nil"/>
            </w:tcBorders>
            <w:shd w:val="clear" w:color="auto" w:fill="auto"/>
            <w:noWrap/>
            <w:vAlign w:val="bottom"/>
            <w:hideMark/>
          </w:tcPr>
          <w:p w14:paraId="48169B08" w14:textId="77777777" w:rsidR="004830BC" w:rsidRPr="00BB15E2" w:rsidRDefault="004830BC" w:rsidP="00B22915">
            <w:pPr>
              <w:jc w:val="center"/>
              <w:rPr>
                <w:color w:val="000000"/>
                <w:sz w:val="20"/>
                <w:szCs w:val="20"/>
              </w:rPr>
            </w:pPr>
            <w:r w:rsidRPr="00BB15E2">
              <w:rPr>
                <w:color w:val="000000"/>
                <w:sz w:val="20"/>
                <w:szCs w:val="20"/>
              </w:rPr>
              <w:t>0.34</w:t>
            </w:r>
          </w:p>
        </w:tc>
        <w:tc>
          <w:tcPr>
            <w:tcW w:w="990" w:type="dxa"/>
            <w:tcBorders>
              <w:top w:val="nil"/>
              <w:left w:val="nil"/>
              <w:bottom w:val="nil"/>
              <w:right w:val="nil"/>
            </w:tcBorders>
            <w:shd w:val="clear" w:color="auto" w:fill="auto"/>
            <w:noWrap/>
            <w:vAlign w:val="bottom"/>
            <w:hideMark/>
          </w:tcPr>
          <w:p w14:paraId="2646626A" w14:textId="77777777" w:rsidR="004830BC" w:rsidRPr="00BB15E2" w:rsidRDefault="004830BC" w:rsidP="00B22915">
            <w:pPr>
              <w:jc w:val="center"/>
              <w:rPr>
                <w:color w:val="000000"/>
                <w:sz w:val="20"/>
                <w:szCs w:val="20"/>
              </w:rPr>
            </w:pPr>
            <w:r w:rsidRPr="00BB15E2">
              <w:rPr>
                <w:color w:val="000000"/>
                <w:sz w:val="20"/>
                <w:szCs w:val="20"/>
              </w:rPr>
              <w:t>0.47</w:t>
            </w:r>
          </w:p>
        </w:tc>
        <w:tc>
          <w:tcPr>
            <w:tcW w:w="270" w:type="dxa"/>
            <w:tcBorders>
              <w:top w:val="nil"/>
              <w:left w:val="nil"/>
              <w:bottom w:val="nil"/>
              <w:right w:val="nil"/>
            </w:tcBorders>
            <w:shd w:val="clear" w:color="auto" w:fill="auto"/>
            <w:noWrap/>
            <w:vAlign w:val="bottom"/>
            <w:hideMark/>
          </w:tcPr>
          <w:p w14:paraId="59CA691B"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452F2087" w14:textId="77777777" w:rsidR="004830BC" w:rsidRPr="00BB15E2" w:rsidRDefault="004830BC" w:rsidP="00B22915">
            <w:pPr>
              <w:jc w:val="center"/>
              <w:rPr>
                <w:color w:val="000000"/>
                <w:sz w:val="20"/>
                <w:szCs w:val="20"/>
              </w:rPr>
            </w:pPr>
            <w:r w:rsidRPr="00BB15E2">
              <w:rPr>
                <w:color w:val="000000"/>
                <w:sz w:val="20"/>
                <w:szCs w:val="20"/>
              </w:rPr>
              <w:t>0.36</w:t>
            </w:r>
          </w:p>
        </w:tc>
        <w:tc>
          <w:tcPr>
            <w:tcW w:w="900" w:type="dxa"/>
            <w:tcBorders>
              <w:top w:val="nil"/>
              <w:left w:val="nil"/>
              <w:bottom w:val="nil"/>
              <w:right w:val="nil"/>
            </w:tcBorders>
            <w:shd w:val="clear" w:color="auto" w:fill="auto"/>
            <w:noWrap/>
            <w:vAlign w:val="bottom"/>
            <w:hideMark/>
          </w:tcPr>
          <w:p w14:paraId="3BFFAE37" w14:textId="77777777" w:rsidR="004830BC" w:rsidRPr="00BB15E2" w:rsidRDefault="004830BC" w:rsidP="00B22915">
            <w:pPr>
              <w:jc w:val="center"/>
              <w:rPr>
                <w:color w:val="000000"/>
                <w:sz w:val="20"/>
                <w:szCs w:val="20"/>
              </w:rPr>
            </w:pPr>
            <w:r w:rsidRPr="00BB15E2">
              <w:rPr>
                <w:color w:val="000000"/>
                <w:sz w:val="20"/>
                <w:szCs w:val="20"/>
              </w:rPr>
              <w:t>0.48</w:t>
            </w:r>
          </w:p>
        </w:tc>
        <w:tc>
          <w:tcPr>
            <w:tcW w:w="270" w:type="dxa"/>
            <w:tcBorders>
              <w:top w:val="nil"/>
              <w:left w:val="nil"/>
              <w:bottom w:val="nil"/>
              <w:right w:val="nil"/>
            </w:tcBorders>
            <w:shd w:val="clear" w:color="auto" w:fill="auto"/>
            <w:noWrap/>
            <w:vAlign w:val="bottom"/>
            <w:hideMark/>
          </w:tcPr>
          <w:p w14:paraId="42479C0D"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503A71F8" w14:textId="77777777" w:rsidR="004830BC" w:rsidRPr="00BB15E2" w:rsidRDefault="004830BC" w:rsidP="00B22915">
            <w:pPr>
              <w:jc w:val="center"/>
              <w:rPr>
                <w:color w:val="000000"/>
                <w:sz w:val="20"/>
                <w:szCs w:val="20"/>
              </w:rPr>
            </w:pPr>
            <w:r w:rsidRPr="00BB15E2">
              <w:rPr>
                <w:color w:val="000000"/>
                <w:sz w:val="20"/>
                <w:szCs w:val="20"/>
              </w:rPr>
              <w:t>0.08</w:t>
            </w:r>
          </w:p>
        </w:tc>
        <w:tc>
          <w:tcPr>
            <w:tcW w:w="1080" w:type="dxa"/>
            <w:tcBorders>
              <w:top w:val="nil"/>
              <w:left w:val="nil"/>
              <w:bottom w:val="nil"/>
              <w:right w:val="nil"/>
            </w:tcBorders>
            <w:shd w:val="clear" w:color="auto" w:fill="auto"/>
            <w:noWrap/>
            <w:vAlign w:val="bottom"/>
            <w:hideMark/>
          </w:tcPr>
          <w:p w14:paraId="6D33095D" w14:textId="77777777" w:rsidR="004830BC" w:rsidRPr="00BB15E2" w:rsidRDefault="004830BC" w:rsidP="00B22915">
            <w:pPr>
              <w:jc w:val="center"/>
              <w:rPr>
                <w:color w:val="000000"/>
                <w:sz w:val="20"/>
                <w:szCs w:val="20"/>
              </w:rPr>
            </w:pPr>
            <w:r w:rsidRPr="00BB15E2">
              <w:rPr>
                <w:color w:val="000000"/>
                <w:sz w:val="20"/>
                <w:szCs w:val="20"/>
              </w:rPr>
              <w:t>0.27</w:t>
            </w:r>
          </w:p>
        </w:tc>
        <w:tc>
          <w:tcPr>
            <w:tcW w:w="270" w:type="dxa"/>
            <w:tcBorders>
              <w:top w:val="nil"/>
              <w:left w:val="nil"/>
              <w:bottom w:val="nil"/>
              <w:right w:val="nil"/>
            </w:tcBorders>
            <w:shd w:val="clear" w:color="auto" w:fill="auto"/>
            <w:noWrap/>
            <w:vAlign w:val="bottom"/>
            <w:hideMark/>
          </w:tcPr>
          <w:p w14:paraId="11F684A6"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394B83A9" w14:textId="77777777" w:rsidR="004830BC" w:rsidRPr="00BB15E2" w:rsidRDefault="004830BC" w:rsidP="00B22915">
            <w:pPr>
              <w:jc w:val="center"/>
              <w:rPr>
                <w:color w:val="000000"/>
                <w:sz w:val="20"/>
                <w:szCs w:val="20"/>
              </w:rPr>
            </w:pPr>
            <w:r w:rsidRPr="00BB15E2">
              <w:rPr>
                <w:color w:val="000000"/>
                <w:sz w:val="20"/>
                <w:szCs w:val="20"/>
              </w:rPr>
              <w:t>0.08</w:t>
            </w:r>
          </w:p>
        </w:tc>
        <w:tc>
          <w:tcPr>
            <w:tcW w:w="990" w:type="dxa"/>
            <w:tcBorders>
              <w:top w:val="nil"/>
              <w:left w:val="nil"/>
              <w:bottom w:val="nil"/>
              <w:right w:val="nil"/>
            </w:tcBorders>
            <w:shd w:val="clear" w:color="auto" w:fill="auto"/>
            <w:noWrap/>
            <w:vAlign w:val="bottom"/>
            <w:hideMark/>
          </w:tcPr>
          <w:p w14:paraId="2106BC71" w14:textId="77777777" w:rsidR="004830BC" w:rsidRPr="00BB15E2" w:rsidRDefault="004830BC" w:rsidP="00B22915">
            <w:pPr>
              <w:jc w:val="center"/>
              <w:rPr>
                <w:color w:val="000000"/>
                <w:sz w:val="20"/>
                <w:szCs w:val="20"/>
              </w:rPr>
            </w:pPr>
            <w:r w:rsidRPr="00BB15E2">
              <w:rPr>
                <w:color w:val="000000"/>
                <w:sz w:val="20"/>
                <w:szCs w:val="20"/>
              </w:rPr>
              <w:t>0.28</w:t>
            </w:r>
          </w:p>
        </w:tc>
        <w:tc>
          <w:tcPr>
            <w:tcW w:w="270" w:type="dxa"/>
            <w:tcBorders>
              <w:top w:val="nil"/>
              <w:left w:val="nil"/>
              <w:bottom w:val="nil"/>
              <w:right w:val="nil"/>
            </w:tcBorders>
            <w:shd w:val="clear" w:color="auto" w:fill="auto"/>
            <w:noWrap/>
            <w:vAlign w:val="bottom"/>
            <w:hideMark/>
          </w:tcPr>
          <w:p w14:paraId="0B2DE75C"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7B115BAE" w14:textId="77777777" w:rsidR="004830BC" w:rsidRPr="00BB15E2" w:rsidRDefault="004830BC" w:rsidP="00B22915">
            <w:pPr>
              <w:jc w:val="center"/>
              <w:rPr>
                <w:color w:val="000000"/>
                <w:sz w:val="20"/>
                <w:szCs w:val="20"/>
              </w:rPr>
            </w:pPr>
            <w:r w:rsidRPr="00BB15E2">
              <w:rPr>
                <w:color w:val="000000"/>
                <w:sz w:val="20"/>
                <w:szCs w:val="20"/>
              </w:rPr>
              <w:t>0.11</w:t>
            </w:r>
          </w:p>
        </w:tc>
        <w:tc>
          <w:tcPr>
            <w:tcW w:w="1080" w:type="dxa"/>
            <w:tcBorders>
              <w:top w:val="nil"/>
              <w:left w:val="nil"/>
              <w:bottom w:val="nil"/>
              <w:right w:val="nil"/>
            </w:tcBorders>
            <w:shd w:val="clear" w:color="auto" w:fill="auto"/>
            <w:noWrap/>
            <w:vAlign w:val="bottom"/>
            <w:hideMark/>
          </w:tcPr>
          <w:p w14:paraId="63F7294E" w14:textId="77777777" w:rsidR="004830BC" w:rsidRPr="00BB15E2" w:rsidRDefault="004830BC" w:rsidP="00B22915">
            <w:pPr>
              <w:jc w:val="center"/>
              <w:rPr>
                <w:color w:val="000000"/>
                <w:sz w:val="20"/>
                <w:szCs w:val="20"/>
              </w:rPr>
            </w:pPr>
            <w:r w:rsidRPr="00BB15E2">
              <w:rPr>
                <w:color w:val="000000"/>
                <w:sz w:val="20"/>
                <w:szCs w:val="20"/>
              </w:rPr>
              <w:t>0.31</w:t>
            </w:r>
          </w:p>
        </w:tc>
      </w:tr>
      <w:tr w:rsidR="004830BC" w:rsidRPr="00BB15E2" w14:paraId="1A854BD3" w14:textId="77777777" w:rsidTr="004830BC">
        <w:trPr>
          <w:trHeight w:val="300"/>
        </w:trPr>
        <w:tc>
          <w:tcPr>
            <w:tcW w:w="2430" w:type="dxa"/>
            <w:tcBorders>
              <w:top w:val="nil"/>
              <w:left w:val="nil"/>
              <w:bottom w:val="nil"/>
              <w:right w:val="nil"/>
            </w:tcBorders>
            <w:shd w:val="clear" w:color="auto" w:fill="auto"/>
            <w:noWrap/>
            <w:vAlign w:val="bottom"/>
            <w:hideMark/>
          </w:tcPr>
          <w:p w14:paraId="4FF4F437" w14:textId="7918A876" w:rsidR="004830BC" w:rsidRPr="00BB15E2" w:rsidRDefault="004830BC" w:rsidP="00B22915">
            <w:pPr>
              <w:rPr>
                <w:color w:val="000000"/>
                <w:sz w:val="20"/>
                <w:szCs w:val="20"/>
              </w:rPr>
            </w:pPr>
            <w:r>
              <w:rPr>
                <w:color w:val="000000"/>
                <w:sz w:val="20"/>
                <w:szCs w:val="20"/>
              </w:rPr>
              <w:t xml:space="preserve">Current </w:t>
            </w:r>
            <w:r w:rsidRPr="00BB15E2">
              <w:rPr>
                <w:color w:val="000000"/>
                <w:sz w:val="20"/>
                <w:szCs w:val="20"/>
              </w:rPr>
              <w:t>EL (</w:t>
            </w:r>
            <w:r>
              <w:rPr>
                <w:color w:val="000000"/>
                <w:sz w:val="20"/>
                <w:szCs w:val="20"/>
              </w:rPr>
              <w:t xml:space="preserve">Gr </w:t>
            </w:r>
            <w:r w:rsidRPr="00BB15E2">
              <w:rPr>
                <w:color w:val="000000"/>
                <w:sz w:val="20"/>
                <w:szCs w:val="20"/>
              </w:rPr>
              <w:t>2-5</w:t>
            </w:r>
            <w:r>
              <w:rPr>
                <w:color w:val="000000"/>
                <w:sz w:val="20"/>
                <w:szCs w:val="20"/>
              </w:rPr>
              <w:t xml:space="preserve"> Entry</w:t>
            </w:r>
            <w:r w:rsidRPr="00BB15E2">
              <w:rPr>
                <w:color w:val="000000"/>
                <w:sz w:val="20"/>
                <w:szCs w:val="20"/>
              </w:rPr>
              <w:t>)</w:t>
            </w:r>
          </w:p>
        </w:tc>
        <w:tc>
          <w:tcPr>
            <w:tcW w:w="990" w:type="dxa"/>
            <w:tcBorders>
              <w:top w:val="nil"/>
              <w:left w:val="nil"/>
              <w:bottom w:val="nil"/>
              <w:right w:val="nil"/>
            </w:tcBorders>
            <w:shd w:val="clear" w:color="auto" w:fill="auto"/>
            <w:noWrap/>
            <w:vAlign w:val="bottom"/>
            <w:hideMark/>
          </w:tcPr>
          <w:p w14:paraId="0349C364" w14:textId="77777777" w:rsidR="004830BC" w:rsidRPr="00BB15E2" w:rsidRDefault="004830BC" w:rsidP="00B22915">
            <w:pPr>
              <w:jc w:val="center"/>
              <w:rPr>
                <w:color w:val="000000"/>
                <w:sz w:val="20"/>
                <w:szCs w:val="20"/>
              </w:rPr>
            </w:pPr>
            <w:r w:rsidRPr="00BB15E2">
              <w:rPr>
                <w:color w:val="000000"/>
                <w:sz w:val="20"/>
                <w:szCs w:val="20"/>
              </w:rPr>
              <w:t>0.07</w:t>
            </w:r>
          </w:p>
        </w:tc>
        <w:tc>
          <w:tcPr>
            <w:tcW w:w="990" w:type="dxa"/>
            <w:tcBorders>
              <w:top w:val="nil"/>
              <w:left w:val="nil"/>
              <w:bottom w:val="nil"/>
              <w:right w:val="nil"/>
            </w:tcBorders>
            <w:shd w:val="clear" w:color="auto" w:fill="auto"/>
            <w:noWrap/>
            <w:vAlign w:val="bottom"/>
            <w:hideMark/>
          </w:tcPr>
          <w:p w14:paraId="3FD98BE6" w14:textId="77777777" w:rsidR="004830BC" w:rsidRPr="00BB15E2" w:rsidRDefault="004830BC" w:rsidP="00B22915">
            <w:pPr>
              <w:jc w:val="center"/>
              <w:rPr>
                <w:color w:val="000000"/>
                <w:sz w:val="20"/>
                <w:szCs w:val="20"/>
              </w:rPr>
            </w:pPr>
            <w:r w:rsidRPr="00BB15E2">
              <w:rPr>
                <w:color w:val="000000"/>
                <w:sz w:val="20"/>
                <w:szCs w:val="20"/>
              </w:rPr>
              <w:t>0.26</w:t>
            </w:r>
          </w:p>
        </w:tc>
        <w:tc>
          <w:tcPr>
            <w:tcW w:w="270" w:type="dxa"/>
            <w:tcBorders>
              <w:top w:val="nil"/>
              <w:left w:val="nil"/>
              <w:bottom w:val="nil"/>
              <w:right w:val="nil"/>
            </w:tcBorders>
            <w:shd w:val="clear" w:color="auto" w:fill="auto"/>
            <w:noWrap/>
            <w:vAlign w:val="bottom"/>
            <w:hideMark/>
          </w:tcPr>
          <w:p w14:paraId="748BB22E"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E3F93B6" w14:textId="77777777" w:rsidR="004830BC" w:rsidRPr="00BB15E2" w:rsidRDefault="004830BC" w:rsidP="00B22915">
            <w:pPr>
              <w:jc w:val="center"/>
              <w:rPr>
                <w:color w:val="000000"/>
                <w:sz w:val="20"/>
                <w:szCs w:val="20"/>
              </w:rPr>
            </w:pPr>
            <w:r w:rsidRPr="00BB15E2">
              <w:rPr>
                <w:color w:val="000000"/>
                <w:sz w:val="20"/>
                <w:szCs w:val="20"/>
              </w:rPr>
              <w:t>0.08</w:t>
            </w:r>
          </w:p>
        </w:tc>
        <w:tc>
          <w:tcPr>
            <w:tcW w:w="900" w:type="dxa"/>
            <w:tcBorders>
              <w:top w:val="nil"/>
              <w:left w:val="nil"/>
              <w:bottom w:val="nil"/>
              <w:right w:val="nil"/>
            </w:tcBorders>
            <w:shd w:val="clear" w:color="auto" w:fill="auto"/>
            <w:noWrap/>
            <w:vAlign w:val="bottom"/>
            <w:hideMark/>
          </w:tcPr>
          <w:p w14:paraId="5812707A" w14:textId="77777777" w:rsidR="004830BC" w:rsidRPr="00BB15E2" w:rsidRDefault="004830BC" w:rsidP="00B22915">
            <w:pPr>
              <w:jc w:val="center"/>
              <w:rPr>
                <w:color w:val="000000"/>
                <w:sz w:val="20"/>
                <w:szCs w:val="20"/>
              </w:rPr>
            </w:pPr>
            <w:r w:rsidRPr="00BB15E2">
              <w:rPr>
                <w:color w:val="000000"/>
                <w:sz w:val="20"/>
                <w:szCs w:val="20"/>
              </w:rPr>
              <w:t>0.27</w:t>
            </w:r>
          </w:p>
        </w:tc>
        <w:tc>
          <w:tcPr>
            <w:tcW w:w="270" w:type="dxa"/>
            <w:tcBorders>
              <w:top w:val="nil"/>
              <w:left w:val="nil"/>
              <w:bottom w:val="nil"/>
              <w:right w:val="nil"/>
            </w:tcBorders>
            <w:shd w:val="clear" w:color="auto" w:fill="auto"/>
            <w:noWrap/>
            <w:vAlign w:val="bottom"/>
            <w:hideMark/>
          </w:tcPr>
          <w:p w14:paraId="694A4D09"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627A498E" w14:textId="77777777" w:rsidR="004830BC" w:rsidRPr="00BB15E2" w:rsidRDefault="004830BC" w:rsidP="00B22915">
            <w:pPr>
              <w:jc w:val="center"/>
              <w:rPr>
                <w:color w:val="000000"/>
                <w:sz w:val="20"/>
                <w:szCs w:val="20"/>
              </w:rPr>
            </w:pPr>
            <w:r w:rsidRPr="00BB15E2">
              <w:rPr>
                <w:color w:val="000000"/>
                <w:sz w:val="20"/>
                <w:szCs w:val="20"/>
              </w:rPr>
              <w:t>0.06</w:t>
            </w:r>
          </w:p>
        </w:tc>
        <w:tc>
          <w:tcPr>
            <w:tcW w:w="1080" w:type="dxa"/>
            <w:tcBorders>
              <w:top w:val="nil"/>
              <w:left w:val="nil"/>
              <w:bottom w:val="nil"/>
              <w:right w:val="nil"/>
            </w:tcBorders>
            <w:shd w:val="clear" w:color="auto" w:fill="auto"/>
            <w:noWrap/>
            <w:vAlign w:val="bottom"/>
            <w:hideMark/>
          </w:tcPr>
          <w:p w14:paraId="0864AD06" w14:textId="77777777" w:rsidR="004830BC" w:rsidRPr="00BB15E2" w:rsidRDefault="004830BC" w:rsidP="00B22915">
            <w:pPr>
              <w:jc w:val="center"/>
              <w:rPr>
                <w:color w:val="000000"/>
                <w:sz w:val="20"/>
                <w:szCs w:val="20"/>
              </w:rPr>
            </w:pPr>
            <w:r w:rsidRPr="00BB15E2">
              <w:rPr>
                <w:color w:val="000000"/>
                <w:sz w:val="20"/>
                <w:szCs w:val="20"/>
              </w:rPr>
              <w:t>0.24</w:t>
            </w:r>
          </w:p>
        </w:tc>
        <w:tc>
          <w:tcPr>
            <w:tcW w:w="270" w:type="dxa"/>
            <w:tcBorders>
              <w:top w:val="nil"/>
              <w:left w:val="nil"/>
              <w:bottom w:val="nil"/>
              <w:right w:val="nil"/>
            </w:tcBorders>
            <w:shd w:val="clear" w:color="auto" w:fill="auto"/>
            <w:noWrap/>
            <w:vAlign w:val="bottom"/>
            <w:hideMark/>
          </w:tcPr>
          <w:p w14:paraId="704117D5"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0C3C3593" w14:textId="77777777" w:rsidR="004830BC" w:rsidRPr="00BB15E2" w:rsidRDefault="004830BC" w:rsidP="00B22915">
            <w:pPr>
              <w:jc w:val="center"/>
              <w:rPr>
                <w:color w:val="000000"/>
                <w:sz w:val="20"/>
                <w:szCs w:val="20"/>
              </w:rPr>
            </w:pPr>
            <w:r w:rsidRPr="00BB15E2">
              <w:rPr>
                <w:color w:val="000000"/>
                <w:sz w:val="20"/>
                <w:szCs w:val="20"/>
              </w:rPr>
              <w:t>0.05</w:t>
            </w:r>
          </w:p>
        </w:tc>
        <w:tc>
          <w:tcPr>
            <w:tcW w:w="990" w:type="dxa"/>
            <w:tcBorders>
              <w:top w:val="nil"/>
              <w:left w:val="nil"/>
              <w:bottom w:val="nil"/>
              <w:right w:val="nil"/>
            </w:tcBorders>
            <w:shd w:val="clear" w:color="auto" w:fill="auto"/>
            <w:noWrap/>
            <w:vAlign w:val="bottom"/>
            <w:hideMark/>
          </w:tcPr>
          <w:p w14:paraId="7CE01128" w14:textId="77777777" w:rsidR="004830BC" w:rsidRPr="00BB15E2" w:rsidRDefault="004830BC" w:rsidP="00B22915">
            <w:pPr>
              <w:jc w:val="center"/>
              <w:rPr>
                <w:color w:val="000000"/>
                <w:sz w:val="20"/>
                <w:szCs w:val="20"/>
              </w:rPr>
            </w:pPr>
            <w:r w:rsidRPr="00BB15E2">
              <w:rPr>
                <w:color w:val="000000"/>
                <w:sz w:val="20"/>
                <w:szCs w:val="20"/>
              </w:rPr>
              <w:t>0.22</w:t>
            </w:r>
          </w:p>
        </w:tc>
        <w:tc>
          <w:tcPr>
            <w:tcW w:w="270" w:type="dxa"/>
            <w:tcBorders>
              <w:top w:val="nil"/>
              <w:left w:val="nil"/>
              <w:bottom w:val="nil"/>
              <w:right w:val="nil"/>
            </w:tcBorders>
            <w:shd w:val="clear" w:color="auto" w:fill="auto"/>
            <w:noWrap/>
            <w:vAlign w:val="bottom"/>
            <w:hideMark/>
          </w:tcPr>
          <w:p w14:paraId="66A2E6A1"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1276A853" w14:textId="77777777" w:rsidR="004830BC" w:rsidRPr="00BB15E2" w:rsidRDefault="004830BC" w:rsidP="00B22915">
            <w:pPr>
              <w:jc w:val="center"/>
              <w:rPr>
                <w:color w:val="000000"/>
                <w:sz w:val="20"/>
                <w:szCs w:val="20"/>
              </w:rPr>
            </w:pPr>
            <w:r w:rsidRPr="00BB15E2">
              <w:rPr>
                <w:color w:val="000000"/>
                <w:sz w:val="20"/>
                <w:szCs w:val="20"/>
              </w:rPr>
              <w:t>0.06</w:t>
            </w:r>
          </w:p>
        </w:tc>
        <w:tc>
          <w:tcPr>
            <w:tcW w:w="1080" w:type="dxa"/>
            <w:tcBorders>
              <w:top w:val="nil"/>
              <w:left w:val="nil"/>
              <w:bottom w:val="nil"/>
              <w:right w:val="nil"/>
            </w:tcBorders>
            <w:shd w:val="clear" w:color="auto" w:fill="auto"/>
            <w:noWrap/>
            <w:vAlign w:val="bottom"/>
            <w:hideMark/>
          </w:tcPr>
          <w:p w14:paraId="6D2438F6" w14:textId="77777777" w:rsidR="004830BC" w:rsidRPr="00BB15E2" w:rsidRDefault="004830BC" w:rsidP="00B22915">
            <w:pPr>
              <w:jc w:val="center"/>
              <w:rPr>
                <w:color w:val="000000"/>
                <w:sz w:val="20"/>
                <w:szCs w:val="20"/>
              </w:rPr>
            </w:pPr>
            <w:r w:rsidRPr="00BB15E2">
              <w:rPr>
                <w:color w:val="000000"/>
                <w:sz w:val="20"/>
                <w:szCs w:val="20"/>
              </w:rPr>
              <w:t>0.23</w:t>
            </w:r>
          </w:p>
        </w:tc>
      </w:tr>
      <w:tr w:rsidR="004830BC" w:rsidRPr="00BB15E2" w14:paraId="0EAC85B7" w14:textId="77777777" w:rsidTr="004830BC">
        <w:trPr>
          <w:trHeight w:val="300"/>
        </w:trPr>
        <w:tc>
          <w:tcPr>
            <w:tcW w:w="2430" w:type="dxa"/>
            <w:tcBorders>
              <w:top w:val="nil"/>
              <w:left w:val="nil"/>
              <w:bottom w:val="nil"/>
              <w:right w:val="nil"/>
            </w:tcBorders>
            <w:shd w:val="clear" w:color="auto" w:fill="auto"/>
            <w:noWrap/>
            <w:vAlign w:val="bottom"/>
            <w:hideMark/>
          </w:tcPr>
          <w:p w14:paraId="06BAA1D7" w14:textId="4F4EA07E" w:rsidR="004830BC" w:rsidRPr="00BB15E2" w:rsidRDefault="004830BC" w:rsidP="00B22915">
            <w:pPr>
              <w:rPr>
                <w:color w:val="000000"/>
                <w:sz w:val="20"/>
                <w:szCs w:val="20"/>
              </w:rPr>
            </w:pPr>
            <w:r>
              <w:rPr>
                <w:color w:val="000000"/>
                <w:sz w:val="20"/>
                <w:szCs w:val="20"/>
              </w:rPr>
              <w:t xml:space="preserve">Current </w:t>
            </w:r>
            <w:r w:rsidRPr="00BB15E2">
              <w:rPr>
                <w:color w:val="000000"/>
                <w:sz w:val="20"/>
                <w:szCs w:val="20"/>
              </w:rPr>
              <w:t xml:space="preserve">EL </w:t>
            </w:r>
            <w:r>
              <w:rPr>
                <w:color w:val="000000"/>
                <w:sz w:val="20"/>
                <w:szCs w:val="20"/>
              </w:rPr>
              <w:t>(</w:t>
            </w:r>
            <w:r w:rsidRPr="00BB15E2">
              <w:rPr>
                <w:color w:val="000000"/>
                <w:sz w:val="20"/>
                <w:szCs w:val="20"/>
              </w:rPr>
              <w:t xml:space="preserve">K or </w:t>
            </w:r>
            <w:r>
              <w:rPr>
                <w:color w:val="000000"/>
                <w:sz w:val="20"/>
                <w:szCs w:val="20"/>
              </w:rPr>
              <w:t>Gr 1 Entry</w:t>
            </w:r>
            <w:r w:rsidRPr="00BB15E2">
              <w:rPr>
                <w:color w:val="000000"/>
                <w:sz w:val="20"/>
                <w:szCs w:val="20"/>
              </w:rPr>
              <w:t>)</w:t>
            </w:r>
          </w:p>
        </w:tc>
        <w:tc>
          <w:tcPr>
            <w:tcW w:w="990" w:type="dxa"/>
            <w:tcBorders>
              <w:top w:val="nil"/>
              <w:left w:val="nil"/>
              <w:bottom w:val="nil"/>
              <w:right w:val="nil"/>
            </w:tcBorders>
            <w:shd w:val="clear" w:color="auto" w:fill="auto"/>
            <w:noWrap/>
            <w:vAlign w:val="bottom"/>
            <w:hideMark/>
          </w:tcPr>
          <w:p w14:paraId="40DF73D2" w14:textId="77777777" w:rsidR="004830BC" w:rsidRPr="00BB15E2" w:rsidRDefault="004830BC" w:rsidP="00B22915">
            <w:pPr>
              <w:jc w:val="center"/>
              <w:rPr>
                <w:color w:val="000000"/>
                <w:sz w:val="20"/>
                <w:szCs w:val="20"/>
              </w:rPr>
            </w:pPr>
            <w:r w:rsidRPr="00BB15E2">
              <w:rPr>
                <w:color w:val="000000"/>
                <w:sz w:val="20"/>
                <w:szCs w:val="20"/>
              </w:rPr>
              <w:t>0.10</w:t>
            </w:r>
          </w:p>
        </w:tc>
        <w:tc>
          <w:tcPr>
            <w:tcW w:w="990" w:type="dxa"/>
            <w:tcBorders>
              <w:top w:val="nil"/>
              <w:left w:val="nil"/>
              <w:bottom w:val="nil"/>
              <w:right w:val="nil"/>
            </w:tcBorders>
            <w:shd w:val="clear" w:color="auto" w:fill="auto"/>
            <w:noWrap/>
            <w:vAlign w:val="bottom"/>
            <w:hideMark/>
          </w:tcPr>
          <w:p w14:paraId="576B1A67" w14:textId="77777777" w:rsidR="004830BC" w:rsidRPr="00BB15E2" w:rsidRDefault="004830BC" w:rsidP="00B22915">
            <w:pPr>
              <w:jc w:val="center"/>
              <w:rPr>
                <w:color w:val="000000"/>
                <w:sz w:val="20"/>
                <w:szCs w:val="20"/>
              </w:rPr>
            </w:pPr>
            <w:r w:rsidRPr="00BB15E2">
              <w:rPr>
                <w:color w:val="000000"/>
                <w:sz w:val="20"/>
                <w:szCs w:val="20"/>
              </w:rPr>
              <w:t>0.30</w:t>
            </w:r>
          </w:p>
        </w:tc>
        <w:tc>
          <w:tcPr>
            <w:tcW w:w="270" w:type="dxa"/>
            <w:tcBorders>
              <w:top w:val="nil"/>
              <w:left w:val="nil"/>
              <w:bottom w:val="nil"/>
              <w:right w:val="nil"/>
            </w:tcBorders>
            <w:shd w:val="clear" w:color="auto" w:fill="auto"/>
            <w:noWrap/>
            <w:vAlign w:val="bottom"/>
            <w:hideMark/>
          </w:tcPr>
          <w:p w14:paraId="41C4ACED"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312AD4B1" w14:textId="77777777" w:rsidR="004830BC" w:rsidRPr="00BB15E2" w:rsidRDefault="004830BC" w:rsidP="00B22915">
            <w:pPr>
              <w:jc w:val="center"/>
              <w:rPr>
                <w:color w:val="000000"/>
                <w:sz w:val="20"/>
                <w:szCs w:val="20"/>
              </w:rPr>
            </w:pPr>
            <w:r w:rsidRPr="00BB15E2">
              <w:rPr>
                <w:color w:val="000000"/>
                <w:sz w:val="20"/>
                <w:szCs w:val="20"/>
              </w:rPr>
              <w:t>0.09</w:t>
            </w:r>
          </w:p>
        </w:tc>
        <w:tc>
          <w:tcPr>
            <w:tcW w:w="900" w:type="dxa"/>
            <w:tcBorders>
              <w:top w:val="nil"/>
              <w:left w:val="nil"/>
              <w:bottom w:val="nil"/>
              <w:right w:val="nil"/>
            </w:tcBorders>
            <w:shd w:val="clear" w:color="auto" w:fill="auto"/>
            <w:noWrap/>
            <w:vAlign w:val="bottom"/>
            <w:hideMark/>
          </w:tcPr>
          <w:p w14:paraId="532E66E9" w14:textId="77777777" w:rsidR="004830BC" w:rsidRPr="00BB15E2" w:rsidRDefault="004830BC" w:rsidP="00B22915">
            <w:pPr>
              <w:jc w:val="center"/>
              <w:rPr>
                <w:color w:val="000000"/>
                <w:sz w:val="20"/>
                <w:szCs w:val="20"/>
              </w:rPr>
            </w:pPr>
            <w:r w:rsidRPr="00BB15E2">
              <w:rPr>
                <w:color w:val="000000"/>
                <w:sz w:val="20"/>
                <w:szCs w:val="20"/>
              </w:rPr>
              <w:t>0.28</w:t>
            </w:r>
          </w:p>
        </w:tc>
        <w:tc>
          <w:tcPr>
            <w:tcW w:w="270" w:type="dxa"/>
            <w:tcBorders>
              <w:top w:val="nil"/>
              <w:left w:val="nil"/>
              <w:bottom w:val="nil"/>
              <w:right w:val="nil"/>
            </w:tcBorders>
            <w:shd w:val="clear" w:color="auto" w:fill="auto"/>
            <w:noWrap/>
            <w:vAlign w:val="bottom"/>
            <w:hideMark/>
          </w:tcPr>
          <w:p w14:paraId="40390F18"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6804E7CE" w14:textId="77777777" w:rsidR="004830BC" w:rsidRPr="00BB15E2" w:rsidRDefault="004830BC" w:rsidP="00B22915">
            <w:pPr>
              <w:jc w:val="center"/>
              <w:rPr>
                <w:color w:val="000000"/>
                <w:sz w:val="20"/>
                <w:szCs w:val="20"/>
              </w:rPr>
            </w:pPr>
            <w:r w:rsidRPr="00BB15E2">
              <w:rPr>
                <w:color w:val="000000"/>
                <w:sz w:val="20"/>
                <w:szCs w:val="20"/>
              </w:rPr>
              <w:t>0.07</w:t>
            </w:r>
          </w:p>
        </w:tc>
        <w:tc>
          <w:tcPr>
            <w:tcW w:w="1080" w:type="dxa"/>
            <w:tcBorders>
              <w:top w:val="nil"/>
              <w:left w:val="nil"/>
              <w:bottom w:val="nil"/>
              <w:right w:val="nil"/>
            </w:tcBorders>
            <w:shd w:val="clear" w:color="auto" w:fill="auto"/>
            <w:noWrap/>
            <w:vAlign w:val="bottom"/>
            <w:hideMark/>
          </w:tcPr>
          <w:p w14:paraId="1F3DACBE" w14:textId="77777777" w:rsidR="004830BC" w:rsidRPr="00BB15E2" w:rsidRDefault="004830BC" w:rsidP="00B22915">
            <w:pPr>
              <w:jc w:val="center"/>
              <w:rPr>
                <w:color w:val="000000"/>
                <w:sz w:val="20"/>
                <w:szCs w:val="20"/>
              </w:rPr>
            </w:pPr>
            <w:r w:rsidRPr="00BB15E2">
              <w:rPr>
                <w:color w:val="000000"/>
                <w:sz w:val="20"/>
                <w:szCs w:val="20"/>
              </w:rPr>
              <w:t>0.26</w:t>
            </w:r>
          </w:p>
        </w:tc>
        <w:tc>
          <w:tcPr>
            <w:tcW w:w="270" w:type="dxa"/>
            <w:tcBorders>
              <w:top w:val="nil"/>
              <w:left w:val="nil"/>
              <w:bottom w:val="nil"/>
              <w:right w:val="nil"/>
            </w:tcBorders>
            <w:shd w:val="clear" w:color="auto" w:fill="auto"/>
            <w:noWrap/>
            <w:vAlign w:val="bottom"/>
            <w:hideMark/>
          </w:tcPr>
          <w:p w14:paraId="7D6BD579"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CE97E84" w14:textId="77777777" w:rsidR="004830BC" w:rsidRPr="00BB15E2" w:rsidRDefault="004830BC" w:rsidP="00B22915">
            <w:pPr>
              <w:jc w:val="center"/>
              <w:rPr>
                <w:color w:val="000000"/>
                <w:sz w:val="20"/>
                <w:szCs w:val="20"/>
              </w:rPr>
            </w:pPr>
            <w:r w:rsidRPr="00BB15E2">
              <w:rPr>
                <w:color w:val="000000"/>
                <w:sz w:val="20"/>
                <w:szCs w:val="20"/>
              </w:rPr>
              <w:t>0.08</w:t>
            </w:r>
          </w:p>
        </w:tc>
        <w:tc>
          <w:tcPr>
            <w:tcW w:w="990" w:type="dxa"/>
            <w:tcBorders>
              <w:top w:val="nil"/>
              <w:left w:val="nil"/>
              <w:bottom w:val="nil"/>
              <w:right w:val="nil"/>
            </w:tcBorders>
            <w:shd w:val="clear" w:color="auto" w:fill="auto"/>
            <w:noWrap/>
            <w:vAlign w:val="bottom"/>
            <w:hideMark/>
          </w:tcPr>
          <w:p w14:paraId="14A755AA" w14:textId="77777777" w:rsidR="004830BC" w:rsidRPr="00BB15E2" w:rsidRDefault="004830BC" w:rsidP="00B22915">
            <w:pPr>
              <w:jc w:val="center"/>
              <w:rPr>
                <w:color w:val="000000"/>
                <w:sz w:val="20"/>
                <w:szCs w:val="20"/>
              </w:rPr>
            </w:pPr>
            <w:r w:rsidRPr="00BB15E2">
              <w:rPr>
                <w:color w:val="000000"/>
                <w:sz w:val="20"/>
                <w:szCs w:val="20"/>
              </w:rPr>
              <w:t>0.27</w:t>
            </w:r>
          </w:p>
        </w:tc>
        <w:tc>
          <w:tcPr>
            <w:tcW w:w="270" w:type="dxa"/>
            <w:tcBorders>
              <w:top w:val="nil"/>
              <w:left w:val="nil"/>
              <w:bottom w:val="nil"/>
              <w:right w:val="nil"/>
            </w:tcBorders>
            <w:shd w:val="clear" w:color="auto" w:fill="auto"/>
            <w:noWrap/>
            <w:vAlign w:val="bottom"/>
            <w:hideMark/>
          </w:tcPr>
          <w:p w14:paraId="4DCAD0B8"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78B60991" w14:textId="77777777" w:rsidR="004830BC" w:rsidRPr="00BB15E2" w:rsidRDefault="004830BC" w:rsidP="00B22915">
            <w:pPr>
              <w:jc w:val="center"/>
              <w:rPr>
                <w:color w:val="000000"/>
                <w:sz w:val="20"/>
                <w:szCs w:val="20"/>
              </w:rPr>
            </w:pPr>
            <w:r w:rsidRPr="00BB15E2">
              <w:rPr>
                <w:color w:val="000000"/>
                <w:sz w:val="20"/>
                <w:szCs w:val="20"/>
              </w:rPr>
              <w:t>0.08</w:t>
            </w:r>
          </w:p>
        </w:tc>
        <w:tc>
          <w:tcPr>
            <w:tcW w:w="1080" w:type="dxa"/>
            <w:tcBorders>
              <w:top w:val="nil"/>
              <w:left w:val="nil"/>
              <w:bottom w:val="nil"/>
              <w:right w:val="nil"/>
            </w:tcBorders>
            <w:shd w:val="clear" w:color="auto" w:fill="auto"/>
            <w:noWrap/>
            <w:vAlign w:val="bottom"/>
            <w:hideMark/>
          </w:tcPr>
          <w:p w14:paraId="7A9A0100" w14:textId="77777777" w:rsidR="004830BC" w:rsidRPr="00BB15E2" w:rsidRDefault="004830BC" w:rsidP="00B22915">
            <w:pPr>
              <w:jc w:val="center"/>
              <w:rPr>
                <w:color w:val="000000"/>
                <w:sz w:val="20"/>
                <w:szCs w:val="20"/>
              </w:rPr>
            </w:pPr>
            <w:r w:rsidRPr="00BB15E2">
              <w:rPr>
                <w:color w:val="000000"/>
                <w:sz w:val="20"/>
                <w:szCs w:val="20"/>
              </w:rPr>
              <w:t>0.27</w:t>
            </w:r>
          </w:p>
        </w:tc>
      </w:tr>
      <w:tr w:rsidR="004830BC" w:rsidRPr="00BB15E2" w14:paraId="1422275F" w14:textId="77777777" w:rsidTr="004830BC">
        <w:trPr>
          <w:trHeight w:val="300"/>
        </w:trPr>
        <w:tc>
          <w:tcPr>
            <w:tcW w:w="2430" w:type="dxa"/>
            <w:tcBorders>
              <w:top w:val="nil"/>
              <w:left w:val="nil"/>
              <w:bottom w:val="nil"/>
              <w:right w:val="nil"/>
            </w:tcBorders>
            <w:shd w:val="clear" w:color="auto" w:fill="auto"/>
            <w:noWrap/>
            <w:vAlign w:val="bottom"/>
            <w:hideMark/>
          </w:tcPr>
          <w:p w14:paraId="0B9269B1" w14:textId="77777777" w:rsidR="004830BC" w:rsidRPr="00BB15E2" w:rsidRDefault="004830BC" w:rsidP="00B22915">
            <w:pPr>
              <w:rPr>
                <w:color w:val="000000"/>
                <w:sz w:val="20"/>
                <w:szCs w:val="20"/>
              </w:rPr>
            </w:pPr>
            <w:r w:rsidRPr="00BB15E2">
              <w:rPr>
                <w:color w:val="000000"/>
                <w:sz w:val="20"/>
                <w:szCs w:val="20"/>
              </w:rPr>
              <w:t>Reclassified EL</w:t>
            </w:r>
          </w:p>
        </w:tc>
        <w:tc>
          <w:tcPr>
            <w:tcW w:w="990" w:type="dxa"/>
            <w:tcBorders>
              <w:top w:val="nil"/>
              <w:left w:val="nil"/>
              <w:bottom w:val="nil"/>
              <w:right w:val="nil"/>
            </w:tcBorders>
            <w:shd w:val="clear" w:color="auto" w:fill="auto"/>
            <w:noWrap/>
            <w:vAlign w:val="bottom"/>
            <w:hideMark/>
          </w:tcPr>
          <w:p w14:paraId="0AED70BA" w14:textId="77777777" w:rsidR="004830BC" w:rsidRPr="00BB15E2" w:rsidRDefault="004830BC" w:rsidP="00B22915">
            <w:pPr>
              <w:jc w:val="center"/>
              <w:rPr>
                <w:color w:val="000000"/>
                <w:sz w:val="20"/>
                <w:szCs w:val="20"/>
              </w:rPr>
            </w:pPr>
            <w:r w:rsidRPr="00BB15E2">
              <w:rPr>
                <w:color w:val="000000"/>
                <w:sz w:val="20"/>
                <w:szCs w:val="20"/>
              </w:rPr>
              <w:t>0.49</w:t>
            </w:r>
          </w:p>
        </w:tc>
        <w:tc>
          <w:tcPr>
            <w:tcW w:w="990" w:type="dxa"/>
            <w:tcBorders>
              <w:top w:val="nil"/>
              <w:left w:val="nil"/>
              <w:bottom w:val="nil"/>
              <w:right w:val="nil"/>
            </w:tcBorders>
            <w:shd w:val="clear" w:color="auto" w:fill="auto"/>
            <w:noWrap/>
            <w:vAlign w:val="bottom"/>
            <w:hideMark/>
          </w:tcPr>
          <w:p w14:paraId="520A3AFE"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46C59616"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51BAD20" w14:textId="77777777" w:rsidR="004830BC" w:rsidRPr="00BB15E2" w:rsidRDefault="004830BC" w:rsidP="00B22915">
            <w:pPr>
              <w:jc w:val="center"/>
              <w:rPr>
                <w:color w:val="000000"/>
                <w:sz w:val="20"/>
                <w:szCs w:val="20"/>
              </w:rPr>
            </w:pPr>
            <w:r w:rsidRPr="00BB15E2">
              <w:rPr>
                <w:color w:val="000000"/>
                <w:sz w:val="20"/>
                <w:szCs w:val="20"/>
              </w:rPr>
              <w:t>0.47</w:t>
            </w:r>
          </w:p>
        </w:tc>
        <w:tc>
          <w:tcPr>
            <w:tcW w:w="900" w:type="dxa"/>
            <w:tcBorders>
              <w:top w:val="nil"/>
              <w:left w:val="nil"/>
              <w:bottom w:val="nil"/>
              <w:right w:val="nil"/>
            </w:tcBorders>
            <w:shd w:val="clear" w:color="auto" w:fill="auto"/>
            <w:noWrap/>
            <w:vAlign w:val="bottom"/>
            <w:hideMark/>
          </w:tcPr>
          <w:p w14:paraId="31CD6404"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453BAFE7"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1DD8145A" w14:textId="77777777" w:rsidR="004830BC" w:rsidRPr="00BB15E2" w:rsidRDefault="004830BC" w:rsidP="00B22915">
            <w:pPr>
              <w:jc w:val="center"/>
              <w:rPr>
                <w:color w:val="000000"/>
                <w:sz w:val="20"/>
                <w:szCs w:val="20"/>
              </w:rPr>
            </w:pPr>
            <w:r w:rsidRPr="00BB15E2">
              <w:rPr>
                <w:color w:val="000000"/>
                <w:sz w:val="20"/>
                <w:szCs w:val="20"/>
              </w:rPr>
              <w:t>0.79</w:t>
            </w:r>
          </w:p>
        </w:tc>
        <w:tc>
          <w:tcPr>
            <w:tcW w:w="1080" w:type="dxa"/>
            <w:tcBorders>
              <w:top w:val="nil"/>
              <w:left w:val="nil"/>
              <w:bottom w:val="nil"/>
              <w:right w:val="nil"/>
            </w:tcBorders>
            <w:shd w:val="clear" w:color="auto" w:fill="auto"/>
            <w:noWrap/>
            <w:vAlign w:val="bottom"/>
            <w:hideMark/>
          </w:tcPr>
          <w:p w14:paraId="05917599" w14:textId="77777777" w:rsidR="004830BC" w:rsidRPr="00BB15E2" w:rsidRDefault="004830BC" w:rsidP="00B22915">
            <w:pPr>
              <w:jc w:val="center"/>
              <w:rPr>
                <w:color w:val="000000"/>
                <w:sz w:val="20"/>
                <w:szCs w:val="20"/>
              </w:rPr>
            </w:pPr>
            <w:r w:rsidRPr="00BB15E2">
              <w:rPr>
                <w:color w:val="000000"/>
                <w:sz w:val="20"/>
                <w:szCs w:val="20"/>
              </w:rPr>
              <w:t>0.41</w:t>
            </w:r>
          </w:p>
        </w:tc>
        <w:tc>
          <w:tcPr>
            <w:tcW w:w="270" w:type="dxa"/>
            <w:tcBorders>
              <w:top w:val="nil"/>
              <w:left w:val="nil"/>
              <w:bottom w:val="nil"/>
              <w:right w:val="nil"/>
            </w:tcBorders>
            <w:shd w:val="clear" w:color="auto" w:fill="auto"/>
            <w:noWrap/>
            <w:vAlign w:val="bottom"/>
            <w:hideMark/>
          </w:tcPr>
          <w:p w14:paraId="4FDB1B58"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3B4D450" w14:textId="77777777" w:rsidR="004830BC" w:rsidRPr="00BB15E2" w:rsidRDefault="004830BC" w:rsidP="00B22915">
            <w:pPr>
              <w:jc w:val="center"/>
              <w:rPr>
                <w:color w:val="000000"/>
                <w:sz w:val="20"/>
                <w:szCs w:val="20"/>
              </w:rPr>
            </w:pPr>
            <w:r w:rsidRPr="00BB15E2">
              <w:rPr>
                <w:color w:val="000000"/>
                <w:sz w:val="20"/>
                <w:szCs w:val="20"/>
              </w:rPr>
              <w:t>0.79</w:t>
            </w:r>
          </w:p>
        </w:tc>
        <w:tc>
          <w:tcPr>
            <w:tcW w:w="990" w:type="dxa"/>
            <w:tcBorders>
              <w:top w:val="nil"/>
              <w:left w:val="nil"/>
              <w:bottom w:val="nil"/>
              <w:right w:val="nil"/>
            </w:tcBorders>
            <w:shd w:val="clear" w:color="auto" w:fill="auto"/>
            <w:noWrap/>
            <w:vAlign w:val="bottom"/>
            <w:hideMark/>
          </w:tcPr>
          <w:p w14:paraId="6B41D6A1" w14:textId="77777777" w:rsidR="004830BC" w:rsidRPr="00BB15E2" w:rsidRDefault="004830BC" w:rsidP="00B22915">
            <w:pPr>
              <w:jc w:val="center"/>
              <w:rPr>
                <w:color w:val="000000"/>
                <w:sz w:val="20"/>
                <w:szCs w:val="20"/>
              </w:rPr>
            </w:pPr>
            <w:r w:rsidRPr="00BB15E2">
              <w:rPr>
                <w:color w:val="000000"/>
                <w:sz w:val="20"/>
                <w:szCs w:val="20"/>
              </w:rPr>
              <w:t>0.41</w:t>
            </w:r>
          </w:p>
        </w:tc>
        <w:tc>
          <w:tcPr>
            <w:tcW w:w="270" w:type="dxa"/>
            <w:tcBorders>
              <w:top w:val="nil"/>
              <w:left w:val="nil"/>
              <w:bottom w:val="nil"/>
              <w:right w:val="nil"/>
            </w:tcBorders>
            <w:shd w:val="clear" w:color="auto" w:fill="auto"/>
            <w:noWrap/>
            <w:vAlign w:val="bottom"/>
            <w:hideMark/>
          </w:tcPr>
          <w:p w14:paraId="72D1638D"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65E4FE6C" w14:textId="77777777" w:rsidR="004830BC" w:rsidRPr="00BB15E2" w:rsidRDefault="004830BC" w:rsidP="00B22915">
            <w:pPr>
              <w:jc w:val="center"/>
              <w:rPr>
                <w:color w:val="000000"/>
                <w:sz w:val="20"/>
                <w:szCs w:val="20"/>
              </w:rPr>
            </w:pPr>
            <w:r w:rsidRPr="00BB15E2">
              <w:rPr>
                <w:color w:val="000000"/>
                <w:sz w:val="20"/>
                <w:szCs w:val="20"/>
              </w:rPr>
              <w:t>0.76</w:t>
            </w:r>
          </w:p>
        </w:tc>
        <w:tc>
          <w:tcPr>
            <w:tcW w:w="1080" w:type="dxa"/>
            <w:tcBorders>
              <w:top w:val="nil"/>
              <w:left w:val="nil"/>
              <w:bottom w:val="nil"/>
              <w:right w:val="nil"/>
            </w:tcBorders>
            <w:shd w:val="clear" w:color="auto" w:fill="auto"/>
            <w:noWrap/>
            <w:vAlign w:val="bottom"/>
            <w:hideMark/>
          </w:tcPr>
          <w:p w14:paraId="1D016C26" w14:textId="77777777" w:rsidR="004830BC" w:rsidRPr="00BB15E2" w:rsidRDefault="004830BC" w:rsidP="00B22915">
            <w:pPr>
              <w:jc w:val="center"/>
              <w:rPr>
                <w:color w:val="000000"/>
                <w:sz w:val="20"/>
                <w:szCs w:val="20"/>
              </w:rPr>
            </w:pPr>
            <w:r w:rsidRPr="00BB15E2">
              <w:rPr>
                <w:color w:val="000000"/>
                <w:sz w:val="20"/>
                <w:szCs w:val="20"/>
              </w:rPr>
              <w:t>0.43</w:t>
            </w:r>
          </w:p>
        </w:tc>
      </w:tr>
      <w:tr w:rsidR="004830BC" w:rsidRPr="00BB15E2" w14:paraId="74DCA70D" w14:textId="77777777" w:rsidTr="004830BC">
        <w:trPr>
          <w:trHeight w:val="300"/>
        </w:trPr>
        <w:tc>
          <w:tcPr>
            <w:tcW w:w="2430" w:type="dxa"/>
            <w:tcBorders>
              <w:top w:val="nil"/>
              <w:left w:val="nil"/>
              <w:bottom w:val="nil"/>
              <w:right w:val="nil"/>
            </w:tcBorders>
            <w:shd w:val="clear" w:color="auto" w:fill="auto"/>
            <w:noWrap/>
            <w:vAlign w:val="bottom"/>
            <w:hideMark/>
          </w:tcPr>
          <w:p w14:paraId="7D4D2DA4" w14:textId="77777777" w:rsidR="004830BC" w:rsidRPr="00BB15E2" w:rsidRDefault="004830BC" w:rsidP="00B22915">
            <w:pPr>
              <w:rPr>
                <w:color w:val="000000"/>
                <w:sz w:val="20"/>
                <w:szCs w:val="20"/>
              </w:rPr>
            </w:pPr>
            <w:r w:rsidRPr="00BB15E2">
              <w:rPr>
                <w:color w:val="000000"/>
                <w:sz w:val="20"/>
                <w:szCs w:val="20"/>
              </w:rPr>
              <w:t>C</w:t>
            </w:r>
            <w:r>
              <w:rPr>
                <w:color w:val="000000"/>
                <w:sz w:val="20"/>
                <w:szCs w:val="20"/>
              </w:rPr>
              <w:t>redits Gr 12</w:t>
            </w:r>
          </w:p>
        </w:tc>
        <w:tc>
          <w:tcPr>
            <w:tcW w:w="990" w:type="dxa"/>
            <w:tcBorders>
              <w:top w:val="nil"/>
              <w:left w:val="nil"/>
              <w:bottom w:val="nil"/>
              <w:right w:val="nil"/>
            </w:tcBorders>
            <w:shd w:val="clear" w:color="auto" w:fill="auto"/>
            <w:noWrap/>
            <w:vAlign w:val="bottom"/>
            <w:hideMark/>
          </w:tcPr>
          <w:p w14:paraId="14DCED62" w14:textId="77777777" w:rsidR="004830BC" w:rsidRPr="00D376CC" w:rsidRDefault="004830BC" w:rsidP="00B22915">
            <w:pPr>
              <w:jc w:val="center"/>
              <w:rPr>
                <w:color w:val="000000"/>
                <w:sz w:val="20"/>
                <w:szCs w:val="20"/>
              </w:rPr>
            </w:pPr>
            <w:r w:rsidRPr="00D376CC">
              <w:rPr>
                <w:color w:val="000000"/>
                <w:sz w:val="20"/>
                <w:szCs w:val="20"/>
              </w:rPr>
              <w:t>11.47</w:t>
            </w:r>
          </w:p>
        </w:tc>
        <w:tc>
          <w:tcPr>
            <w:tcW w:w="990" w:type="dxa"/>
            <w:tcBorders>
              <w:top w:val="nil"/>
              <w:left w:val="nil"/>
              <w:bottom w:val="nil"/>
              <w:right w:val="nil"/>
            </w:tcBorders>
            <w:shd w:val="clear" w:color="auto" w:fill="auto"/>
            <w:noWrap/>
            <w:vAlign w:val="bottom"/>
            <w:hideMark/>
          </w:tcPr>
          <w:p w14:paraId="7A8B855D" w14:textId="77777777" w:rsidR="004830BC" w:rsidRPr="00D376CC" w:rsidRDefault="004830BC" w:rsidP="00B22915">
            <w:pPr>
              <w:jc w:val="center"/>
              <w:rPr>
                <w:color w:val="000000"/>
                <w:sz w:val="20"/>
                <w:szCs w:val="20"/>
              </w:rPr>
            </w:pPr>
            <w:r w:rsidRPr="00D376CC">
              <w:rPr>
                <w:color w:val="000000"/>
                <w:sz w:val="20"/>
                <w:szCs w:val="20"/>
              </w:rPr>
              <w:t>14.52</w:t>
            </w:r>
          </w:p>
        </w:tc>
        <w:tc>
          <w:tcPr>
            <w:tcW w:w="270" w:type="dxa"/>
            <w:tcBorders>
              <w:top w:val="nil"/>
              <w:left w:val="nil"/>
              <w:bottom w:val="nil"/>
              <w:right w:val="nil"/>
            </w:tcBorders>
            <w:shd w:val="clear" w:color="auto" w:fill="auto"/>
            <w:noWrap/>
            <w:vAlign w:val="bottom"/>
            <w:hideMark/>
          </w:tcPr>
          <w:p w14:paraId="68FB072B"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014EE0E1" w14:textId="77777777" w:rsidR="004830BC" w:rsidRPr="00BB15E2" w:rsidRDefault="004830BC" w:rsidP="00B22915">
            <w:pPr>
              <w:jc w:val="center"/>
              <w:rPr>
                <w:color w:val="000000"/>
                <w:sz w:val="20"/>
                <w:szCs w:val="20"/>
              </w:rPr>
            </w:pPr>
            <w:r w:rsidRPr="00BB15E2">
              <w:rPr>
                <w:color w:val="000000"/>
                <w:sz w:val="20"/>
                <w:szCs w:val="20"/>
              </w:rPr>
              <w:t>0.11</w:t>
            </w:r>
          </w:p>
        </w:tc>
        <w:tc>
          <w:tcPr>
            <w:tcW w:w="900" w:type="dxa"/>
            <w:tcBorders>
              <w:top w:val="nil"/>
              <w:left w:val="nil"/>
              <w:bottom w:val="nil"/>
              <w:right w:val="nil"/>
            </w:tcBorders>
            <w:shd w:val="clear" w:color="auto" w:fill="auto"/>
            <w:noWrap/>
            <w:vAlign w:val="bottom"/>
            <w:hideMark/>
          </w:tcPr>
          <w:p w14:paraId="4A15CC90" w14:textId="77777777" w:rsidR="004830BC" w:rsidRPr="00BB15E2" w:rsidRDefault="004830BC" w:rsidP="00B22915">
            <w:pPr>
              <w:jc w:val="center"/>
              <w:rPr>
                <w:color w:val="000000"/>
                <w:sz w:val="20"/>
                <w:szCs w:val="20"/>
              </w:rPr>
            </w:pPr>
            <w:r w:rsidRPr="00BB15E2">
              <w:rPr>
                <w:color w:val="000000"/>
                <w:sz w:val="20"/>
                <w:szCs w:val="20"/>
              </w:rPr>
              <w:t>0.97</w:t>
            </w:r>
          </w:p>
        </w:tc>
        <w:tc>
          <w:tcPr>
            <w:tcW w:w="270" w:type="dxa"/>
            <w:tcBorders>
              <w:top w:val="nil"/>
              <w:left w:val="nil"/>
              <w:bottom w:val="nil"/>
              <w:right w:val="nil"/>
            </w:tcBorders>
            <w:shd w:val="clear" w:color="auto" w:fill="auto"/>
            <w:noWrap/>
            <w:vAlign w:val="bottom"/>
            <w:hideMark/>
          </w:tcPr>
          <w:p w14:paraId="09F5338F"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1EC79B8A" w14:textId="77777777" w:rsidR="004830BC" w:rsidRPr="00BB15E2" w:rsidRDefault="004830BC" w:rsidP="00B22915">
            <w:pPr>
              <w:jc w:val="center"/>
              <w:rPr>
                <w:color w:val="000000"/>
                <w:sz w:val="20"/>
                <w:szCs w:val="20"/>
              </w:rPr>
            </w:pPr>
            <w:r w:rsidRPr="00BB15E2">
              <w:rPr>
                <w:color w:val="000000"/>
                <w:sz w:val="20"/>
                <w:szCs w:val="20"/>
              </w:rPr>
              <w:t>1.55</w:t>
            </w:r>
          </w:p>
        </w:tc>
        <w:tc>
          <w:tcPr>
            <w:tcW w:w="1080" w:type="dxa"/>
            <w:tcBorders>
              <w:top w:val="nil"/>
              <w:left w:val="nil"/>
              <w:bottom w:val="nil"/>
              <w:right w:val="nil"/>
            </w:tcBorders>
            <w:shd w:val="clear" w:color="auto" w:fill="auto"/>
            <w:noWrap/>
            <w:vAlign w:val="bottom"/>
            <w:hideMark/>
          </w:tcPr>
          <w:p w14:paraId="6AA6C583" w14:textId="77777777" w:rsidR="004830BC" w:rsidRPr="00BB15E2" w:rsidRDefault="004830BC" w:rsidP="00B22915">
            <w:pPr>
              <w:jc w:val="center"/>
              <w:rPr>
                <w:color w:val="000000"/>
                <w:sz w:val="20"/>
                <w:szCs w:val="20"/>
              </w:rPr>
            </w:pPr>
            <w:r w:rsidRPr="00BB15E2">
              <w:rPr>
                <w:color w:val="000000"/>
                <w:sz w:val="20"/>
                <w:szCs w:val="20"/>
              </w:rPr>
              <w:t>6.25</w:t>
            </w:r>
          </w:p>
        </w:tc>
        <w:tc>
          <w:tcPr>
            <w:tcW w:w="270" w:type="dxa"/>
            <w:tcBorders>
              <w:top w:val="nil"/>
              <w:left w:val="nil"/>
              <w:bottom w:val="nil"/>
              <w:right w:val="nil"/>
            </w:tcBorders>
            <w:shd w:val="clear" w:color="auto" w:fill="auto"/>
            <w:noWrap/>
            <w:vAlign w:val="bottom"/>
            <w:hideMark/>
          </w:tcPr>
          <w:p w14:paraId="2239CADB"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1E27F739" w14:textId="77777777" w:rsidR="004830BC" w:rsidRPr="00BB15E2" w:rsidRDefault="004830BC" w:rsidP="00B22915">
            <w:pPr>
              <w:jc w:val="center"/>
              <w:rPr>
                <w:color w:val="000000"/>
                <w:sz w:val="20"/>
                <w:szCs w:val="20"/>
              </w:rPr>
            </w:pPr>
            <w:r w:rsidRPr="00BB15E2">
              <w:rPr>
                <w:color w:val="000000"/>
                <w:sz w:val="20"/>
                <w:szCs w:val="20"/>
              </w:rPr>
              <w:t>1.09</w:t>
            </w:r>
          </w:p>
        </w:tc>
        <w:tc>
          <w:tcPr>
            <w:tcW w:w="990" w:type="dxa"/>
            <w:tcBorders>
              <w:top w:val="nil"/>
              <w:left w:val="nil"/>
              <w:bottom w:val="nil"/>
              <w:right w:val="nil"/>
            </w:tcBorders>
            <w:shd w:val="clear" w:color="auto" w:fill="auto"/>
            <w:noWrap/>
            <w:vAlign w:val="bottom"/>
            <w:hideMark/>
          </w:tcPr>
          <w:p w14:paraId="7E43FA01" w14:textId="77777777" w:rsidR="004830BC" w:rsidRPr="00BB15E2" w:rsidRDefault="004830BC" w:rsidP="00B22915">
            <w:pPr>
              <w:jc w:val="center"/>
              <w:rPr>
                <w:color w:val="000000"/>
                <w:sz w:val="20"/>
                <w:szCs w:val="20"/>
              </w:rPr>
            </w:pPr>
            <w:r w:rsidRPr="00BB15E2">
              <w:rPr>
                <w:color w:val="000000"/>
                <w:sz w:val="20"/>
                <w:szCs w:val="20"/>
              </w:rPr>
              <w:t>4.27</w:t>
            </w:r>
          </w:p>
        </w:tc>
        <w:tc>
          <w:tcPr>
            <w:tcW w:w="270" w:type="dxa"/>
            <w:tcBorders>
              <w:top w:val="nil"/>
              <w:left w:val="nil"/>
              <w:bottom w:val="nil"/>
              <w:right w:val="nil"/>
            </w:tcBorders>
            <w:shd w:val="clear" w:color="auto" w:fill="auto"/>
            <w:noWrap/>
            <w:vAlign w:val="bottom"/>
            <w:hideMark/>
          </w:tcPr>
          <w:p w14:paraId="3A4272A6"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235239F" w14:textId="77777777" w:rsidR="004830BC" w:rsidRPr="00BB15E2" w:rsidRDefault="004830BC" w:rsidP="00B22915">
            <w:pPr>
              <w:jc w:val="center"/>
              <w:rPr>
                <w:color w:val="000000"/>
                <w:sz w:val="20"/>
                <w:szCs w:val="20"/>
              </w:rPr>
            </w:pPr>
            <w:r w:rsidRPr="00BB15E2">
              <w:rPr>
                <w:color w:val="000000"/>
                <w:sz w:val="20"/>
                <w:szCs w:val="20"/>
              </w:rPr>
              <w:t>1.4</w:t>
            </w:r>
            <w:r>
              <w:rPr>
                <w:color w:val="000000"/>
                <w:sz w:val="20"/>
                <w:szCs w:val="20"/>
              </w:rPr>
              <w:t>5</w:t>
            </w:r>
          </w:p>
        </w:tc>
        <w:tc>
          <w:tcPr>
            <w:tcW w:w="1080" w:type="dxa"/>
            <w:tcBorders>
              <w:top w:val="nil"/>
              <w:left w:val="nil"/>
              <w:bottom w:val="nil"/>
              <w:right w:val="nil"/>
            </w:tcBorders>
            <w:shd w:val="clear" w:color="auto" w:fill="auto"/>
            <w:noWrap/>
            <w:vAlign w:val="bottom"/>
            <w:hideMark/>
          </w:tcPr>
          <w:p w14:paraId="6BA45204" w14:textId="77777777" w:rsidR="004830BC" w:rsidRPr="00BB15E2" w:rsidRDefault="004830BC" w:rsidP="00B22915">
            <w:pPr>
              <w:jc w:val="center"/>
              <w:rPr>
                <w:color w:val="000000"/>
                <w:sz w:val="20"/>
                <w:szCs w:val="20"/>
              </w:rPr>
            </w:pPr>
            <w:r w:rsidRPr="00BB15E2">
              <w:rPr>
                <w:color w:val="000000"/>
                <w:sz w:val="20"/>
                <w:szCs w:val="20"/>
              </w:rPr>
              <w:t>5.6</w:t>
            </w:r>
            <w:r>
              <w:rPr>
                <w:color w:val="000000"/>
                <w:sz w:val="20"/>
                <w:szCs w:val="20"/>
              </w:rPr>
              <w:t>8</w:t>
            </w:r>
          </w:p>
        </w:tc>
      </w:tr>
      <w:tr w:rsidR="004830BC" w:rsidRPr="00BB15E2" w14:paraId="5B5B569E" w14:textId="77777777" w:rsidTr="004830BC">
        <w:trPr>
          <w:trHeight w:val="300"/>
        </w:trPr>
        <w:tc>
          <w:tcPr>
            <w:tcW w:w="2430" w:type="dxa"/>
            <w:tcBorders>
              <w:top w:val="nil"/>
              <w:left w:val="nil"/>
              <w:bottom w:val="nil"/>
              <w:right w:val="nil"/>
            </w:tcBorders>
            <w:shd w:val="clear" w:color="auto" w:fill="auto"/>
            <w:noWrap/>
            <w:vAlign w:val="bottom"/>
            <w:hideMark/>
          </w:tcPr>
          <w:p w14:paraId="50019010" w14:textId="77777777" w:rsidR="004830BC" w:rsidRPr="00BB15E2" w:rsidRDefault="004830BC" w:rsidP="00B22915">
            <w:pPr>
              <w:rPr>
                <w:color w:val="000000"/>
                <w:sz w:val="20"/>
                <w:szCs w:val="20"/>
              </w:rPr>
            </w:pPr>
            <w:r w:rsidRPr="00BB15E2">
              <w:rPr>
                <w:color w:val="000000"/>
                <w:sz w:val="20"/>
                <w:szCs w:val="20"/>
              </w:rPr>
              <w:t>Immediate</w:t>
            </w:r>
            <w:r>
              <w:rPr>
                <w:color w:val="000000"/>
                <w:sz w:val="20"/>
                <w:szCs w:val="20"/>
              </w:rPr>
              <w:t xml:space="preserve"> </w:t>
            </w:r>
            <w:r w:rsidRPr="00BB15E2">
              <w:rPr>
                <w:color w:val="000000"/>
                <w:sz w:val="20"/>
                <w:szCs w:val="20"/>
              </w:rPr>
              <w:t>College</w:t>
            </w:r>
          </w:p>
        </w:tc>
        <w:tc>
          <w:tcPr>
            <w:tcW w:w="990" w:type="dxa"/>
            <w:tcBorders>
              <w:top w:val="nil"/>
              <w:left w:val="nil"/>
              <w:bottom w:val="nil"/>
              <w:right w:val="nil"/>
            </w:tcBorders>
            <w:shd w:val="clear" w:color="auto" w:fill="auto"/>
            <w:noWrap/>
            <w:vAlign w:val="bottom"/>
            <w:hideMark/>
          </w:tcPr>
          <w:p w14:paraId="670096D8" w14:textId="77777777" w:rsidR="004830BC" w:rsidRPr="00BB15E2" w:rsidRDefault="004830BC" w:rsidP="00B22915">
            <w:pPr>
              <w:jc w:val="center"/>
              <w:rPr>
                <w:color w:val="000000"/>
                <w:sz w:val="20"/>
                <w:szCs w:val="20"/>
              </w:rPr>
            </w:pPr>
            <w:r w:rsidRPr="00BB15E2">
              <w:rPr>
                <w:color w:val="000000"/>
                <w:sz w:val="20"/>
                <w:szCs w:val="20"/>
              </w:rPr>
              <w:t>0.41</w:t>
            </w:r>
          </w:p>
        </w:tc>
        <w:tc>
          <w:tcPr>
            <w:tcW w:w="990" w:type="dxa"/>
            <w:tcBorders>
              <w:top w:val="nil"/>
              <w:left w:val="nil"/>
              <w:bottom w:val="nil"/>
              <w:right w:val="nil"/>
            </w:tcBorders>
            <w:shd w:val="clear" w:color="auto" w:fill="auto"/>
            <w:noWrap/>
            <w:vAlign w:val="bottom"/>
            <w:hideMark/>
          </w:tcPr>
          <w:p w14:paraId="1CA7BEED" w14:textId="77777777" w:rsidR="004830BC" w:rsidRPr="00BB15E2" w:rsidRDefault="004830BC" w:rsidP="00B22915">
            <w:pPr>
              <w:jc w:val="center"/>
              <w:rPr>
                <w:color w:val="000000"/>
                <w:sz w:val="20"/>
                <w:szCs w:val="20"/>
              </w:rPr>
            </w:pPr>
            <w:r w:rsidRPr="00BB15E2">
              <w:rPr>
                <w:color w:val="000000"/>
                <w:sz w:val="20"/>
                <w:szCs w:val="20"/>
              </w:rPr>
              <w:t>0.49</w:t>
            </w:r>
          </w:p>
        </w:tc>
        <w:tc>
          <w:tcPr>
            <w:tcW w:w="270" w:type="dxa"/>
            <w:tcBorders>
              <w:top w:val="nil"/>
              <w:left w:val="nil"/>
              <w:bottom w:val="nil"/>
              <w:right w:val="nil"/>
            </w:tcBorders>
            <w:shd w:val="clear" w:color="auto" w:fill="auto"/>
            <w:noWrap/>
            <w:vAlign w:val="bottom"/>
            <w:hideMark/>
          </w:tcPr>
          <w:p w14:paraId="40AD9554"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5E468A76" w14:textId="77777777" w:rsidR="004830BC" w:rsidRPr="00BB15E2" w:rsidRDefault="004830BC" w:rsidP="00B22915">
            <w:pPr>
              <w:jc w:val="center"/>
              <w:rPr>
                <w:color w:val="000000"/>
                <w:sz w:val="20"/>
                <w:szCs w:val="20"/>
              </w:rPr>
            </w:pPr>
            <w:r w:rsidRPr="00BB15E2">
              <w:rPr>
                <w:color w:val="000000"/>
                <w:sz w:val="20"/>
                <w:szCs w:val="20"/>
              </w:rPr>
              <w:t>0.54</w:t>
            </w:r>
          </w:p>
        </w:tc>
        <w:tc>
          <w:tcPr>
            <w:tcW w:w="900" w:type="dxa"/>
            <w:tcBorders>
              <w:top w:val="nil"/>
              <w:left w:val="nil"/>
              <w:bottom w:val="nil"/>
              <w:right w:val="nil"/>
            </w:tcBorders>
            <w:shd w:val="clear" w:color="auto" w:fill="auto"/>
            <w:noWrap/>
            <w:vAlign w:val="bottom"/>
            <w:hideMark/>
          </w:tcPr>
          <w:p w14:paraId="533AADA1"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31B157B9"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7B7F310A" w14:textId="77777777" w:rsidR="004830BC" w:rsidRPr="00BB15E2" w:rsidRDefault="004830BC" w:rsidP="00B22915">
            <w:pPr>
              <w:jc w:val="center"/>
              <w:rPr>
                <w:color w:val="000000"/>
                <w:sz w:val="20"/>
                <w:szCs w:val="20"/>
              </w:rPr>
            </w:pPr>
            <w:r w:rsidRPr="00BB15E2">
              <w:rPr>
                <w:color w:val="000000"/>
                <w:sz w:val="20"/>
                <w:szCs w:val="20"/>
              </w:rPr>
              <w:t>0.67</w:t>
            </w:r>
          </w:p>
        </w:tc>
        <w:tc>
          <w:tcPr>
            <w:tcW w:w="1080" w:type="dxa"/>
            <w:tcBorders>
              <w:top w:val="nil"/>
              <w:left w:val="nil"/>
              <w:bottom w:val="nil"/>
              <w:right w:val="nil"/>
            </w:tcBorders>
            <w:shd w:val="clear" w:color="auto" w:fill="auto"/>
            <w:noWrap/>
            <w:vAlign w:val="bottom"/>
            <w:hideMark/>
          </w:tcPr>
          <w:p w14:paraId="59894EDB" w14:textId="77777777" w:rsidR="004830BC" w:rsidRPr="00BB15E2" w:rsidRDefault="004830BC" w:rsidP="00B22915">
            <w:pPr>
              <w:jc w:val="center"/>
              <w:rPr>
                <w:color w:val="000000"/>
                <w:sz w:val="20"/>
                <w:szCs w:val="20"/>
              </w:rPr>
            </w:pPr>
            <w:r w:rsidRPr="00BB15E2">
              <w:rPr>
                <w:color w:val="000000"/>
                <w:sz w:val="20"/>
                <w:szCs w:val="20"/>
              </w:rPr>
              <w:t>0.47</w:t>
            </w:r>
          </w:p>
        </w:tc>
        <w:tc>
          <w:tcPr>
            <w:tcW w:w="270" w:type="dxa"/>
            <w:tcBorders>
              <w:top w:val="nil"/>
              <w:left w:val="nil"/>
              <w:bottom w:val="nil"/>
              <w:right w:val="nil"/>
            </w:tcBorders>
            <w:shd w:val="clear" w:color="auto" w:fill="auto"/>
            <w:noWrap/>
            <w:vAlign w:val="bottom"/>
            <w:hideMark/>
          </w:tcPr>
          <w:p w14:paraId="2378C9B0"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6BDE3509" w14:textId="77777777" w:rsidR="004830BC" w:rsidRPr="00BB15E2" w:rsidRDefault="004830BC" w:rsidP="00B22915">
            <w:pPr>
              <w:jc w:val="center"/>
              <w:rPr>
                <w:color w:val="000000"/>
                <w:sz w:val="20"/>
                <w:szCs w:val="20"/>
              </w:rPr>
            </w:pPr>
            <w:r w:rsidRPr="00BB15E2">
              <w:rPr>
                <w:color w:val="000000"/>
                <w:sz w:val="20"/>
                <w:szCs w:val="20"/>
              </w:rPr>
              <w:t>0.70</w:t>
            </w:r>
          </w:p>
        </w:tc>
        <w:tc>
          <w:tcPr>
            <w:tcW w:w="990" w:type="dxa"/>
            <w:tcBorders>
              <w:top w:val="nil"/>
              <w:left w:val="nil"/>
              <w:bottom w:val="nil"/>
              <w:right w:val="nil"/>
            </w:tcBorders>
            <w:shd w:val="clear" w:color="auto" w:fill="auto"/>
            <w:noWrap/>
            <w:vAlign w:val="bottom"/>
            <w:hideMark/>
          </w:tcPr>
          <w:p w14:paraId="46A57AC7" w14:textId="77777777" w:rsidR="004830BC" w:rsidRPr="00BB15E2" w:rsidRDefault="004830BC" w:rsidP="00B22915">
            <w:pPr>
              <w:jc w:val="center"/>
              <w:rPr>
                <w:color w:val="000000"/>
                <w:sz w:val="20"/>
                <w:szCs w:val="20"/>
              </w:rPr>
            </w:pPr>
            <w:r w:rsidRPr="00BB15E2">
              <w:rPr>
                <w:color w:val="000000"/>
                <w:sz w:val="20"/>
                <w:szCs w:val="20"/>
              </w:rPr>
              <w:t>0.46</w:t>
            </w:r>
          </w:p>
        </w:tc>
        <w:tc>
          <w:tcPr>
            <w:tcW w:w="270" w:type="dxa"/>
            <w:tcBorders>
              <w:top w:val="nil"/>
              <w:left w:val="nil"/>
              <w:bottom w:val="nil"/>
              <w:right w:val="nil"/>
            </w:tcBorders>
            <w:shd w:val="clear" w:color="auto" w:fill="auto"/>
            <w:noWrap/>
            <w:vAlign w:val="bottom"/>
            <w:hideMark/>
          </w:tcPr>
          <w:p w14:paraId="77D43320"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22BA4232" w14:textId="77777777" w:rsidR="004830BC" w:rsidRPr="00BB15E2" w:rsidRDefault="004830BC" w:rsidP="00B22915">
            <w:pPr>
              <w:jc w:val="center"/>
              <w:rPr>
                <w:color w:val="000000"/>
                <w:sz w:val="20"/>
                <w:szCs w:val="20"/>
              </w:rPr>
            </w:pPr>
            <w:r w:rsidRPr="00BB15E2">
              <w:rPr>
                <w:color w:val="000000"/>
                <w:sz w:val="20"/>
                <w:szCs w:val="20"/>
              </w:rPr>
              <w:t>0.67</w:t>
            </w:r>
          </w:p>
        </w:tc>
        <w:tc>
          <w:tcPr>
            <w:tcW w:w="1080" w:type="dxa"/>
            <w:tcBorders>
              <w:top w:val="nil"/>
              <w:left w:val="nil"/>
              <w:bottom w:val="nil"/>
              <w:right w:val="nil"/>
            </w:tcBorders>
            <w:shd w:val="clear" w:color="auto" w:fill="auto"/>
            <w:noWrap/>
            <w:vAlign w:val="bottom"/>
            <w:hideMark/>
          </w:tcPr>
          <w:p w14:paraId="5E8A3D79" w14:textId="77777777" w:rsidR="004830BC" w:rsidRPr="00BB15E2" w:rsidRDefault="004830BC" w:rsidP="00B22915">
            <w:pPr>
              <w:jc w:val="center"/>
              <w:rPr>
                <w:color w:val="000000"/>
                <w:sz w:val="20"/>
                <w:szCs w:val="20"/>
              </w:rPr>
            </w:pPr>
            <w:r w:rsidRPr="00BB15E2">
              <w:rPr>
                <w:color w:val="000000"/>
                <w:sz w:val="20"/>
                <w:szCs w:val="20"/>
              </w:rPr>
              <w:t>0.47</w:t>
            </w:r>
          </w:p>
        </w:tc>
      </w:tr>
      <w:tr w:rsidR="004830BC" w:rsidRPr="00BB15E2" w14:paraId="160C20B8" w14:textId="77777777" w:rsidTr="004830BC">
        <w:trPr>
          <w:trHeight w:val="300"/>
        </w:trPr>
        <w:tc>
          <w:tcPr>
            <w:tcW w:w="2430" w:type="dxa"/>
            <w:tcBorders>
              <w:top w:val="nil"/>
              <w:left w:val="nil"/>
              <w:bottom w:val="nil"/>
              <w:right w:val="nil"/>
            </w:tcBorders>
            <w:shd w:val="clear" w:color="auto" w:fill="auto"/>
            <w:noWrap/>
            <w:vAlign w:val="bottom"/>
            <w:hideMark/>
          </w:tcPr>
          <w:p w14:paraId="5A16C623" w14:textId="77777777" w:rsidR="004830BC" w:rsidRPr="00BB15E2" w:rsidRDefault="004830BC" w:rsidP="00B22915">
            <w:pPr>
              <w:rPr>
                <w:color w:val="000000"/>
                <w:sz w:val="20"/>
                <w:szCs w:val="20"/>
              </w:rPr>
            </w:pPr>
            <w:r w:rsidRPr="00BB15E2">
              <w:rPr>
                <w:color w:val="000000"/>
                <w:sz w:val="20"/>
                <w:szCs w:val="20"/>
              </w:rPr>
              <w:t>4-Year College</w:t>
            </w:r>
          </w:p>
        </w:tc>
        <w:tc>
          <w:tcPr>
            <w:tcW w:w="990" w:type="dxa"/>
            <w:tcBorders>
              <w:top w:val="nil"/>
              <w:left w:val="nil"/>
              <w:bottom w:val="nil"/>
              <w:right w:val="nil"/>
            </w:tcBorders>
            <w:shd w:val="clear" w:color="auto" w:fill="auto"/>
            <w:noWrap/>
            <w:vAlign w:val="bottom"/>
            <w:hideMark/>
          </w:tcPr>
          <w:p w14:paraId="36BC0548" w14:textId="77777777" w:rsidR="004830BC" w:rsidRPr="00BB15E2" w:rsidRDefault="004830BC" w:rsidP="00B22915">
            <w:pPr>
              <w:jc w:val="center"/>
              <w:rPr>
                <w:color w:val="000000"/>
                <w:sz w:val="20"/>
                <w:szCs w:val="20"/>
              </w:rPr>
            </w:pPr>
            <w:r w:rsidRPr="00BB15E2">
              <w:rPr>
                <w:color w:val="000000"/>
                <w:sz w:val="20"/>
                <w:szCs w:val="20"/>
              </w:rPr>
              <w:t>0.16</w:t>
            </w:r>
          </w:p>
        </w:tc>
        <w:tc>
          <w:tcPr>
            <w:tcW w:w="990" w:type="dxa"/>
            <w:tcBorders>
              <w:top w:val="nil"/>
              <w:left w:val="nil"/>
              <w:bottom w:val="nil"/>
              <w:right w:val="nil"/>
            </w:tcBorders>
            <w:shd w:val="clear" w:color="auto" w:fill="auto"/>
            <w:noWrap/>
            <w:vAlign w:val="bottom"/>
            <w:hideMark/>
          </w:tcPr>
          <w:p w14:paraId="66236974" w14:textId="77777777" w:rsidR="004830BC" w:rsidRPr="00BB15E2" w:rsidRDefault="004830BC" w:rsidP="00B22915">
            <w:pPr>
              <w:jc w:val="center"/>
              <w:rPr>
                <w:color w:val="000000"/>
                <w:sz w:val="20"/>
                <w:szCs w:val="20"/>
              </w:rPr>
            </w:pPr>
            <w:r w:rsidRPr="00BB15E2">
              <w:rPr>
                <w:color w:val="000000"/>
                <w:sz w:val="20"/>
                <w:szCs w:val="20"/>
              </w:rPr>
              <w:t>0.36</w:t>
            </w:r>
          </w:p>
        </w:tc>
        <w:tc>
          <w:tcPr>
            <w:tcW w:w="270" w:type="dxa"/>
            <w:tcBorders>
              <w:top w:val="nil"/>
              <w:left w:val="nil"/>
              <w:bottom w:val="nil"/>
              <w:right w:val="nil"/>
            </w:tcBorders>
            <w:shd w:val="clear" w:color="auto" w:fill="auto"/>
            <w:noWrap/>
            <w:vAlign w:val="bottom"/>
            <w:hideMark/>
          </w:tcPr>
          <w:p w14:paraId="23F0F8EE"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6E8A7D6D" w14:textId="77777777" w:rsidR="004830BC" w:rsidRPr="00BB15E2" w:rsidRDefault="004830BC" w:rsidP="00B22915">
            <w:pPr>
              <w:jc w:val="center"/>
              <w:rPr>
                <w:color w:val="000000"/>
                <w:sz w:val="20"/>
                <w:szCs w:val="20"/>
              </w:rPr>
            </w:pPr>
            <w:r w:rsidRPr="00BB15E2">
              <w:rPr>
                <w:color w:val="000000"/>
                <w:sz w:val="20"/>
                <w:szCs w:val="20"/>
              </w:rPr>
              <w:t>0.30</w:t>
            </w:r>
          </w:p>
        </w:tc>
        <w:tc>
          <w:tcPr>
            <w:tcW w:w="900" w:type="dxa"/>
            <w:tcBorders>
              <w:top w:val="nil"/>
              <w:left w:val="nil"/>
              <w:bottom w:val="nil"/>
              <w:right w:val="nil"/>
            </w:tcBorders>
            <w:shd w:val="clear" w:color="auto" w:fill="auto"/>
            <w:noWrap/>
            <w:vAlign w:val="bottom"/>
            <w:hideMark/>
          </w:tcPr>
          <w:p w14:paraId="51FABCED" w14:textId="77777777" w:rsidR="004830BC" w:rsidRPr="00BB15E2" w:rsidRDefault="004830BC" w:rsidP="00B22915">
            <w:pPr>
              <w:jc w:val="center"/>
              <w:rPr>
                <w:color w:val="000000"/>
                <w:sz w:val="20"/>
                <w:szCs w:val="20"/>
              </w:rPr>
            </w:pPr>
            <w:r w:rsidRPr="00BB15E2">
              <w:rPr>
                <w:color w:val="000000"/>
                <w:sz w:val="20"/>
                <w:szCs w:val="20"/>
              </w:rPr>
              <w:t>0.46</w:t>
            </w:r>
          </w:p>
        </w:tc>
        <w:tc>
          <w:tcPr>
            <w:tcW w:w="270" w:type="dxa"/>
            <w:tcBorders>
              <w:top w:val="nil"/>
              <w:left w:val="nil"/>
              <w:bottom w:val="nil"/>
              <w:right w:val="nil"/>
            </w:tcBorders>
            <w:shd w:val="clear" w:color="auto" w:fill="auto"/>
            <w:noWrap/>
            <w:vAlign w:val="bottom"/>
            <w:hideMark/>
          </w:tcPr>
          <w:p w14:paraId="69AA1D4E"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3E331C51" w14:textId="77777777" w:rsidR="004830BC" w:rsidRPr="00BB15E2" w:rsidRDefault="004830BC" w:rsidP="00B22915">
            <w:pPr>
              <w:jc w:val="center"/>
              <w:rPr>
                <w:color w:val="000000"/>
                <w:sz w:val="20"/>
                <w:szCs w:val="20"/>
              </w:rPr>
            </w:pPr>
            <w:r w:rsidRPr="00BB15E2">
              <w:rPr>
                <w:color w:val="000000"/>
                <w:sz w:val="20"/>
                <w:szCs w:val="20"/>
              </w:rPr>
              <w:t>0.43</w:t>
            </w:r>
          </w:p>
        </w:tc>
        <w:tc>
          <w:tcPr>
            <w:tcW w:w="1080" w:type="dxa"/>
            <w:tcBorders>
              <w:top w:val="nil"/>
              <w:left w:val="nil"/>
              <w:bottom w:val="nil"/>
              <w:right w:val="nil"/>
            </w:tcBorders>
            <w:shd w:val="clear" w:color="auto" w:fill="auto"/>
            <w:noWrap/>
            <w:vAlign w:val="bottom"/>
            <w:hideMark/>
          </w:tcPr>
          <w:p w14:paraId="49D2273E" w14:textId="77777777" w:rsidR="004830BC" w:rsidRPr="00BB15E2" w:rsidRDefault="004830BC" w:rsidP="00B22915">
            <w:pPr>
              <w:jc w:val="center"/>
              <w:rPr>
                <w:color w:val="000000"/>
                <w:sz w:val="20"/>
                <w:szCs w:val="20"/>
              </w:rPr>
            </w:pPr>
            <w:r w:rsidRPr="00BB15E2">
              <w:rPr>
                <w:color w:val="000000"/>
                <w:sz w:val="20"/>
                <w:szCs w:val="20"/>
              </w:rPr>
              <w:t>0.49</w:t>
            </w:r>
          </w:p>
        </w:tc>
        <w:tc>
          <w:tcPr>
            <w:tcW w:w="270" w:type="dxa"/>
            <w:tcBorders>
              <w:top w:val="nil"/>
              <w:left w:val="nil"/>
              <w:bottom w:val="nil"/>
              <w:right w:val="nil"/>
            </w:tcBorders>
            <w:shd w:val="clear" w:color="auto" w:fill="auto"/>
            <w:noWrap/>
            <w:vAlign w:val="bottom"/>
            <w:hideMark/>
          </w:tcPr>
          <w:p w14:paraId="709CFC37"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5184B474" w14:textId="77777777" w:rsidR="004830BC" w:rsidRPr="00BB15E2" w:rsidRDefault="004830BC" w:rsidP="00B22915">
            <w:pPr>
              <w:jc w:val="center"/>
              <w:rPr>
                <w:color w:val="000000"/>
                <w:sz w:val="20"/>
                <w:szCs w:val="20"/>
              </w:rPr>
            </w:pPr>
            <w:r w:rsidRPr="00BB15E2">
              <w:rPr>
                <w:color w:val="000000"/>
                <w:sz w:val="20"/>
                <w:szCs w:val="20"/>
              </w:rPr>
              <w:t>0.45</w:t>
            </w:r>
          </w:p>
        </w:tc>
        <w:tc>
          <w:tcPr>
            <w:tcW w:w="990" w:type="dxa"/>
            <w:tcBorders>
              <w:top w:val="nil"/>
              <w:left w:val="nil"/>
              <w:bottom w:val="nil"/>
              <w:right w:val="nil"/>
            </w:tcBorders>
            <w:shd w:val="clear" w:color="auto" w:fill="auto"/>
            <w:noWrap/>
            <w:vAlign w:val="bottom"/>
            <w:hideMark/>
          </w:tcPr>
          <w:p w14:paraId="6B0BA453" w14:textId="77777777" w:rsidR="004830BC" w:rsidRPr="00BB15E2" w:rsidRDefault="004830BC" w:rsidP="00B22915">
            <w:pPr>
              <w:jc w:val="center"/>
              <w:rPr>
                <w:color w:val="000000"/>
                <w:sz w:val="20"/>
                <w:szCs w:val="20"/>
              </w:rPr>
            </w:pPr>
            <w:r w:rsidRPr="00BB15E2">
              <w:rPr>
                <w:color w:val="000000"/>
                <w:sz w:val="20"/>
                <w:szCs w:val="20"/>
              </w:rPr>
              <w:t>0.50</w:t>
            </w:r>
          </w:p>
        </w:tc>
        <w:tc>
          <w:tcPr>
            <w:tcW w:w="270" w:type="dxa"/>
            <w:tcBorders>
              <w:top w:val="nil"/>
              <w:left w:val="nil"/>
              <w:bottom w:val="nil"/>
              <w:right w:val="nil"/>
            </w:tcBorders>
            <w:shd w:val="clear" w:color="auto" w:fill="auto"/>
            <w:noWrap/>
            <w:vAlign w:val="bottom"/>
            <w:hideMark/>
          </w:tcPr>
          <w:p w14:paraId="364A759C"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618E9F43" w14:textId="77777777" w:rsidR="004830BC" w:rsidRPr="00BB15E2" w:rsidRDefault="004830BC" w:rsidP="00B22915">
            <w:pPr>
              <w:jc w:val="center"/>
              <w:rPr>
                <w:color w:val="000000"/>
                <w:sz w:val="20"/>
                <w:szCs w:val="20"/>
              </w:rPr>
            </w:pPr>
            <w:r w:rsidRPr="00BB15E2">
              <w:rPr>
                <w:color w:val="000000"/>
                <w:sz w:val="20"/>
                <w:szCs w:val="20"/>
              </w:rPr>
              <w:t>0.43</w:t>
            </w:r>
          </w:p>
        </w:tc>
        <w:tc>
          <w:tcPr>
            <w:tcW w:w="1080" w:type="dxa"/>
            <w:tcBorders>
              <w:top w:val="nil"/>
              <w:left w:val="nil"/>
              <w:bottom w:val="nil"/>
              <w:right w:val="nil"/>
            </w:tcBorders>
            <w:shd w:val="clear" w:color="auto" w:fill="auto"/>
            <w:noWrap/>
            <w:vAlign w:val="bottom"/>
            <w:hideMark/>
          </w:tcPr>
          <w:p w14:paraId="3780B305" w14:textId="77777777" w:rsidR="004830BC" w:rsidRPr="00BB15E2" w:rsidRDefault="004830BC" w:rsidP="00B22915">
            <w:pPr>
              <w:jc w:val="center"/>
              <w:rPr>
                <w:color w:val="000000"/>
                <w:sz w:val="20"/>
                <w:szCs w:val="20"/>
              </w:rPr>
            </w:pPr>
            <w:r w:rsidRPr="00BB15E2">
              <w:rPr>
                <w:color w:val="000000"/>
                <w:sz w:val="20"/>
                <w:szCs w:val="20"/>
              </w:rPr>
              <w:t>0.49</w:t>
            </w:r>
          </w:p>
        </w:tc>
      </w:tr>
      <w:tr w:rsidR="004830BC" w:rsidRPr="00BB15E2" w14:paraId="72BDBC3F" w14:textId="77777777" w:rsidTr="004830BC">
        <w:trPr>
          <w:trHeight w:val="300"/>
        </w:trPr>
        <w:tc>
          <w:tcPr>
            <w:tcW w:w="2430" w:type="dxa"/>
            <w:tcBorders>
              <w:top w:val="nil"/>
              <w:left w:val="nil"/>
              <w:bottom w:val="nil"/>
              <w:right w:val="nil"/>
            </w:tcBorders>
            <w:shd w:val="clear" w:color="auto" w:fill="auto"/>
            <w:noWrap/>
            <w:vAlign w:val="bottom"/>
            <w:hideMark/>
          </w:tcPr>
          <w:p w14:paraId="6A4FEF89" w14:textId="77777777" w:rsidR="004830BC" w:rsidRPr="00BB15E2" w:rsidRDefault="004830BC" w:rsidP="00B22915">
            <w:pPr>
              <w:rPr>
                <w:color w:val="000000"/>
                <w:sz w:val="20"/>
                <w:szCs w:val="20"/>
              </w:rPr>
            </w:pPr>
            <w:r>
              <w:rPr>
                <w:color w:val="000000"/>
                <w:sz w:val="20"/>
                <w:szCs w:val="20"/>
              </w:rPr>
              <w:t>On-Time</w:t>
            </w:r>
            <w:r w:rsidRPr="00BB15E2">
              <w:rPr>
                <w:color w:val="000000"/>
                <w:sz w:val="20"/>
                <w:szCs w:val="20"/>
              </w:rPr>
              <w:t xml:space="preserve"> HS Graduation</w:t>
            </w:r>
          </w:p>
        </w:tc>
        <w:tc>
          <w:tcPr>
            <w:tcW w:w="990" w:type="dxa"/>
            <w:tcBorders>
              <w:top w:val="nil"/>
              <w:left w:val="nil"/>
              <w:bottom w:val="nil"/>
              <w:right w:val="nil"/>
            </w:tcBorders>
            <w:shd w:val="clear" w:color="auto" w:fill="auto"/>
            <w:noWrap/>
            <w:vAlign w:val="bottom"/>
            <w:hideMark/>
          </w:tcPr>
          <w:p w14:paraId="17A5398E" w14:textId="77777777" w:rsidR="004830BC" w:rsidRPr="00BB15E2" w:rsidRDefault="004830BC" w:rsidP="00B22915">
            <w:pPr>
              <w:jc w:val="center"/>
              <w:rPr>
                <w:color w:val="000000"/>
                <w:sz w:val="20"/>
                <w:szCs w:val="20"/>
              </w:rPr>
            </w:pPr>
            <w:r w:rsidRPr="00BB15E2">
              <w:rPr>
                <w:color w:val="000000"/>
                <w:sz w:val="20"/>
                <w:szCs w:val="20"/>
              </w:rPr>
              <w:t>0.61</w:t>
            </w:r>
          </w:p>
        </w:tc>
        <w:tc>
          <w:tcPr>
            <w:tcW w:w="990" w:type="dxa"/>
            <w:tcBorders>
              <w:top w:val="nil"/>
              <w:left w:val="nil"/>
              <w:bottom w:val="nil"/>
              <w:right w:val="nil"/>
            </w:tcBorders>
            <w:shd w:val="clear" w:color="auto" w:fill="auto"/>
            <w:noWrap/>
            <w:vAlign w:val="bottom"/>
            <w:hideMark/>
          </w:tcPr>
          <w:p w14:paraId="389DCDCF" w14:textId="77777777" w:rsidR="004830BC" w:rsidRPr="00BB15E2" w:rsidRDefault="004830BC" w:rsidP="00B22915">
            <w:pPr>
              <w:jc w:val="center"/>
              <w:rPr>
                <w:color w:val="000000"/>
                <w:sz w:val="20"/>
                <w:szCs w:val="20"/>
              </w:rPr>
            </w:pPr>
            <w:r w:rsidRPr="00BB15E2">
              <w:rPr>
                <w:color w:val="000000"/>
                <w:sz w:val="20"/>
                <w:szCs w:val="20"/>
              </w:rPr>
              <w:t>0.49</w:t>
            </w:r>
          </w:p>
        </w:tc>
        <w:tc>
          <w:tcPr>
            <w:tcW w:w="270" w:type="dxa"/>
            <w:tcBorders>
              <w:top w:val="nil"/>
              <w:left w:val="nil"/>
              <w:bottom w:val="nil"/>
              <w:right w:val="nil"/>
            </w:tcBorders>
            <w:shd w:val="clear" w:color="auto" w:fill="auto"/>
            <w:noWrap/>
            <w:vAlign w:val="bottom"/>
            <w:hideMark/>
          </w:tcPr>
          <w:p w14:paraId="63C1D007"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1D568C6A" w14:textId="77777777" w:rsidR="004830BC" w:rsidRPr="00BB15E2" w:rsidRDefault="004830BC" w:rsidP="00B22915">
            <w:pPr>
              <w:jc w:val="center"/>
              <w:rPr>
                <w:color w:val="000000"/>
                <w:sz w:val="20"/>
                <w:szCs w:val="20"/>
              </w:rPr>
            </w:pPr>
            <w:r w:rsidRPr="00BB15E2">
              <w:rPr>
                <w:color w:val="000000"/>
                <w:sz w:val="20"/>
                <w:szCs w:val="20"/>
              </w:rPr>
              <w:t>0.63</w:t>
            </w:r>
          </w:p>
        </w:tc>
        <w:tc>
          <w:tcPr>
            <w:tcW w:w="900" w:type="dxa"/>
            <w:tcBorders>
              <w:top w:val="nil"/>
              <w:left w:val="nil"/>
              <w:bottom w:val="nil"/>
              <w:right w:val="nil"/>
            </w:tcBorders>
            <w:shd w:val="clear" w:color="auto" w:fill="auto"/>
            <w:noWrap/>
            <w:vAlign w:val="bottom"/>
            <w:hideMark/>
          </w:tcPr>
          <w:p w14:paraId="1C557941" w14:textId="77777777" w:rsidR="004830BC" w:rsidRPr="00BB15E2" w:rsidRDefault="004830BC" w:rsidP="00B22915">
            <w:pPr>
              <w:jc w:val="center"/>
              <w:rPr>
                <w:color w:val="000000"/>
                <w:sz w:val="20"/>
                <w:szCs w:val="20"/>
              </w:rPr>
            </w:pPr>
            <w:r w:rsidRPr="00BB15E2">
              <w:rPr>
                <w:color w:val="000000"/>
                <w:sz w:val="20"/>
                <w:szCs w:val="20"/>
              </w:rPr>
              <w:t>0.48</w:t>
            </w:r>
          </w:p>
        </w:tc>
        <w:tc>
          <w:tcPr>
            <w:tcW w:w="270" w:type="dxa"/>
            <w:tcBorders>
              <w:top w:val="nil"/>
              <w:left w:val="nil"/>
              <w:bottom w:val="nil"/>
              <w:right w:val="nil"/>
            </w:tcBorders>
            <w:shd w:val="clear" w:color="auto" w:fill="auto"/>
            <w:noWrap/>
            <w:vAlign w:val="bottom"/>
            <w:hideMark/>
          </w:tcPr>
          <w:p w14:paraId="69C43720" w14:textId="77777777" w:rsidR="004830BC" w:rsidRPr="00BB15E2" w:rsidRDefault="004830BC" w:rsidP="00B22915">
            <w:pPr>
              <w:jc w:val="center"/>
              <w:rPr>
                <w:color w:val="000000"/>
                <w:sz w:val="20"/>
                <w:szCs w:val="20"/>
              </w:rPr>
            </w:pPr>
          </w:p>
        </w:tc>
        <w:tc>
          <w:tcPr>
            <w:tcW w:w="1080" w:type="dxa"/>
            <w:tcBorders>
              <w:top w:val="nil"/>
              <w:left w:val="nil"/>
              <w:bottom w:val="nil"/>
              <w:right w:val="nil"/>
            </w:tcBorders>
            <w:shd w:val="clear" w:color="auto" w:fill="auto"/>
            <w:noWrap/>
            <w:vAlign w:val="bottom"/>
            <w:hideMark/>
          </w:tcPr>
          <w:p w14:paraId="2783B931" w14:textId="77777777" w:rsidR="004830BC" w:rsidRPr="00BB15E2" w:rsidRDefault="004830BC" w:rsidP="00B22915">
            <w:pPr>
              <w:jc w:val="center"/>
              <w:rPr>
                <w:color w:val="000000"/>
                <w:sz w:val="20"/>
                <w:szCs w:val="20"/>
              </w:rPr>
            </w:pPr>
            <w:r w:rsidRPr="00BB15E2">
              <w:rPr>
                <w:color w:val="000000"/>
                <w:sz w:val="20"/>
                <w:szCs w:val="20"/>
              </w:rPr>
              <w:t>0.84</w:t>
            </w:r>
          </w:p>
        </w:tc>
        <w:tc>
          <w:tcPr>
            <w:tcW w:w="1080" w:type="dxa"/>
            <w:tcBorders>
              <w:top w:val="nil"/>
              <w:left w:val="nil"/>
              <w:bottom w:val="nil"/>
              <w:right w:val="nil"/>
            </w:tcBorders>
            <w:shd w:val="clear" w:color="auto" w:fill="auto"/>
            <w:noWrap/>
            <w:vAlign w:val="bottom"/>
            <w:hideMark/>
          </w:tcPr>
          <w:p w14:paraId="03645C3B" w14:textId="77777777" w:rsidR="004830BC" w:rsidRPr="00BB15E2" w:rsidRDefault="004830BC" w:rsidP="00B22915">
            <w:pPr>
              <w:jc w:val="center"/>
              <w:rPr>
                <w:color w:val="000000"/>
                <w:sz w:val="20"/>
                <w:szCs w:val="20"/>
              </w:rPr>
            </w:pPr>
            <w:r w:rsidRPr="00BB15E2">
              <w:rPr>
                <w:color w:val="000000"/>
                <w:sz w:val="20"/>
                <w:szCs w:val="20"/>
              </w:rPr>
              <w:t>0.37</w:t>
            </w:r>
          </w:p>
        </w:tc>
        <w:tc>
          <w:tcPr>
            <w:tcW w:w="270" w:type="dxa"/>
            <w:tcBorders>
              <w:top w:val="nil"/>
              <w:left w:val="nil"/>
              <w:bottom w:val="nil"/>
              <w:right w:val="nil"/>
            </w:tcBorders>
            <w:shd w:val="clear" w:color="auto" w:fill="auto"/>
            <w:noWrap/>
            <w:vAlign w:val="bottom"/>
            <w:hideMark/>
          </w:tcPr>
          <w:p w14:paraId="0790B8D7"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560FD09E" w14:textId="77777777" w:rsidR="004830BC" w:rsidRPr="00BB15E2" w:rsidRDefault="004830BC" w:rsidP="00B22915">
            <w:pPr>
              <w:jc w:val="center"/>
              <w:rPr>
                <w:color w:val="000000"/>
                <w:sz w:val="20"/>
                <w:szCs w:val="20"/>
              </w:rPr>
            </w:pPr>
            <w:r w:rsidRPr="00BB15E2">
              <w:rPr>
                <w:color w:val="000000"/>
                <w:sz w:val="20"/>
                <w:szCs w:val="20"/>
              </w:rPr>
              <w:t>0.84</w:t>
            </w:r>
          </w:p>
        </w:tc>
        <w:tc>
          <w:tcPr>
            <w:tcW w:w="990" w:type="dxa"/>
            <w:tcBorders>
              <w:top w:val="nil"/>
              <w:left w:val="nil"/>
              <w:bottom w:val="nil"/>
              <w:right w:val="nil"/>
            </w:tcBorders>
            <w:shd w:val="clear" w:color="auto" w:fill="auto"/>
            <w:noWrap/>
            <w:vAlign w:val="bottom"/>
            <w:hideMark/>
          </w:tcPr>
          <w:p w14:paraId="37C3264D" w14:textId="77777777" w:rsidR="004830BC" w:rsidRPr="00BB15E2" w:rsidRDefault="004830BC" w:rsidP="00B22915">
            <w:pPr>
              <w:jc w:val="center"/>
              <w:rPr>
                <w:color w:val="000000"/>
                <w:sz w:val="20"/>
                <w:szCs w:val="20"/>
              </w:rPr>
            </w:pPr>
            <w:r w:rsidRPr="00BB15E2">
              <w:rPr>
                <w:color w:val="000000"/>
                <w:sz w:val="20"/>
                <w:szCs w:val="20"/>
              </w:rPr>
              <w:t>0.37</w:t>
            </w:r>
          </w:p>
        </w:tc>
        <w:tc>
          <w:tcPr>
            <w:tcW w:w="270" w:type="dxa"/>
            <w:tcBorders>
              <w:top w:val="nil"/>
              <w:left w:val="nil"/>
              <w:bottom w:val="nil"/>
              <w:right w:val="nil"/>
            </w:tcBorders>
            <w:shd w:val="clear" w:color="auto" w:fill="auto"/>
            <w:noWrap/>
            <w:vAlign w:val="bottom"/>
            <w:hideMark/>
          </w:tcPr>
          <w:p w14:paraId="42F5F8CB" w14:textId="77777777" w:rsidR="004830BC" w:rsidRPr="00BB15E2" w:rsidRDefault="004830BC" w:rsidP="00B22915">
            <w:pPr>
              <w:jc w:val="center"/>
              <w:rPr>
                <w:color w:val="000000"/>
                <w:sz w:val="20"/>
                <w:szCs w:val="20"/>
              </w:rPr>
            </w:pPr>
          </w:p>
        </w:tc>
        <w:tc>
          <w:tcPr>
            <w:tcW w:w="990" w:type="dxa"/>
            <w:tcBorders>
              <w:top w:val="nil"/>
              <w:left w:val="nil"/>
              <w:bottom w:val="nil"/>
              <w:right w:val="nil"/>
            </w:tcBorders>
            <w:shd w:val="clear" w:color="auto" w:fill="auto"/>
            <w:noWrap/>
            <w:vAlign w:val="bottom"/>
            <w:hideMark/>
          </w:tcPr>
          <w:p w14:paraId="7156508B" w14:textId="77777777" w:rsidR="004830BC" w:rsidRPr="00BB15E2" w:rsidRDefault="004830BC" w:rsidP="00B22915">
            <w:pPr>
              <w:jc w:val="center"/>
              <w:rPr>
                <w:color w:val="000000"/>
                <w:sz w:val="20"/>
                <w:szCs w:val="20"/>
              </w:rPr>
            </w:pPr>
            <w:r w:rsidRPr="00BB15E2">
              <w:rPr>
                <w:color w:val="000000"/>
                <w:sz w:val="20"/>
                <w:szCs w:val="20"/>
              </w:rPr>
              <w:t>0.82</w:t>
            </w:r>
          </w:p>
        </w:tc>
        <w:tc>
          <w:tcPr>
            <w:tcW w:w="1080" w:type="dxa"/>
            <w:tcBorders>
              <w:top w:val="nil"/>
              <w:left w:val="nil"/>
              <w:bottom w:val="nil"/>
              <w:right w:val="nil"/>
            </w:tcBorders>
            <w:shd w:val="clear" w:color="auto" w:fill="auto"/>
            <w:noWrap/>
            <w:vAlign w:val="bottom"/>
            <w:hideMark/>
          </w:tcPr>
          <w:p w14:paraId="175CEBAB" w14:textId="77777777" w:rsidR="004830BC" w:rsidRPr="00BB15E2" w:rsidRDefault="004830BC" w:rsidP="00B22915">
            <w:pPr>
              <w:jc w:val="center"/>
              <w:rPr>
                <w:color w:val="000000"/>
                <w:sz w:val="20"/>
                <w:szCs w:val="20"/>
              </w:rPr>
            </w:pPr>
            <w:r w:rsidRPr="00BB15E2">
              <w:rPr>
                <w:color w:val="000000"/>
                <w:sz w:val="20"/>
                <w:szCs w:val="20"/>
              </w:rPr>
              <w:t>0.39</w:t>
            </w:r>
          </w:p>
        </w:tc>
      </w:tr>
      <w:tr w:rsidR="00B22915" w:rsidRPr="00BB15E2" w14:paraId="337D473A" w14:textId="77777777" w:rsidTr="00B22915">
        <w:trPr>
          <w:trHeight w:val="953"/>
        </w:trPr>
        <w:tc>
          <w:tcPr>
            <w:tcW w:w="13590" w:type="dxa"/>
            <w:gridSpan w:val="15"/>
            <w:tcBorders>
              <w:top w:val="single" w:sz="4" w:space="0" w:color="auto"/>
              <w:left w:val="nil"/>
              <w:bottom w:val="nil"/>
              <w:right w:val="nil"/>
            </w:tcBorders>
            <w:shd w:val="clear" w:color="auto" w:fill="auto"/>
            <w:hideMark/>
          </w:tcPr>
          <w:p w14:paraId="73EBADF3" w14:textId="22C3D9C6" w:rsidR="00B22915" w:rsidRPr="00BB15E2" w:rsidRDefault="00B22915" w:rsidP="00B22915">
            <w:pPr>
              <w:rPr>
                <w:color w:val="000000"/>
                <w:sz w:val="20"/>
                <w:szCs w:val="20"/>
              </w:rPr>
            </w:pPr>
            <w:r w:rsidRPr="00BB15E2">
              <w:rPr>
                <w:color w:val="000000"/>
                <w:sz w:val="20"/>
                <w:szCs w:val="20"/>
              </w:rPr>
              <w:t xml:space="preserve">Notes: Sample includes students ever classified as English Learners (ELs) in the district, as indicated has having a Limited English Proficient (LEP) date. </w:t>
            </w:r>
            <w:r w:rsidR="007D1C1C">
              <w:rPr>
                <w:color w:val="000000"/>
                <w:sz w:val="20"/>
                <w:szCs w:val="20"/>
              </w:rPr>
              <w:t xml:space="preserve">Means are column means and proportions. </w:t>
            </w:r>
            <w:r w:rsidR="000B51C4">
              <w:rPr>
                <w:color w:val="000000"/>
                <w:sz w:val="20"/>
                <w:szCs w:val="20"/>
              </w:rPr>
              <w:t xml:space="preserve">N = number of students. </w:t>
            </w:r>
            <w:r w:rsidRPr="00BB15E2">
              <w:rPr>
                <w:color w:val="000000"/>
                <w:sz w:val="20"/>
                <w:szCs w:val="20"/>
              </w:rPr>
              <w:t>Chinese and Hispanic are reported ethnicities. HS = high school.</w:t>
            </w:r>
            <w:r>
              <w:rPr>
                <w:color w:val="000000"/>
                <w:sz w:val="20"/>
                <w:szCs w:val="20"/>
              </w:rPr>
              <w:t xml:space="preserve"> SPED = Special Education participation. AP Exams = Advanced Placement exams taken. Days Suspended is the total number of days suspended during the 10</w:t>
            </w:r>
            <w:r w:rsidRPr="00BE4D6E">
              <w:rPr>
                <w:color w:val="000000"/>
                <w:sz w:val="20"/>
                <w:szCs w:val="20"/>
                <w:vertAlign w:val="superscript"/>
              </w:rPr>
              <w:t>th</w:t>
            </w:r>
            <w:r>
              <w:rPr>
                <w:color w:val="000000"/>
                <w:sz w:val="20"/>
                <w:szCs w:val="20"/>
              </w:rPr>
              <w:t xml:space="preserve"> grade school year.</w:t>
            </w:r>
            <w:r w:rsidRPr="00BB15E2">
              <w:rPr>
                <w:color w:val="000000"/>
                <w:sz w:val="20"/>
                <w:szCs w:val="20"/>
              </w:rPr>
              <w:t xml:space="preserve">  </w:t>
            </w:r>
            <w:r w:rsidR="008B4D29">
              <w:rPr>
                <w:color w:val="000000"/>
                <w:sz w:val="20"/>
                <w:szCs w:val="20"/>
              </w:rPr>
              <w:t xml:space="preserve">Current </w:t>
            </w:r>
            <w:r w:rsidRPr="00BB15E2">
              <w:rPr>
                <w:color w:val="000000"/>
                <w:sz w:val="20"/>
                <w:szCs w:val="20"/>
              </w:rPr>
              <w:t xml:space="preserve">EL = current English Learner as of 11th grade. </w:t>
            </w:r>
            <w:r>
              <w:rPr>
                <w:color w:val="000000"/>
                <w:sz w:val="20"/>
                <w:szCs w:val="20"/>
              </w:rPr>
              <w:t xml:space="preserve">Gr 6+ Entry = first identified as EL </w:t>
            </w:r>
            <w:proofErr w:type="gramStart"/>
            <w:r>
              <w:rPr>
                <w:color w:val="000000"/>
                <w:sz w:val="20"/>
                <w:szCs w:val="20"/>
              </w:rPr>
              <w:t>in 6</w:t>
            </w:r>
            <w:r w:rsidRPr="00BE4D6E">
              <w:rPr>
                <w:color w:val="000000"/>
                <w:sz w:val="20"/>
                <w:szCs w:val="20"/>
                <w:vertAlign w:val="superscript"/>
              </w:rPr>
              <w:t>th</w:t>
            </w:r>
            <w:proofErr w:type="gramEnd"/>
            <w:r>
              <w:rPr>
                <w:color w:val="000000"/>
                <w:sz w:val="20"/>
                <w:szCs w:val="20"/>
              </w:rPr>
              <w:t xml:space="preserve"> grade or later. </w:t>
            </w:r>
            <w:r w:rsidRPr="00BB15E2">
              <w:rPr>
                <w:color w:val="000000"/>
                <w:sz w:val="20"/>
                <w:szCs w:val="20"/>
              </w:rPr>
              <w:t>Reclassified EL = exited EL status in 10th grade or earlier.</w:t>
            </w:r>
            <w:r>
              <w:rPr>
                <w:color w:val="000000"/>
                <w:sz w:val="20"/>
                <w:szCs w:val="20"/>
              </w:rPr>
              <w:t xml:space="preserve"> Credits Gr 12 = college credits earned in 12</w:t>
            </w:r>
            <w:r w:rsidRPr="00BE4D6E">
              <w:rPr>
                <w:color w:val="000000"/>
                <w:sz w:val="20"/>
                <w:szCs w:val="20"/>
                <w:vertAlign w:val="superscript"/>
              </w:rPr>
              <w:t>th</w:t>
            </w:r>
            <w:r>
              <w:rPr>
                <w:color w:val="000000"/>
                <w:sz w:val="20"/>
                <w:szCs w:val="20"/>
              </w:rPr>
              <w:t xml:space="preserve"> grade. Immediate College= attended any college in the fall after 12</w:t>
            </w:r>
            <w:r w:rsidRPr="00BE4D6E">
              <w:rPr>
                <w:color w:val="000000"/>
                <w:sz w:val="20"/>
                <w:szCs w:val="20"/>
                <w:vertAlign w:val="superscript"/>
              </w:rPr>
              <w:t>th</w:t>
            </w:r>
            <w:r>
              <w:rPr>
                <w:color w:val="000000"/>
                <w:sz w:val="20"/>
                <w:szCs w:val="20"/>
              </w:rPr>
              <w:t xml:space="preserve"> grade. 4-Year College= attended a 4-year college or university. On-Time HS Graduation = graduated from high school in 4 years or less. </w:t>
            </w:r>
            <w:r w:rsidRPr="00BB15E2">
              <w:rPr>
                <w:color w:val="000000"/>
                <w:sz w:val="20"/>
                <w:szCs w:val="20"/>
              </w:rPr>
              <w:t>Treated HS = the three high schools that (eventually) adopted Early College. Control HS = high schools in the district that did not adopt Early College. Post = 2016-17 to 2018-19. Pre = 2012-13 to 2015-16.</w:t>
            </w:r>
            <w:r w:rsidR="004830BC">
              <w:rPr>
                <w:color w:val="000000"/>
                <w:sz w:val="20"/>
                <w:szCs w:val="20"/>
              </w:rPr>
              <w:t xml:space="preserve"> Group sample sizes</w:t>
            </w:r>
            <w:r w:rsidR="00117EFE">
              <w:rPr>
                <w:color w:val="000000"/>
                <w:sz w:val="20"/>
                <w:szCs w:val="20"/>
              </w:rPr>
              <w:t xml:space="preserve"> (students)</w:t>
            </w:r>
            <w:r w:rsidR="004830BC">
              <w:rPr>
                <w:color w:val="000000"/>
                <w:sz w:val="20"/>
                <w:szCs w:val="20"/>
              </w:rPr>
              <w:t xml:space="preserve"> are as follows: Treated HS Post N=369. Treated HS Pre N = 989. Control HS Post N = 5675. Control HS Pre N = 8057. All N = 15090.</w:t>
            </w:r>
          </w:p>
        </w:tc>
      </w:tr>
    </w:tbl>
    <w:p w14:paraId="682250F6" w14:textId="77777777" w:rsidR="00B22915" w:rsidRDefault="00B22915" w:rsidP="00B22915">
      <w:pPr>
        <w:jc w:val="center"/>
      </w:pPr>
    </w:p>
    <w:p w14:paraId="0788E5DB" w14:textId="77777777" w:rsidR="00B22915" w:rsidRDefault="00B22915" w:rsidP="00B22915">
      <w:r>
        <w:br w:type="page"/>
      </w:r>
    </w:p>
    <w:p w14:paraId="29E6B908" w14:textId="3D2956D9" w:rsidR="00B22915" w:rsidRDefault="00B22915" w:rsidP="00B22915">
      <w:r>
        <w:lastRenderedPageBreak/>
        <w:t xml:space="preserve">Table 3. DiD Estimates of Early College Program Effects on </w:t>
      </w:r>
      <w:r w:rsidR="008B4D29">
        <w:t>Ever-</w:t>
      </w:r>
      <w:r>
        <w:t>EL Academic Outcomes</w:t>
      </w:r>
    </w:p>
    <w:tbl>
      <w:tblPr>
        <w:tblW w:w="12600" w:type="dxa"/>
        <w:tblLayout w:type="fixed"/>
        <w:tblLook w:val="04A0" w:firstRow="1" w:lastRow="0" w:firstColumn="1" w:lastColumn="0" w:noHBand="0" w:noVBand="1"/>
      </w:tblPr>
      <w:tblGrid>
        <w:gridCol w:w="2240"/>
        <w:gridCol w:w="2590"/>
        <w:gridCol w:w="2590"/>
        <w:gridCol w:w="2590"/>
        <w:gridCol w:w="2590"/>
      </w:tblGrid>
      <w:tr w:rsidR="00B22915" w:rsidRPr="004B040D" w14:paraId="312D254E" w14:textId="77777777" w:rsidTr="00B22915">
        <w:trPr>
          <w:trHeight w:val="300"/>
        </w:trPr>
        <w:tc>
          <w:tcPr>
            <w:tcW w:w="2240" w:type="dxa"/>
            <w:tcBorders>
              <w:top w:val="single" w:sz="4" w:space="0" w:color="000000"/>
              <w:left w:val="nil"/>
              <w:bottom w:val="nil"/>
              <w:right w:val="nil"/>
            </w:tcBorders>
            <w:shd w:val="clear" w:color="auto" w:fill="auto"/>
            <w:noWrap/>
            <w:vAlign w:val="bottom"/>
            <w:hideMark/>
          </w:tcPr>
          <w:p w14:paraId="135543C5" w14:textId="77777777" w:rsidR="00B22915" w:rsidRPr="004B040D" w:rsidRDefault="00B22915" w:rsidP="00B22915">
            <w:pP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4915AA91" w14:textId="77777777" w:rsidR="00B22915" w:rsidRPr="004B040D" w:rsidRDefault="00B22915" w:rsidP="00B22915">
            <w:pPr>
              <w:jc w:val="center"/>
              <w:rPr>
                <w:color w:val="000000"/>
                <w:sz w:val="20"/>
                <w:szCs w:val="20"/>
              </w:rPr>
            </w:pPr>
            <w:r w:rsidRPr="004B040D">
              <w:rPr>
                <w:color w:val="000000"/>
                <w:sz w:val="20"/>
                <w:szCs w:val="20"/>
              </w:rPr>
              <w:t>(1)</w:t>
            </w:r>
          </w:p>
        </w:tc>
        <w:tc>
          <w:tcPr>
            <w:tcW w:w="2590" w:type="dxa"/>
            <w:tcBorders>
              <w:top w:val="single" w:sz="4" w:space="0" w:color="000000"/>
              <w:left w:val="nil"/>
              <w:bottom w:val="nil"/>
              <w:right w:val="nil"/>
            </w:tcBorders>
            <w:shd w:val="clear" w:color="auto" w:fill="auto"/>
            <w:noWrap/>
            <w:vAlign w:val="bottom"/>
            <w:hideMark/>
          </w:tcPr>
          <w:p w14:paraId="5F3D59E3" w14:textId="77777777" w:rsidR="00B22915" w:rsidRPr="004B040D" w:rsidRDefault="00B22915" w:rsidP="00B22915">
            <w:pPr>
              <w:jc w:val="center"/>
              <w:rPr>
                <w:color w:val="000000"/>
                <w:sz w:val="20"/>
                <w:szCs w:val="20"/>
              </w:rPr>
            </w:pPr>
            <w:r w:rsidRPr="004B040D">
              <w:rPr>
                <w:color w:val="000000"/>
                <w:sz w:val="20"/>
                <w:szCs w:val="20"/>
              </w:rPr>
              <w:t>(2)</w:t>
            </w:r>
          </w:p>
        </w:tc>
        <w:tc>
          <w:tcPr>
            <w:tcW w:w="2590" w:type="dxa"/>
            <w:tcBorders>
              <w:top w:val="single" w:sz="4" w:space="0" w:color="000000"/>
              <w:left w:val="nil"/>
              <w:bottom w:val="nil"/>
              <w:right w:val="nil"/>
            </w:tcBorders>
            <w:shd w:val="clear" w:color="auto" w:fill="auto"/>
            <w:noWrap/>
            <w:vAlign w:val="bottom"/>
            <w:hideMark/>
          </w:tcPr>
          <w:p w14:paraId="4FAE31CE" w14:textId="77777777" w:rsidR="00B22915" w:rsidRPr="004B040D" w:rsidRDefault="00B22915" w:rsidP="00B22915">
            <w:pPr>
              <w:jc w:val="center"/>
              <w:rPr>
                <w:color w:val="000000"/>
                <w:sz w:val="20"/>
                <w:szCs w:val="20"/>
              </w:rPr>
            </w:pPr>
            <w:r w:rsidRPr="004B040D">
              <w:rPr>
                <w:color w:val="000000"/>
                <w:sz w:val="20"/>
                <w:szCs w:val="20"/>
              </w:rPr>
              <w:t>(3)</w:t>
            </w:r>
          </w:p>
        </w:tc>
        <w:tc>
          <w:tcPr>
            <w:tcW w:w="2590" w:type="dxa"/>
            <w:tcBorders>
              <w:top w:val="single" w:sz="4" w:space="0" w:color="000000"/>
              <w:left w:val="nil"/>
              <w:bottom w:val="nil"/>
              <w:right w:val="nil"/>
            </w:tcBorders>
            <w:shd w:val="clear" w:color="auto" w:fill="auto"/>
            <w:noWrap/>
            <w:vAlign w:val="bottom"/>
            <w:hideMark/>
          </w:tcPr>
          <w:p w14:paraId="68B98B98" w14:textId="77777777" w:rsidR="00B22915" w:rsidRPr="004B040D" w:rsidRDefault="00B22915" w:rsidP="00B22915">
            <w:pPr>
              <w:jc w:val="center"/>
              <w:rPr>
                <w:color w:val="000000"/>
                <w:sz w:val="20"/>
                <w:szCs w:val="20"/>
              </w:rPr>
            </w:pPr>
            <w:r w:rsidRPr="004B040D">
              <w:rPr>
                <w:color w:val="000000"/>
                <w:sz w:val="20"/>
                <w:szCs w:val="20"/>
              </w:rPr>
              <w:t>(4)</w:t>
            </w:r>
          </w:p>
        </w:tc>
      </w:tr>
      <w:tr w:rsidR="00B22915" w:rsidRPr="004B040D" w14:paraId="66BEE485" w14:textId="77777777" w:rsidTr="00B22915">
        <w:trPr>
          <w:trHeight w:val="300"/>
        </w:trPr>
        <w:tc>
          <w:tcPr>
            <w:tcW w:w="2240" w:type="dxa"/>
            <w:tcBorders>
              <w:top w:val="nil"/>
              <w:left w:val="nil"/>
              <w:bottom w:val="nil"/>
              <w:right w:val="nil"/>
            </w:tcBorders>
            <w:shd w:val="clear" w:color="auto" w:fill="auto"/>
            <w:noWrap/>
            <w:vAlign w:val="bottom"/>
            <w:hideMark/>
          </w:tcPr>
          <w:p w14:paraId="2BFCE812"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205FC000" w14:textId="77777777" w:rsidR="00B22915" w:rsidRPr="000D48AE" w:rsidRDefault="00B22915" w:rsidP="00B22915">
            <w:pPr>
              <w:jc w:val="center"/>
              <w:rPr>
                <w:color w:val="000000"/>
                <w:sz w:val="20"/>
                <w:szCs w:val="20"/>
              </w:rPr>
            </w:pPr>
            <w:r w:rsidRPr="000D48AE">
              <w:rPr>
                <w:sz w:val="20"/>
                <w:szCs w:val="20"/>
              </w:rPr>
              <w:t xml:space="preserve">12th </w:t>
            </w:r>
            <w:r>
              <w:rPr>
                <w:sz w:val="20"/>
                <w:szCs w:val="20"/>
              </w:rPr>
              <w:t>G</w:t>
            </w:r>
            <w:r w:rsidRPr="000D48AE">
              <w:rPr>
                <w:sz w:val="20"/>
                <w:szCs w:val="20"/>
              </w:rPr>
              <w:t xml:space="preserve">rade </w:t>
            </w:r>
            <w:r>
              <w:rPr>
                <w:sz w:val="20"/>
                <w:szCs w:val="20"/>
              </w:rPr>
              <w:t>C</w:t>
            </w:r>
            <w:r w:rsidRPr="000D48AE">
              <w:rPr>
                <w:sz w:val="20"/>
                <w:szCs w:val="20"/>
              </w:rPr>
              <w:t xml:space="preserve">ollege </w:t>
            </w:r>
            <w:r>
              <w:rPr>
                <w:sz w:val="20"/>
                <w:szCs w:val="20"/>
              </w:rPr>
              <w:t>C</w:t>
            </w:r>
            <w:r w:rsidRPr="000D48AE">
              <w:rPr>
                <w:sz w:val="20"/>
                <w:szCs w:val="20"/>
              </w:rPr>
              <w:t>redits</w:t>
            </w:r>
          </w:p>
        </w:tc>
        <w:tc>
          <w:tcPr>
            <w:tcW w:w="2590" w:type="dxa"/>
            <w:tcBorders>
              <w:top w:val="nil"/>
              <w:left w:val="nil"/>
              <w:bottom w:val="nil"/>
              <w:right w:val="nil"/>
            </w:tcBorders>
            <w:shd w:val="clear" w:color="auto" w:fill="auto"/>
            <w:noWrap/>
            <w:vAlign w:val="bottom"/>
            <w:hideMark/>
          </w:tcPr>
          <w:p w14:paraId="14558217" w14:textId="77777777" w:rsidR="00B22915" w:rsidRPr="004B040D" w:rsidRDefault="00B22915" w:rsidP="00B22915">
            <w:pPr>
              <w:jc w:val="center"/>
              <w:rPr>
                <w:color w:val="000000"/>
                <w:sz w:val="20"/>
                <w:szCs w:val="20"/>
              </w:rPr>
            </w:pPr>
            <w:r w:rsidRPr="004B040D">
              <w:rPr>
                <w:color w:val="000000"/>
                <w:sz w:val="20"/>
                <w:szCs w:val="20"/>
              </w:rPr>
              <w:t>Immediate College</w:t>
            </w:r>
          </w:p>
        </w:tc>
        <w:tc>
          <w:tcPr>
            <w:tcW w:w="2590" w:type="dxa"/>
            <w:tcBorders>
              <w:top w:val="nil"/>
              <w:left w:val="nil"/>
              <w:bottom w:val="nil"/>
              <w:right w:val="nil"/>
            </w:tcBorders>
            <w:shd w:val="clear" w:color="auto" w:fill="auto"/>
            <w:noWrap/>
            <w:vAlign w:val="bottom"/>
            <w:hideMark/>
          </w:tcPr>
          <w:p w14:paraId="2F6C67C6" w14:textId="77777777" w:rsidR="00B22915" w:rsidRPr="004B040D" w:rsidRDefault="00B22915" w:rsidP="00B22915">
            <w:pPr>
              <w:jc w:val="center"/>
              <w:rPr>
                <w:color w:val="000000"/>
                <w:sz w:val="20"/>
                <w:szCs w:val="20"/>
              </w:rPr>
            </w:pPr>
            <w:r w:rsidRPr="004B040D">
              <w:rPr>
                <w:color w:val="000000"/>
                <w:sz w:val="20"/>
                <w:szCs w:val="20"/>
              </w:rPr>
              <w:t>4-Year College</w:t>
            </w:r>
          </w:p>
        </w:tc>
        <w:tc>
          <w:tcPr>
            <w:tcW w:w="2590" w:type="dxa"/>
            <w:tcBorders>
              <w:top w:val="nil"/>
              <w:left w:val="nil"/>
              <w:bottom w:val="nil"/>
              <w:right w:val="nil"/>
            </w:tcBorders>
            <w:shd w:val="clear" w:color="auto" w:fill="auto"/>
            <w:noWrap/>
            <w:vAlign w:val="bottom"/>
            <w:hideMark/>
          </w:tcPr>
          <w:p w14:paraId="6CD5F257" w14:textId="77777777" w:rsidR="00B22915" w:rsidRPr="004B040D" w:rsidRDefault="00B22915" w:rsidP="00B22915">
            <w:pPr>
              <w:jc w:val="center"/>
              <w:rPr>
                <w:color w:val="000000"/>
                <w:sz w:val="20"/>
                <w:szCs w:val="20"/>
              </w:rPr>
            </w:pPr>
            <w:r w:rsidRPr="004B040D">
              <w:rPr>
                <w:color w:val="000000"/>
                <w:sz w:val="20"/>
                <w:szCs w:val="20"/>
              </w:rPr>
              <w:t>On-Time HS Graduation</w:t>
            </w:r>
          </w:p>
        </w:tc>
      </w:tr>
      <w:tr w:rsidR="00B22915" w:rsidRPr="004B040D" w14:paraId="2CF92ADC" w14:textId="77777777" w:rsidTr="00B22915">
        <w:trPr>
          <w:trHeight w:val="300"/>
        </w:trPr>
        <w:tc>
          <w:tcPr>
            <w:tcW w:w="2240" w:type="dxa"/>
            <w:tcBorders>
              <w:top w:val="single" w:sz="4" w:space="0" w:color="000000"/>
              <w:left w:val="nil"/>
              <w:bottom w:val="nil"/>
              <w:right w:val="nil"/>
            </w:tcBorders>
            <w:shd w:val="clear" w:color="auto" w:fill="auto"/>
            <w:noWrap/>
            <w:vAlign w:val="bottom"/>
            <w:hideMark/>
          </w:tcPr>
          <w:p w14:paraId="4451B854" w14:textId="77777777" w:rsidR="00B22915" w:rsidRPr="004B040D" w:rsidRDefault="00B22915" w:rsidP="00B22915">
            <w:pP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0E194B94" w14:textId="77777777" w:rsidR="00B22915" w:rsidRPr="004B040D" w:rsidRDefault="00B22915" w:rsidP="00B22915">
            <w:pPr>
              <w:jc w:val="cente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7B75372B" w14:textId="77777777" w:rsidR="00B22915" w:rsidRPr="004B040D" w:rsidRDefault="00B22915" w:rsidP="00B22915">
            <w:pPr>
              <w:jc w:val="cente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5AD2549F" w14:textId="77777777" w:rsidR="00B22915" w:rsidRPr="004B040D" w:rsidRDefault="00B22915" w:rsidP="00B22915">
            <w:pPr>
              <w:jc w:val="cente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52053618" w14:textId="77777777" w:rsidR="00B22915" w:rsidRPr="004B040D" w:rsidRDefault="00B22915" w:rsidP="00B22915">
            <w:pPr>
              <w:jc w:val="center"/>
              <w:rPr>
                <w:color w:val="000000"/>
                <w:sz w:val="20"/>
                <w:szCs w:val="20"/>
              </w:rPr>
            </w:pPr>
            <w:r w:rsidRPr="004B040D">
              <w:rPr>
                <w:color w:val="000000"/>
                <w:sz w:val="20"/>
                <w:szCs w:val="20"/>
              </w:rPr>
              <w:t> </w:t>
            </w:r>
          </w:p>
        </w:tc>
      </w:tr>
      <w:tr w:rsidR="00B22915" w:rsidRPr="004B040D" w14:paraId="3D584C6D" w14:textId="77777777" w:rsidTr="00B22915">
        <w:trPr>
          <w:trHeight w:val="300"/>
        </w:trPr>
        <w:tc>
          <w:tcPr>
            <w:tcW w:w="2240" w:type="dxa"/>
            <w:tcBorders>
              <w:top w:val="nil"/>
              <w:left w:val="nil"/>
              <w:bottom w:val="nil"/>
              <w:right w:val="nil"/>
            </w:tcBorders>
            <w:shd w:val="clear" w:color="auto" w:fill="auto"/>
            <w:noWrap/>
            <w:vAlign w:val="bottom"/>
            <w:hideMark/>
          </w:tcPr>
          <w:p w14:paraId="6DEE023A" w14:textId="77777777" w:rsidR="00B22915" w:rsidRPr="004B040D" w:rsidRDefault="00B22915" w:rsidP="00B22915">
            <w:pPr>
              <w:rPr>
                <w:b/>
                <w:bCs/>
                <w:color w:val="000000"/>
                <w:sz w:val="20"/>
                <w:szCs w:val="20"/>
              </w:rPr>
            </w:pPr>
            <w:r w:rsidRPr="004B040D">
              <w:rPr>
                <w:b/>
                <w:bCs/>
                <w:color w:val="000000"/>
                <w:sz w:val="20"/>
                <w:szCs w:val="20"/>
              </w:rPr>
              <w:t>Post X Treated</w:t>
            </w:r>
          </w:p>
        </w:tc>
        <w:tc>
          <w:tcPr>
            <w:tcW w:w="2590" w:type="dxa"/>
            <w:tcBorders>
              <w:top w:val="nil"/>
              <w:left w:val="nil"/>
              <w:bottom w:val="nil"/>
              <w:right w:val="nil"/>
            </w:tcBorders>
            <w:shd w:val="clear" w:color="auto" w:fill="auto"/>
            <w:noWrap/>
            <w:vAlign w:val="bottom"/>
            <w:hideMark/>
          </w:tcPr>
          <w:p w14:paraId="5ED84FC6" w14:textId="77777777" w:rsidR="00B22915" w:rsidRPr="00FA5E30" w:rsidRDefault="00B22915" w:rsidP="00B22915">
            <w:pPr>
              <w:jc w:val="center"/>
              <w:rPr>
                <w:b/>
                <w:bCs/>
                <w:color w:val="000000"/>
                <w:sz w:val="20"/>
                <w:szCs w:val="20"/>
              </w:rPr>
            </w:pPr>
            <w:r w:rsidRPr="00FA5E30">
              <w:rPr>
                <w:b/>
                <w:bCs/>
                <w:color w:val="000000"/>
                <w:sz w:val="20"/>
                <w:szCs w:val="20"/>
              </w:rPr>
              <w:t>10.855***</w:t>
            </w:r>
          </w:p>
        </w:tc>
        <w:tc>
          <w:tcPr>
            <w:tcW w:w="2590" w:type="dxa"/>
            <w:tcBorders>
              <w:top w:val="nil"/>
              <w:left w:val="nil"/>
              <w:bottom w:val="nil"/>
              <w:right w:val="nil"/>
            </w:tcBorders>
            <w:shd w:val="clear" w:color="auto" w:fill="auto"/>
            <w:noWrap/>
            <w:vAlign w:val="bottom"/>
            <w:hideMark/>
          </w:tcPr>
          <w:p w14:paraId="2B793D91" w14:textId="77777777" w:rsidR="00B22915" w:rsidRPr="004B040D" w:rsidRDefault="00B22915" w:rsidP="00B22915">
            <w:pPr>
              <w:jc w:val="center"/>
              <w:rPr>
                <w:b/>
                <w:bCs/>
                <w:color w:val="000000"/>
                <w:sz w:val="20"/>
                <w:szCs w:val="20"/>
              </w:rPr>
            </w:pPr>
            <w:r w:rsidRPr="004B040D">
              <w:rPr>
                <w:b/>
                <w:bCs/>
                <w:color w:val="000000"/>
                <w:sz w:val="20"/>
                <w:szCs w:val="20"/>
              </w:rPr>
              <w:t>-0.007</w:t>
            </w:r>
          </w:p>
        </w:tc>
        <w:tc>
          <w:tcPr>
            <w:tcW w:w="2590" w:type="dxa"/>
            <w:tcBorders>
              <w:top w:val="nil"/>
              <w:left w:val="nil"/>
              <w:bottom w:val="nil"/>
              <w:right w:val="nil"/>
            </w:tcBorders>
            <w:shd w:val="clear" w:color="auto" w:fill="auto"/>
            <w:noWrap/>
            <w:vAlign w:val="bottom"/>
            <w:hideMark/>
          </w:tcPr>
          <w:p w14:paraId="653BA6F6" w14:textId="77777777" w:rsidR="00B22915" w:rsidRPr="004B040D" w:rsidRDefault="00B22915" w:rsidP="00B22915">
            <w:pPr>
              <w:jc w:val="center"/>
              <w:rPr>
                <w:b/>
                <w:bCs/>
                <w:color w:val="000000"/>
                <w:sz w:val="20"/>
                <w:szCs w:val="20"/>
              </w:rPr>
            </w:pPr>
            <w:r w:rsidRPr="004B040D">
              <w:rPr>
                <w:b/>
                <w:bCs/>
                <w:color w:val="000000"/>
                <w:sz w:val="20"/>
                <w:szCs w:val="20"/>
              </w:rPr>
              <w:t>-0.069***</w:t>
            </w:r>
          </w:p>
        </w:tc>
        <w:tc>
          <w:tcPr>
            <w:tcW w:w="2590" w:type="dxa"/>
            <w:tcBorders>
              <w:top w:val="nil"/>
              <w:left w:val="nil"/>
              <w:bottom w:val="nil"/>
              <w:right w:val="nil"/>
            </w:tcBorders>
            <w:shd w:val="clear" w:color="auto" w:fill="auto"/>
            <w:noWrap/>
            <w:vAlign w:val="bottom"/>
            <w:hideMark/>
          </w:tcPr>
          <w:p w14:paraId="3C81098D" w14:textId="77777777" w:rsidR="00B22915" w:rsidRPr="004B040D" w:rsidRDefault="00B22915" w:rsidP="00B22915">
            <w:pPr>
              <w:jc w:val="center"/>
              <w:rPr>
                <w:b/>
                <w:bCs/>
                <w:color w:val="000000"/>
                <w:sz w:val="20"/>
                <w:szCs w:val="20"/>
              </w:rPr>
            </w:pPr>
            <w:r w:rsidRPr="004B040D">
              <w:rPr>
                <w:b/>
                <w:bCs/>
                <w:color w:val="000000"/>
                <w:sz w:val="20"/>
                <w:szCs w:val="20"/>
              </w:rPr>
              <w:t>0.086***</w:t>
            </w:r>
          </w:p>
        </w:tc>
      </w:tr>
      <w:tr w:rsidR="00B22915" w:rsidRPr="004B040D" w14:paraId="40C6C3B3" w14:textId="77777777" w:rsidTr="00B22915">
        <w:trPr>
          <w:trHeight w:val="300"/>
        </w:trPr>
        <w:tc>
          <w:tcPr>
            <w:tcW w:w="2240" w:type="dxa"/>
            <w:tcBorders>
              <w:top w:val="nil"/>
              <w:left w:val="nil"/>
              <w:bottom w:val="nil"/>
              <w:right w:val="nil"/>
            </w:tcBorders>
            <w:shd w:val="clear" w:color="auto" w:fill="auto"/>
            <w:noWrap/>
            <w:vAlign w:val="bottom"/>
            <w:hideMark/>
          </w:tcPr>
          <w:p w14:paraId="7F78C224" w14:textId="77777777" w:rsidR="00B22915" w:rsidRPr="004B040D" w:rsidRDefault="00B22915" w:rsidP="00B22915">
            <w:pPr>
              <w:jc w:val="center"/>
              <w:rPr>
                <w:b/>
                <w:bCs/>
                <w:color w:val="000000"/>
                <w:sz w:val="20"/>
                <w:szCs w:val="20"/>
              </w:rPr>
            </w:pPr>
          </w:p>
        </w:tc>
        <w:tc>
          <w:tcPr>
            <w:tcW w:w="2590" w:type="dxa"/>
            <w:tcBorders>
              <w:top w:val="nil"/>
              <w:left w:val="nil"/>
              <w:bottom w:val="nil"/>
              <w:right w:val="nil"/>
            </w:tcBorders>
            <w:shd w:val="clear" w:color="auto" w:fill="auto"/>
            <w:noWrap/>
            <w:vAlign w:val="bottom"/>
            <w:hideMark/>
          </w:tcPr>
          <w:p w14:paraId="56BCE965" w14:textId="77777777" w:rsidR="00B22915" w:rsidRPr="00FA5E30" w:rsidRDefault="00B22915" w:rsidP="00B22915">
            <w:pPr>
              <w:jc w:val="center"/>
              <w:rPr>
                <w:b/>
                <w:bCs/>
                <w:color w:val="000000"/>
                <w:sz w:val="20"/>
                <w:szCs w:val="20"/>
              </w:rPr>
            </w:pPr>
            <w:r w:rsidRPr="00FA5E30">
              <w:rPr>
                <w:b/>
                <w:bCs/>
                <w:color w:val="000000"/>
                <w:sz w:val="20"/>
                <w:szCs w:val="20"/>
              </w:rPr>
              <w:t>(0.740)</w:t>
            </w:r>
          </w:p>
        </w:tc>
        <w:tc>
          <w:tcPr>
            <w:tcW w:w="2590" w:type="dxa"/>
            <w:tcBorders>
              <w:top w:val="nil"/>
              <w:left w:val="nil"/>
              <w:bottom w:val="nil"/>
              <w:right w:val="nil"/>
            </w:tcBorders>
            <w:shd w:val="clear" w:color="auto" w:fill="auto"/>
            <w:noWrap/>
            <w:vAlign w:val="bottom"/>
            <w:hideMark/>
          </w:tcPr>
          <w:p w14:paraId="2852AD85" w14:textId="77777777" w:rsidR="00B22915" w:rsidRPr="004B040D" w:rsidRDefault="00B22915" w:rsidP="00B22915">
            <w:pPr>
              <w:jc w:val="center"/>
              <w:rPr>
                <w:b/>
                <w:bCs/>
                <w:color w:val="000000"/>
                <w:sz w:val="20"/>
                <w:szCs w:val="20"/>
              </w:rPr>
            </w:pPr>
            <w:r w:rsidRPr="004B040D">
              <w:rPr>
                <w:b/>
                <w:bCs/>
                <w:color w:val="000000"/>
                <w:sz w:val="20"/>
                <w:szCs w:val="20"/>
              </w:rPr>
              <w:t>(0.031)</w:t>
            </w:r>
          </w:p>
        </w:tc>
        <w:tc>
          <w:tcPr>
            <w:tcW w:w="2590" w:type="dxa"/>
            <w:tcBorders>
              <w:top w:val="nil"/>
              <w:left w:val="nil"/>
              <w:bottom w:val="nil"/>
              <w:right w:val="nil"/>
            </w:tcBorders>
            <w:shd w:val="clear" w:color="auto" w:fill="auto"/>
            <w:noWrap/>
            <w:vAlign w:val="bottom"/>
            <w:hideMark/>
          </w:tcPr>
          <w:p w14:paraId="06D79B64" w14:textId="77777777" w:rsidR="00B22915" w:rsidRPr="004B040D" w:rsidRDefault="00B22915" w:rsidP="00B22915">
            <w:pPr>
              <w:jc w:val="center"/>
              <w:rPr>
                <w:b/>
                <w:bCs/>
                <w:color w:val="000000"/>
                <w:sz w:val="20"/>
                <w:szCs w:val="20"/>
              </w:rPr>
            </w:pPr>
            <w:r w:rsidRPr="004B040D">
              <w:rPr>
                <w:b/>
                <w:bCs/>
                <w:color w:val="000000"/>
                <w:sz w:val="20"/>
                <w:szCs w:val="20"/>
              </w:rPr>
              <w:t>(0.025)</w:t>
            </w:r>
          </w:p>
        </w:tc>
        <w:tc>
          <w:tcPr>
            <w:tcW w:w="2590" w:type="dxa"/>
            <w:tcBorders>
              <w:top w:val="nil"/>
              <w:left w:val="nil"/>
              <w:bottom w:val="nil"/>
              <w:right w:val="nil"/>
            </w:tcBorders>
            <w:shd w:val="clear" w:color="auto" w:fill="auto"/>
            <w:noWrap/>
            <w:vAlign w:val="bottom"/>
            <w:hideMark/>
          </w:tcPr>
          <w:p w14:paraId="1870F72A" w14:textId="77777777" w:rsidR="00B22915" w:rsidRPr="004B040D" w:rsidRDefault="00B22915" w:rsidP="00B22915">
            <w:pPr>
              <w:jc w:val="center"/>
              <w:rPr>
                <w:b/>
                <w:bCs/>
                <w:color w:val="000000"/>
                <w:sz w:val="20"/>
                <w:szCs w:val="20"/>
              </w:rPr>
            </w:pPr>
            <w:r w:rsidRPr="004B040D">
              <w:rPr>
                <w:b/>
                <w:bCs/>
                <w:color w:val="000000"/>
                <w:sz w:val="20"/>
                <w:szCs w:val="20"/>
              </w:rPr>
              <w:t>(0.030)</w:t>
            </w:r>
          </w:p>
        </w:tc>
      </w:tr>
      <w:tr w:rsidR="00B22915" w:rsidRPr="004B040D" w14:paraId="24E109E9" w14:textId="77777777" w:rsidTr="00B22915">
        <w:trPr>
          <w:trHeight w:val="300"/>
        </w:trPr>
        <w:tc>
          <w:tcPr>
            <w:tcW w:w="2240" w:type="dxa"/>
            <w:tcBorders>
              <w:top w:val="nil"/>
              <w:left w:val="nil"/>
              <w:bottom w:val="nil"/>
              <w:right w:val="nil"/>
            </w:tcBorders>
            <w:shd w:val="clear" w:color="auto" w:fill="auto"/>
            <w:noWrap/>
            <w:vAlign w:val="bottom"/>
            <w:hideMark/>
          </w:tcPr>
          <w:p w14:paraId="244E81C5" w14:textId="77777777" w:rsidR="00B22915" w:rsidRPr="004B040D" w:rsidRDefault="00B22915" w:rsidP="00B22915">
            <w:pPr>
              <w:rPr>
                <w:color w:val="000000"/>
                <w:sz w:val="20"/>
                <w:szCs w:val="20"/>
              </w:rPr>
            </w:pPr>
            <w:r w:rsidRPr="004B040D">
              <w:rPr>
                <w:color w:val="000000"/>
                <w:sz w:val="20"/>
                <w:szCs w:val="20"/>
              </w:rPr>
              <w:t>Post</w:t>
            </w:r>
          </w:p>
        </w:tc>
        <w:tc>
          <w:tcPr>
            <w:tcW w:w="2590" w:type="dxa"/>
            <w:tcBorders>
              <w:top w:val="nil"/>
              <w:left w:val="nil"/>
              <w:bottom w:val="nil"/>
              <w:right w:val="nil"/>
            </w:tcBorders>
            <w:shd w:val="clear" w:color="auto" w:fill="auto"/>
            <w:noWrap/>
            <w:vAlign w:val="bottom"/>
            <w:hideMark/>
          </w:tcPr>
          <w:p w14:paraId="72D530F0" w14:textId="77777777" w:rsidR="00B22915" w:rsidRPr="00FA5E30" w:rsidRDefault="00B22915" w:rsidP="00B22915">
            <w:pPr>
              <w:jc w:val="center"/>
              <w:rPr>
                <w:color w:val="000000"/>
                <w:sz w:val="20"/>
                <w:szCs w:val="20"/>
              </w:rPr>
            </w:pPr>
            <w:r w:rsidRPr="00FA5E30">
              <w:rPr>
                <w:color w:val="000000"/>
                <w:sz w:val="20"/>
                <w:szCs w:val="20"/>
              </w:rPr>
              <w:t>0.444***</w:t>
            </w:r>
          </w:p>
        </w:tc>
        <w:tc>
          <w:tcPr>
            <w:tcW w:w="2590" w:type="dxa"/>
            <w:tcBorders>
              <w:top w:val="nil"/>
              <w:left w:val="nil"/>
              <w:bottom w:val="nil"/>
              <w:right w:val="nil"/>
            </w:tcBorders>
            <w:shd w:val="clear" w:color="auto" w:fill="auto"/>
            <w:noWrap/>
            <w:vAlign w:val="bottom"/>
            <w:hideMark/>
          </w:tcPr>
          <w:p w14:paraId="77C3673D" w14:textId="77777777" w:rsidR="00B22915" w:rsidRPr="004B040D" w:rsidRDefault="00B22915" w:rsidP="00B22915">
            <w:pPr>
              <w:jc w:val="center"/>
              <w:rPr>
                <w:color w:val="000000"/>
                <w:sz w:val="20"/>
                <w:szCs w:val="20"/>
              </w:rPr>
            </w:pPr>
            <w:r w:rsidRPr="004B040D">
              <w:rPr>
                <w:color w:val="000000"/>
                <w:sz w:val="20"/>
                <w:szCs w:val="20"/>
              </w:rPr>
              <w:t>-0.004</w:t>
            </w:r>
          </w:p>
        </w:tc>
        <w:tc>
          <w:tcPr>
            <w:tcW w:w="2590" w:type="dxa"/>
            <w:tcBorders>
              <w:top w:val="nil"/>
              <w:left w:val="nil"/>
              <w:bottom w:val="nil"/>
              <w:right w:val="nil"/>
            </w:tcBorders>
            <w:shd w:val="clear" w:color="auto" w:fill="auto"/>
            <w:noWrap/>
            <w:vAlign w:val="bottom"/>
            <w:hideMark/>
          </w:tcPr>
          <w:p w14:paraId="1E5C7956" w14:textId="77777777" w:rsidR="00B22915" w:rsidRPr="004B040D" w:rsidRDefault="00B22915" w:rsidP="00B22915">
            <w:pPr>
              <w:jc w:val="center"/>
              <w:rPr>
                <w:color w:val="000000"/>
                <w:sz w:val="20"/>
                <w:szCs w:val="20"/>
              </w:rPr>
            </w:pPr>
            <w:r w:rsidRPr="004B040D">
              <w:rPr>
                <w:color w:val="000000"/>
                <w:sz w:val="20"/>
                <w:szCs w:val="20"/>
              </w:rPr>
              <w:t>-0.007</w:t>
            </w:r>
          </w:p>
        </w:tc>
        <w:tc>
          <w:tcPr>
            <w:tcW w:w="2590" w:type="dxa"/>
            <w:tcBorders>
              <w:top w:val="nil"/>
              <w:left w:val="nil"/>
              <w:bottom w:val="nil"/>
              <w:right w:val="nil"/>
            </w:tcBorders>
            <w:shd w:val="clear" w:color="auto" w:fill="auto"/>
            <w:noWrap/>
            <w:vAlign w:val="bottom"/>
            <w:hideMark/>
          </w:tcPr>
          <w:p w14:paraId="5CA79A8D" w14:textId="77777777" w:rsidR="00B22915" w:rsidRPr="004B040D" w:rsidRDefault="00B22915" w:rsidP="00B22915">
            <w:pPr>
              <w:jc w:val="center"/>
              <w:rPr>
                <w:color w:val="000000"/>
                <w:sz w:val="20"/>
                <w:szCs w:val="20"/>
              </w:rPr>
            </w:pPr>
            <w:r w:rsidRPr="004B040D">
              <w:rPr>
                <w:color w:val="000000"/>
                <w:sz w:val="20"/>
                <w:szCs w:val="20"/>
              </w:rPr>
              <w:t>0.018***</w:t>
            </w:r>
          </w:p>
        </w:tc>
      </w:tr>
      <w:tr w:rsidR="00B22915" w:rsidRPr="004B040D" w14:paraId="09EC2A47" w14:textId="77777777" w:rsidTr="00B22915">
        <w:trPr>
          <w:trHeight w:val="300"/>
        </w:trPr>
        <w:tc>
          <w:tcPr>
            <w:tcW w:w="2240" w:type="dxa"/>
            <w:tcBorders>
              <w:top w:val="nil"/>
              <w:left w:val="nil"/>
              <w:bottom w:val="nil"/>
              <w:right w:val="nil"/>
            </w:tcBorders>
            <w:shd w:val="clear" w:color="auto" w:fill="auto"/>
            <w:noWrap/>
            <w:vAlign w:val="bottom"/>
            <w:hideMark/>
          </w:tcPr>
          <w:p w14:paraId="6845FEB1"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6048BE57" w14:textId="77777777" w:rsidR="00B22915" w:rsidRPr="00FA5E30" w:rsidRDefault="00B22915" w:rsidP="00B22915">
            <w:pPr>
              <w:jc w:val="center"/>
              <w:rPr>
                <w:color w:val="000000"/>
                <w:sz w:val="20"/>
                <w:szCs w:val="20"/>
              </w:rPr>
            </w:pPr>
            <w:r w:rsidRPr="00FA5E30">
              <w:rPr>
                <w:color w:val="000000"/>
                <w:sz w:val="20"/>
                <w:szCs w:val="20"/>
              </w:rPr>
              <w:t>(0.092)</w:t>
            </w:r>
          </w:p>
        </w:tc>
        <w:tc>
          <w:tcPr>
            <w:tcW w:w="2590" w:type="dxa"/>
            <w:tcBorders>
              <w:top w:val="nil"/>
              <w:left w:val="nil"/>
              <w:bottom w:val="nil"/>
              <w:right w:val="nil"/>
            </w:tcBorders>
            <w:shd w:val="clear" w:color="auto" w:fill="auto"/>
            <w:noWrap/>
            <w:vAlign w:val="bottom"/>
            <w:hideMark/>
          </w:tcPr>
          <w:p w14:paraId="61BAFAFA" w14:textId="77777777" w:rsidR="00B22915" w:rsidRPr="004B040D" w:rsidRDefault="00B22915" w:rsidP="00B22915">
            <w:pPr>
              <w:jc w:val="center"/>
              <w:rPr>
                <w:color w:val="000000"/>
                <w:sz w:val="20"/>
                <w:szCs w:val="20"/>
              </w:rPr>
            </w:pPr>
            <w:r w:rsidRPr="004B040D">
              <w:rPr>
                <w:color w:val="000000"/>
                <w:sz w:val="20"/>
                <w:szCs w:val="20"/>
              </w:rPr>
              <w:t>(0.007)</w:t>
            </w:r>
          </w:p>
        </w:tc>
        <w:tc>
          <w:tcPr>
            <w:tcW w:w="2590" w:type="dxa"/>
            <w:tcBorders>
              <w:top w:val="nil"/>
              <w:left w:val="nil"/>
              <w:bottom w:val="nil"/>
              <w:right w:val="nil"/>
            </w:tcBorders>
            <w:shd w:val="clear" w:color="auto" w:fill="auto"/>
            <w:noWrap/>
            <w:vAlign w:val="bottom"/>
            <w:hideMark/>
          </w:tcPr>
          <w:p w14:paraId="5D3B2DD2" w14:textId="77777777" w:rsidR="00B22915" w:rsidRPr="004B040D" w:rsidRDefault="00B22915" w:rsidP="00B22915">
            <w:pPr>
              <w:jc w:val="center"/>
              <w:rPr>
                <w:color w:val="000000"/>
                <w:sz w:val="20"/>
                <w:szCs w:val="20"/>
              </w:rPr>
            </w:pPr>
            <w:r w:rsidRPr="004B040D">
              <w:rPr>
                <w:color w:val="000000"/>
                <w:sz w:val="20"/>
                <w:szCs w:val="20"/>
              </w:rPr>
              <w:t>(0.008)</w:t>
            </w:r>
          </w:p>
        </w:tc>
        <w:tc>
          <w:tcPr>
            <w:tcW w:w="2590" w:type="dxa"/>
            <w:tcBorders>
              <w:top w:val="nil"/>
              <w:left w:val="nil"/>
              <w:bottom w:val="nil"/>
              <w:right w:val="nil"/>
            </w:tcBorders>
            <w:shd w:val="clear" w:color="auto" w:fill="auto"/>
            <w:noWrap/>
            <w:vAlign w:val="bottom"/>
            <w:hideMark/>
          </w:tcPr>
          <w:p w14:paraId="4259CBCC" w14:textId="77777777" w:rsidR="00B22915" w:rsidRPr="004B040D" w:rsidRDefault="00B22915" w:rsidP="00B22915">
            <w:pPr>
              <w:jc w:val="center"/>
              <w:rPr>
                <w:color w:val="000000"/>
                <w:sz w:val="20"/>
                <w:szCs w:val="20"/>
              </w:rPr>
            </w:pPr>
            <w:r w:rsidRPr="004B040D">
              <w:rPr>
                <w:color w:val="000000"/>
                <w:sz w:val="20"/>
                <w:szCs w:val="20"/>
              </w:rPr>
              <w:t>(0.006)</w:t>
            </w:r>
          </w:p>
        </w:tc>
      </w:tr>
      <w:tr w:rsidR="00B22915" w:rsidRPr="004B040D" w14:paraId="274CE896" w14:textId="77777777" w:rsidTr="00B22915">
        <w:trPr>
          <w:trHeight w:val="300"/>
        </w:trPr>
        <w:tc>
          <w:tcPr>
            <w:tcW w:w="2240" w:type="dxa"/>
            <w:tcBorders>
              <w:top w:val="nil"/>
              <w:left w:val="nil"/>
              <w:bottom w:val="nil"/>
              <w:right w:val="nil"/>
            </w:tcBorders>
            <w:shd w:val="clear" w:color="auto" w:fill="auto"/>
            <w:noWrap/>
            <w:vAlign w:val="bottom"/>
            <w:hideMark/>
          </w:tcPr>
          <w:p w14:paraId="441E9F1D" w14:textId="77777777" w:rsidR="00B22915" w:rsidRPr="004B040D" w:rsidRDefault="00B22915" w:rsidP="00B22915">
            <w:pPr>
              <w:rPr>
                <w:color w:val="000000"/>
                <w:sz w:val="20"/>
                <w:szCs w:val="20"/>
              </w:rPr>
            </w:pPr>
            <w:r w:rsidRPr="004B040D">
              <w:rPr>
                <w:color w:val="000000"/>
                <w:sz w:val="20"/>
                <w:szCs w:val="20"/>
              </w:rPr>
              <w:t>Treated</w:t>
            </w:r>
          </w:p>
        </w:tc>
        <w:tc>
          <w:tcPr>
            <w:tcW w:w="2590" w:type="dxa"/>
            <w:tcBorders>
              <w:top w:val="nil"/>
              <w:left w:val="nil"/>
              <w:bottom w:val="nil"/>
              <w:right w:val="nil"/>
            </w:tcBorders>
            <w:shd w:val="clear" w:color="auto" w:fill="auto"/>
            <w:noWrap/>
            <w:vAlign w:val="bottom"/>
            <w:hideMark/>
          </w:tcPr>
          <w:p w14:paraId="65CAF3A6" w14:textId="77777777" w:rsidR="00B22915" w:rsidRPr="00FA5E30" w:rsidRDefault="00B22915" w:rsidP="00B22915">
            <w:pPr>
              <w:jc w:val="center"/>
              <w:rPr>
                <w:color w:val="000000"/>
                <w:sz w:val="20"/>
                <w:szCs w:val="20"/>
              </w:rPr>
            </w:pPr>
            <w:r w:rsidRPr="00FA5E30">
              <w:rPr>
                <w:color w:val="000000"/>
                <w:sz w:val="20"/>
                <w:szCs w:val="20"/>
              </w:rPr>
              <w:t>-1.332***</w:t>
            </w:r>
          </w:p>
        </w:tc>
        <w:tc>
          <w:tcPr>
            <w:tcW w:w="2590" w:type="dxa"/>
            <w:tcBorders>
              <w:top w:val="nil"/>
              <w:left w:val="nil"/>
              <w:bottom w:val="nil"/>
              <w:right w:val="nil"/>
            </w:tcBorders>
            <w:shd w:val="clear" w:color="auto" w:fill="auto"/>
            <w:noWrap/>
            <w:vAlign w:val="bottom"/>
            <w:hideMark/>
          </w:tcPr>
          <w:p w14:paraId="35F21886" w14:textId="77777777" w:rsidR="00B22915" w:rsidRPr="004B040D" w:rsidRDefault="00B22915" w:rsidP="00B22915">
            <w:pPr>
              <w:jc w:val="center"/>
              <w:rPr>
                <w:color w:val="000000"/>
                <w:sz w:val="20"/>
                <w:szCs w:val="20"/>
              </w:rPr>
            </w:pPr>
            <w:r w:rsidRPr="004B040D">
              <w:rPr>
                <w:color w:val="000000"/>
                <w:sz w:val="20"/>
                <w:szCs w:val="20"/>
              </w:rPr>
              <w:t>-0.070***</w:t>
            </w:r>
          </w:p>
        </w:tc>
        <w:tc>
          <w:tcPr>
            <w:tcW w:w="2590" w:type="dxa"/>
            <w:tcBorders>
              <w:top w:val="nil"/>
              <w:left w:val="nil"/>
              <w:bottom w:val="nil"/>
              <w:right w:val="nil"/>
            </w:tcBorders>
            <w:shd w:val="clear" w:color="auto" w:fill="auto"/>
            <w:noWrap/>
            <w:vAlign w:val="bottom"/>
            <w:hideMark/>
          </w:tcPr>
          <w:p w14:paraId="23A391C4" w14:textId="77777777" w:rsidR="00B22915" w:rsidRPr="004B040D" w:rsidRDefault="00B22915" w:rsidP="00B22915">
            <w:pPr>
              <w:jc w:val="center"/>
              <w:rPr>
                <w:color w:val="000000"/>
                <w:sz w:val="20"/>
                <w:szCs w:val="20"/>
              </w:rPr>
            </w:pPr>
            <w:r w:rsidRPr="004B040D">
              <w:rPr>
                <w:color w:val="000000"/>
                <w:sz w:val="20"/>
                <w:szCs w:val="20"/>
              </w:rPr>
              <w:t>-0.025</w:t>
            </w:r>
          </w:p>
        </w:tc>
        <w:tc>
          <w:tcPr>
            <w:tcW w:w="2590" w:type="dxa"/>
            <w:tcBorders>
              <w:top w:val="nil"/>
              <w:left w:val="nil"/>
              <w:bottom w:val="nil"/>
              <w:right w:val="nil"/>
            </w:tcBorders>
            <w:shd w:val="clear" w:color="auto" w:fill="auto"/>
            <w:noWrap/>
            <w:vAlign w:val="bottom"/>
            <w:hideMark/>
          </w:tcPr>
          <w:p w14:paraId="551BD1D0" w14:textId="77777777" w:rsidR="00B22915" w:rsidRPr="004B040D" w:rsidRDefault="00B22915" w:rsidP="00B22915">
            <w:pPr>
              <w:jc w:val="center"/>
              <w:rPr>
                <w:color w:val="000000"/>
                <w:sz w:val="20"/>
                <w:szCs w:val="20"/>
              </w:rPr>
            </w:pPr>
            <w:r w:rsidRPr="004B040D">
              <w:rPr>
                <w:color w:val="000000"/>
                <w:sz w:val="20"/>
                <w:szCs w:val="20"/>
              </w:rPr>
              <w:t>-0.095***</w:t>
            </w:r>
          </w:p>
        </w:tc>
      </w:tr>
      <w:tr w:rsidR="00B22915" w:rsidRPr="004B040D" w14:paraId="7D7579F5" w14:textId="77777777" w:rsidTr="00B22915">
        <w:trPr>
          <w:trHeight w:val="300"/>
        </w:trPr>
        <w:tc>
          <w:tcPr>
            <w:tcW w:w="2240" w:type="dxa"/>
            <w:tcBorders>
              <w:top w:val="nil"/>
              <w:left w:val="nil"/>
              <w:bottom w:val="nil"/>
              <w:right w:val="nil"/>
            </w:tcBorders>
            <w:shd w:val="clear" w:color="auto" w:fill="auto"/>
            <w:noWrap/>
            <w:vAlign w:val="bottom"/>
            <w:hideMark/>
          </w:tcPr>
          <w:p w14:paraId="4C839C08"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7005BB11" w14:textId="77777777" w:rsidR="00B22915" w:rsidRPr="00FA5E30" w:rsidRDefault="00B22915" w:rsidP="00B22915">
            <w:pPr>
              <w:jc w:val="center"/>
              <w:rPr>
                <w:color w:val="000000"/>
                <w:sz w:val="20"/>
                <w:szCs w:val="20"/>
              </w:rPr>
            </w:pPr>
            <w:r w:rsidRPr="00FA5E30">
              <w:rPr>
                <w:color w:val="000000"/>
                <w:sz w:val="20"/>
                <w:szCs w:val="20"/>
              </w:rPr>
              <w:t>(0.157)</w:t>
            </w:r>
          </w:p>
        </w:tc>
        <w:tc>
          <w:tcPr>
            <w:tcW w:w="2590" w:type="dxa"/>
            <w:tcBorders>
              <w:top w:val="nil"/>
              <w:left w:val="nil"/>
              <w:bottom w:val="nil"/>
              <w:right w:val="nil"/>
            </w:tcBorders>
            <w:shd w:val="clear" w:color="auto" w:fill="auto"/>
            <w:noWrap/>
            <w:vAlign w:val="bottom"/>
            <w:hideMark/>
          </w:tcPr>
          <w:p w14:paraId="26E6650D" w14:textId="77777777" w:rsidR="00B22915" w:rsidRPr="004B040D" w:rsidRDefault="00B22915" w:rsidP="00B22915">
            <w:pPr>
              <w:jc w:val="center"/>
              <w:rPr>
                <w:color w:val="000000"/>
                <w:sz w:val="20"/>
                <w:szCs w:val="20"/>
              </w:rPr>
            </w:pPr>
            <w:r w:rsidRPr="004B040D">
              <w:rPr>
                <w:color w:val="000000"/>
                <w:sz w:val="20"/>
                <w:szCs w:val="20"/>
              </w:rPr>
              <w:t>(0.021)</w:t>
            </w:r>
          </w:p>
        </w:tc>
        <w:tc>
          <w:tcPr>
            <w:tcW w:w="2590" w:type="dxa"/>
            <w:tcBorders>
              <w:top w:val="nil"/>
              <w:left w:val="nil"/>
              <w:bottom w:val="nil"/>
              <w:right w:val="nil"/>
            </w:tcBorders>
            <w:shd w:val="clear" w:color="auto" w:fill="auto"/>
            <w:noWrap/>
            <w:vAlign w:val="bottom"/>
            <w:hideMark/>
          </w:tcPr>
          <w:p w14:paraId="6FBF7086" w14:textId="77777777" w:rsidR="00B22915" w:rsidRPr="004B040D" w:rsidRDefault="00B22915" w:rsidP="00B22915">
            <w:pPr>
              <w:jc w:val="center"/>
              <w:rPr>
                <w:color w:val="000000"/>
                <w:sz w:val="20"/>
                <w:szCs w:val="20"/>
              </w:rPr>
            </w:pPr>
            <w:r w:rsidRPr="004B040D">
              <w:rPr>
                <w:color w:val="000000"/>
                <w:sz w:val="20"/>
                <w:szCs w:val="20"/>
              </w:rPr>
              <w:t>(0.021)</w:t>
            </w:r>
          </w:p>
        </w:tc>
        <w:tc>
          <w:tcPr>
            <w:tcW w:w="2590" w:type="dxa"/>
            <w:tcBorders>
              <w:top w:val="nil"/>
              <w:left w:val="nil"/>
              <w:bottom w:val="nil"/>
              <w:right w:val="nil"/>
            </w:tcBorders>
            <w:shd w:val="clear" w:color="auto" w:fill="auto"/>
            <w:noWrap/>
            <w:vAlign w:val="bottom"/>
            <w:hideMark/>
          </w:tcPr>
          <w:p w14:paraId="1E4CA57D" w14:textId="77777777" w:rsidR="00B22915" w:rsidRPr="004B040D" w:rsidRDefault="00B22915" w:rsidP="00B22915">
            <w:pPr>
              <w:jc w:val="center"/>
              <w:rPr>
                <w:color w:val="000000"/>
                <w:sz w:val="20"/>
                <w:szCs w:val="20"/>
              </w:rPr>
            </w:pPr>
            <w:r w:rsidRPr="004B040D">
              <w:rPr>
                <w:color w:val="000000"/>
                <w:sz w:val="20"/>
                <w:szCs w:val="20"/>
              </w:rPr>
              <w:t>(0.019)</w:t>
            </w:r>
          </w:p>
        </w:tc>
      </w:tr>
      <w:tr w:rsidR="00B22915" w:rsidRPr="004B040D" w14:paraId="5C97B9E7" w14:textId="77777777" w:rsidTr="00B22915">
        <w:trPr>
          <w:trHeight w:val="300"/>
        </w:trPr>
        <w:tc>
          <w:tcPr>
            <w:tcW w:w="2240" w:type="dxa"/>
            <w:tcBorders>
              <w:top w:val="nil"/>
              <w:left w:val="nil"/>
              <w:bottom w:val="nil"/>
              <w:right w:val="nil"/>
            </w:tcBorders>
            <w:shd w:val="clear" w:color="auto" w:fill="auto"/>
            <w:noWrap/>
            <w:vAlign w:val="bottom"/>
            <w:hideMark/>
          </w:tcPr>
          <w:p w14:paraId="1ED4AC22" w14:textId="1FF181AB" w:rsidR="00B22915" w:rsidRPr="004B040D" w:rsidRDefault="008B4D29" w:rsidP="00B22915">
            <w:pPr>
              <w:rPr>
                <w:color w:val="000000"/>
                <w:sz w:val="20"/>
                <w:szCs w:val="20"/>
              </w:rPr>
            </w:pPr>
            <w:r>
              <w:rPr>
                <w:color w:val="000000"/>
                <w:sz w:val="20"/>
                <w:szCs w:val="20"/>
              </w:rPr>
              <w:t xml:space="preserve">Current </w:t>
            </w:r>
            <w:r w:rsidR="00B22915" w:rsidRPr="004B040D">
              <w:rPr>
                <w:color w:val="000000"/>
                <w:sz w:val="20"/>
                <w:szCs w:val="20"/>
              </w:rPr>
              <w:t>EL (Gr 2-5 Entry)</w:t>
            </w:r>
          </w:p>
        </w:tc>
        <w:tc>
          <w:tcPr>
            <w:tcW w:w="2590" w:type="dxa"/>
            <w:tcBorders>
              <w:top w:val="nil"/>
              <w:left w:val="nil"/>
              <w:bottom w:val="nil"/>
              <w:right w:val="nil"/>
            </w:tcBorders>
            <w:shd w:val="clear" w:color="auto" w:fill="auto"/>
            <w:noWrap/>
            <w:vAlign w:val="bottom"/>
            <w:hideMark/>
          </w:tcPr>
          <w:p w14:paraId="5FDC5F34" w14:textId="77777777" w:rsidR="00B22915" w:rsidRPr="00FA5E30" w:rsidRDefault="00B22915" w:rsidP="00B22915">
            <w:pPr>
              <w:jc w:val="center"/>
              <w:rPr>
                <w:color w:val="000000"/>
                <w:sz w:val="20"/>
                <w:szCs w:val="20"/>
              </w:rPr>
            </w:pPr>
            <w:r w:rsidRPr="00FA5E30">
              <w:rPr>
                <w:color w:val="000000"/>
                <w:sz w:val="20"/>
                <w:szCs w:val="20"/>
              </w:rPr>
              <w:t>0.339*</w:t>
            </w:r>
          </w:p>
        </w:tc>
        <w:tc>
          <w:tcPr>
            <w:tcW w:w="2590" w:type="dxa"/>
            <w:tcBorders>
              <w:top w:val="nil"/>
              <w:left w:val="nil"/>
              <w:bottom w:val="nil"/>
              <w:right w:val="nil"/>
            </w:tcBorders>
            <w:shd w:val="clear" w:color="auto" w:fill="auto"/>
            <w:noWrap/>
            <w:vAlign w:val="bottom"/>
            <w:hideMark/>
          </w:tcPr>
          <w:p w14:paraId="243D3957" w14:textId="77777777" w:rsidR="00B22915" w:rsidRPr="004B040D" w:rsidRDefault="00B22915" w:rsidP="00B22915">
            <w:pPr>
              <w:jc w:val="center"/>
              <w:rPr>
                <w:color w:val="000000"/>
                <w:sz w:val="20"/>
                <w:szCs w:val="20"/>
              </w:rPr>
            </w:pPr>
            <w:r w:rsidRPr="004B040D">
              <w:rPr>
                <w:color w:val="000000"/>
                <w:sz w:val="20"/>
                <w:szCs w:val="20"/>
              </w:rPr>
              <w:t>0.124***</w:t>
            </w:r>
          </w:p>
        </w:tc>
        <w:tc>
          <w:tcPr>
            <w:tcW w:w="2590" w:type="dxa"/>
            <w:tcBorders>
              <w:top w:val="nil"/>
              <w:left w:val="nil"/>
              <w:bottom w:val="nil"/>
              <w:right w:val="nil"/>
            </w:tcBorders>
            <w:shd w:val="clear" w:color="auto" w:fill="auto"/>
            <w:noWrap/>
            <w:vAlign w:val="bottom"/>
            <w:hideMark/>
          </w:tcPr>
          <w:p w14:paraId="5BCD8436" w14:textId="77777777" w:rsidR="00B22915" w:rsidRPr="004B040D" w:rsidRDefault="00B22915" w:rsidP="00B22915">
            <w:pPr>
              <w:jc w:val="center"/>
              <w:rPr>
                <w:color w:val="000000"/>
                <w:sz w:val="20"/>
                <w:szCs w:val="20"/>
              </w:rPr>
            </w:pPr>
            <w:r w:rsidRPr="004B040D">
              <w:rPr>
                <w:color w:val="000000"/>
                <w:sz w:val="20"/>
                <w:szCs w:val="20"/>
              </w:rPr>
              <w:t>0.058***</w:t>
            </w:r>
          </w:p>
        </w:tc>
        <w:tc>
          <w:tcPr>
            <w:tcW w:w="2590" w:type="dxa"/>
            <w:tcBorders>
              <w:top w:val="nil"/>
              <w:left w:val="nil"/>
              <w:bottom w:val="nil"/>
              <w:right w:val="nil"/>
            </w:tcBorders>
            <w:shd w:val="clear" w:color="auto" w:fill="auto"/>
            <w:noWrap/>
            <w:vAlign w:val="bottom"/>
            <w:hideMark/>
          </w:tcPr>
          <w:p w14:paraId="76560200" w14:textId="77777777" w:rsidR="00B22915" w:rsidRPr="004B040D" w:rsidRDefault="00B22915" w:rsidP="00B22915">
            <w:pPr>
              <w:jc w:val="center"/>
              <w:rPr>
                <w:color w:val="000000"/>
                <w:sz w:val="20"/>
                <w:szCs w:val="20"/>
              </w:rPr>
            </w:pPr>
            <w:r w:rsidRPr="004B040D">
              <w:rPr>
                <w:color w:val="000000"/>
                <w:sz w:val="20"/>
                <w:szCs w:val="20"/>
              </w:rPr>
              <w:t>0.202***</w:t>
            </w:r>
          </w:p>
        </w:tc>
      </w:tr>
      <w:tr w:rsidR="00B22915" w:rsidRPr="004B040D" w14:paraId="0705B9B1" w14:textId="77777777" w:rsidTr="00B22915">
        <w:trPr>
          <w:trHeight w:val="300"/>
        </w:trPr>
        <w:tc>
          <w:tcPr>
            <w:tcW w:w="2240" w:type="dxa"/>
            <w:tcBorders>
              <w:top w:val="nil"/>
              <w:left w:val="nil"/>
              <w:bottom w:val="nil"/>
              <w:right w:val="nil"/>
            </w:tcBorders>
            <w:shd w:val="clear" w:color="auto" w:fill="auto"/>
            <w:noWrap/>
            <w:vAlign w:val="bottom"/>
            <w:hideMark/>
          </w:tcPr>
          <w:p w14:paraId="43C3AF28"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45235C03" w14:textId="77777777" w:rsidR="00B22915" w:rsidRPr="00FA5E30" w:rsidRDefault="00B22915" w:rsidP="00B22915">
            <w:pPr>
              <w:jc w:val="center"/>
              <w:rPr>
                <w:color w:val="000000"/>
                <w:sz w:val="20"/>
                <w:szCs w:val="20"/>
              </w:rPr>
            </w:pPr>
            <w:r w:rsidRPr="00FA5E30">
              <w:rPr>
                <w:color w:val="000000"/>
                <w:sz w:val="20"/>
                <w:szCs w:val="20"/>
              </w:rPr>
              <w:t>(0.195)</w:t>
            </w:r>
          </w:p>
        </w:tc>
        <w:tc>
          <w:tcPr>
            <w:tcW w:w="2590" w:type="dxa"/>
            <w:tcBorders>
              <w:top w:val="nil"/>
              <w:left w:val="nil"/>
              <w:bottom w:val="nil"/>
              <w:right w:val="nil"/>
            </w:tcBorders>
            <w:shd w:val="clear" w:color="auto" w:fill="auto"/>
            <w:noWrap/>
            <w:vAlign w:val="bottom"/>
            <w:hideMark/>
          </w:tcPr>
          <w:p w14:paraId="788DA7B1" w14:textId="77777777" w:rsidR="00B22915" w:rsidRPr="004B040D" w:rsidRDefault="00B22915" w:rsidP="00B22915">
            <w:pPr>
              <w:jc w:val="center"/>
              <w:rPr>
                <w:color w:val="000000"/>
                <w:sz w:val="20"/>
                <w:szCs w:val="20"/>
              </w:rPr>
            </w:pPr>
            <w:r w:rsidRPr="004B040D">
              <w:rPr>
                <w:color w:val="000000"/>
                <w:sz w:val="20"/>
                <w:szCs w:val="20"/>
              </w:rPr>
              <w:t>(0.020)</w:t>
            </w:r>
          </w:p>
        </w:tc>
        <w:tc>
          <w:tcPr>
            <w:tcW w:w="2590" w:type="dxa"/>
            <w:tcBorders>
              <w:top w:val="nil"/>
              <w:left w:val="nil"/>
              <w:bottom w:val="nil"/>
              <w:right w:val="nil"/>
            </w:tcBorders>
            <w:shd w:val="clear" w:color="auto" w:fill="auto"/>
            <w:noWrap/>
            <w:vAlign w:val="bottom"/>
            <w:hideMark/>
          </w:tcPr>
          <w:p w14:paraId="6D6731E0" w14:textId="77777777" w:rsidR="00B22915" w:rsidRPr="004B040D" w:rsidRDefault="00B22915" w:rsidP="00B22915">
            <w:pPr>
              <w:jc w:val="center"/>
              <w:rPr>
                <w:color w:val="000000"/>
                <w:sz w:val="20"/>
                <w:szCs w:val="20"/>
              </w:rPr>
            </w:pPr>
            <w:r w:rsidRPr="004B040D">
              <w:rPr>
                <w:color w:val="000000"/>
                <w:sz w:val="20"/>
                <w:szCs w:val="20"/>
              </w:rPr>
              <w:t>(0.019)</w:t>
            </w:r>
          </w:p>
        </w:tc>
        <w:tc>
          <w:tcPr>
            <w:tcW w:w="2590" w:type="dxa"/>
            <w:tcBorders>
              <w:top w:val="nil"/>
              <w:left w:val="nil"/>
              <w:bottom w:val="nil"/>
              <w:right w:val="nil"/>
            </w:tcBorders>
            <w:shd w:val="clear" w:color="auto" w:fill="auto"/>
            <w:noWrap/>
            <w:vAlign w:val="bottom"/>
            <w:hideMark/>
          </w:tcPr>
          <w:p w14:paraId="2AF152E4" w14:textId="77777777" w:rsidR="00B22915" w:rsidRPr="004B040D" w:rsidRDefault="00B22915" w:rsidP="00B22915">
            <w:pPr>
              <w:jc w:val="center"/>
              <w:rPr>
                <w:color w:val="000000"/>
                <w:sz w:val="20"/>
                <w:szCs w:val="20"/>
              </w:rPr>
            </w:pPr>
            <w:r w:rsidRPr="004B040D">
              <w:rPr>
                <w:color w:val="000000"/>
                <w:sz w:val="20"/>
                <w:szCs w:val="20"/>
              </w:rPr>
              <w:t>(0.018)</w:t>
            </w:r>
          </w:p>
        </w:tc>
      </w:tr>
      <w:tr w:rsidR="00B22915" w:rsidRPr="004B040D" w14:paraId="55E4F821" w14:textId="77777777" w:rsidTr="00B22915">
        <w:trPr>
          <w:trHeight w:val="300"/>
        </w:trPr>
        <w:tc>
          <w:tcPr>
            <w:tcW w:w="2240" w:type="dxa"/>
            <w:tcBorders>
              <w:top w:val="nil"/>
              <w:left w:val="nil"/>
              <w:bottom w:val="nil"/>
              <w:right w:val="nil"/>
            </w:tcBorders>
            <w:shd w:val="clear" w:color="auto" w:fill="auto"/>
            <w:noWrap/>
            <w:vAlign w:val="bottom"/>
            <w:hideMark/>
          </w:tcPr>
          <w:p w14:paraId="01B16C02" w14:textId="33E4FADB" w:rsidR="00B22915" w:rsidRPr="004B040D" w:rsidRDefault="008B4D29" w:rsidP="00B22915">
            <w:pPr>
              <w:rPr>
                <w:color w:val="000000"/>
                <w:sz w:val="20"/>
                <w:szCs w:val="20"/>
              </w:rPr>
            </w:pPr>
            <w:r>
              <w:rPr>
                <w:color w:val="000000"/>
                <w:sz w:val="20"/>
                <w:szCs w:val="20"/>
              </w:rPr>
              <w:t xml:space="preserve">Current </w:t>
            </w:r>
            <w:r w:rsidR="00B22915" w:rsidRPr="004B040D">
              <w:rPr>
                <w:color w:val="000000"/>
                <w:sz w:val="20"/>
                <w:szCs w:val="20"/>
              </w:rPr>
              <w:t>EL (K or Gr 1 Entry)</w:t>
            </w:r>
          </w:p>
        </w:tc>
        <w:tc>
          <w:tcPr>
            <w:tcW w:w="2590" w:type="dxa"/>
            <w:tcBorders>
              <w:top w:val="nil"/>
              <w:left w:val="nil"/>
              <w:bottom w:val="nil"/>
              <w:right w:val="nil"/>
            </w:tcBorders>
            <w:shd w:val="clear" w:color="auto" w:fill="auto"/>
            <w:noWrap/>
            <w:vAlign w:val="bottom"/>
            <w:hideMark/>
          </w:tcPr>
          <w:p w14:paraId="0E893EC1" w14:textId="77777777" w:rsidR="00B22915" w:rsidRPr="00FA5E30" w:rsidRDefault="00B22915" w:rsidP="00B22915">
            <w:pPr>
              <w:jc w:val="center"/>
              <w:rPr>
                <w:color w:val="000000"/>
                <w:sz w:val="20"/>
                <w:szCs w:val="20"/>
              </w:rPr>
            </w:pPr>
            <w:r w:rsidRPr="00FA5E30">
              <w:rPr>
                <w:color w:val="000000"/>
                <w:sz w:val="20"/>
                <w:szCs w:val="20"/>
              </w:rPr>
              <w:t>0.897***</w:t>
            </w:r>
          </w:p>
        </w:tc>
        <w:tc>
          <w:tcPr>
            <w:tcW w:w="2590" w:type="dxa"/>
            <w:tcBorders>
              <w:top w:val="nil"/>
              <w:left w:val="nil"/>
              <w:bottom w:val="nil"/>
              <w:right w:val="nil"/>
            </w:tcBorders>
            <w:shd w:val="clear" w:color="auto" w:fill="auto"/>
            <w:noWrap/>
            <w:vAlign w:val="bottom"/>
            <w:hideMark/>
          </w:tcPr>
          <w:p w14:paraId="4239242B" w14:textId="77777777" w:rsidR="00B22915" w:rsidRPr="004B040D" w:rsidRDefault="00B22915" w:rsidP="00B22915">
            <w:pPr>
              <w:jc w:val="center"/>
              <w:rPr>
                <w:color w:val="000000"/>
                <w:sz w:val="20"/>
                <w:szCs w:val="20"/>
              </w:rPr>
            </w:pPr>
            <w:r w:rsidRPr="004B040D">
              <w:rPr>
                <w:color w:val="000000"/>
                <w:sz w:val="20"/>
                <w:szCs w:val="20"/>
              </w:rPr>
              <w:t>0.130***</w:t>
            </w:r>
          </w:p>
        </w:tc>
        <w:tc>
          <w:tcPr>
            <w:tcW w:w="2590" w:type="dxa"/>
            <w:tcBorders>
              <w:top w:val="nil"/>
              <w:left w:val="nil"/>
              <w:bottom w:val="nil"/>
              <w:right w:val="nil"/>
            </w:tcBorders>
            <w:shd w:val="clear" w:color="auto" w:fill="auto"/>
            <w:noWrap/>
            <w:vAlign w:val="bottom"/>
            <w:hideMark/>
          </w:tcPr>
          <w:p w14:paraId="252D5CFD" w14:textId="77777777" w:rsidR="00B22915" w:rsidRPr="004B040D" w:rsidRDefault="00B22915" w:rsidP="00B22915">
            <w:pPr>
              <w:jc w:val="center"/>
              <w:rPr>
                <w:color w:val="000000"/>
                <w:sz w:val="20"/>
                <w:szCs w:val="20"/>
              </w:rPr>
            </w:pPr>
            <w:r w:rsidRPr="004B040D">
              <w:rPr>
                <w:color w:val="000000"/>
                <w:sz w:val="20"/>
                <w:szCs w:val="20"/>
              </w:rPr>
              <w:t>0.023</w:t>
            </w:r>
          </w:p>
        </w:tc>
        <w:tc>
          <w:tcPr>
            <w:tcW w:w="2590" w:type="dxa"/>
            <w:tcBorders>
              <w:top w:val="nil"/>
              <w:left w:val="nil"/>
              <w:bottom w:val="nil"/>
              <w:right w:val="nil"/>
            </w:tcBorders>
            <w:shd w:val="clear" w:color="auto" w:fill="auto"/>
            <w:noWrap/>
            <w:vAlign w:val="bottom"/>
            <w:hideMark/>
          </w:tcPr>
          <w:p w14:paraId="585527CE" w14:textId="77777777" w:rsidR="00B22915" w:rsidRPr="004B040D" w:rsidRDefault="00B22915" w:rsidP="00B22915">
            <w:pPr>
              <w:jc w:val="center"/>
              <w:rPr>
                <w:color w:val="000000"/>
                <w:sz w:val="20"/>
                <w:szCs w:val="20"/>
              </w:rPr>
            </w:pPr>
            <w:r w:rsidRPr="004B040D">
              <w:rPr>
                <w:color w:val="000000"/>
                <w:sz w:val="20"/>
                <w:szCs w:val="20"/>
              </w:rPr>
              <w:t>0.179***</w:t>
            </w:r>
          </w:p>
        </w:tc>
      </w:tr>
      <w:tr w:rsidR="00B22915" w:rsidRPr="004B040D" w14:paraId="6E2BBE61" w14:textId="77777777" w:rsidTr="00B22915">
        <w:trPr>
          <w:trHeight w:val="300"/>
        </w:trPr>
        <w:tc>
          <w:tcPr>
            <w:tcW w:w="2240" w:type="dxa"/>
            <w:tcBorders>
              <w:top w:val="nil"/>
              <w:left w:val="nil"/>
              <w:bottom w:val="nil"/>
              <w:right w:val="nil"/>
            </w:tcBorders>
            <w:shd w:val="clear" w:color="auto" w:fill="auto"/>
            <w:noWrap/>
            <w:vAlign w:val="bottom"/>
            <w:hideMark/>
          </w:tcPr>
          <w:p w14:paraId="4C0FF237"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1ACBF4DC" w14:textId="77777777" w:rsidR="00B22915" w:rsidRPr="00FA5E30" w:rsidRDefault="00B22915" w:rsidP="00B22915">
            <w:pPr>
              <w:jc w:val="center"/>
              <w:rPr>
                <w:color w:val="000000"/>
                <w:sz w:val="20"/>
                <w:szCs w:val="20"/>
              </w:rPr>
            </w:pPr>
            <w:r w:rsidRPr="00FA5E30">
              <w:rPr>
                <w:color w:val="000000"/>
                <w:sz w:val="20"/>
                <w:szCs w:val="20"/>
              </w:rPr>
              <w:t>(0.205)</w:t>
            </w:r>
          </w:p>
        </w:tc>
        <w:tc>
          <w:tcPr>
            <w:tcW w:w="2590" w:type="dxa"/>
            <w:tcBorders>
              <w:top w:val="nil"/>
              <w:left w:val="nil"/>
              <w:bottom w:val="nil"/>
              <w:right w:val="nil"/>
            </w:tcBorders>
            <w:shd w:val="clear" w:color="auto" w:fill="auto"/>
            <w:noWrap/>
            <w:vAlign w:val="bottom"/>
            <w:hideMark/>
          </w:tcPr>
          <w:p w14:paraId="1D7D5D56" w14:textId="77777777" w:rsidR="00B22915" w:rsidRPr="004B040D" w:rsidRDefault="00B22915" w:rsidP="00B22915">
            <w:pPr>
              <w:jc w:val="center"/>
              <w:rPr>
                <w:color w:val="000000"/>
                <w:sz w:val="20"/>
                <w:szCs w:val="20"/>
              </w:rPr>
            </w:pPr>
            <w:r w:rsidRPr="004B040D">
              <w:rPr>
                <w:color w:val="000000"/>
                <w:sz w:val="20"/>
                <w:szCs w:val="20"/>
              </w:rPr>
              <w:t>(0.020)</w:t>
            </w:r>
          </w:p>
        </w:tc>
        <w:tc>
          <w:tcPr>
            <w:tcW w:w="2590" w:type="dxa"/>
            <w:tcBorders>
              <w:top w:val="nil"/>
              <w:left w:val="nil"/>
              <w:bottom w:val="nil"/>
              <w:right w:val="nil"/>
            </w:tcBorders>
            <w:shd w:val="clear" w:color="auto" w:fill="auto"/>
            <w:noWrap/>
            <w:vAlign w:val="bottom"/>
            <w:hideMark/>
          </w:tcPr>
          <w:p w14:paraId="6D7275AB" w14:textId="77777777" w:rsidR="00B22915" w:rsidRPr="004B040D" w:rsidRDefault="00B22915" w:rsidP="00B22915">
            <w:pPr>
              <w:jc w:val="center"/>
              <w:rPr>
                <w:color w:val="000000"/>
                <w:sz w:val="20"/>
                <w:szCs w:val="20"/>
              </w:rPr>
            </w:pPr>
            <w:r w:rsidRPr="004B040D">
              <w:rPr>
                <w:color w:val="000000"/>
                <w:sz w:val="20"/>
                <w:szCs w:val="20"/>
              </w:rPr>
              <w:t>(0.016)</w:t>
            </w:r>
          </w:p>
        </w:tc>
        <w:tc>
          <w:tcPr>
            <w:tcW w:w="2590" w:type="dxa"/>
            <w:tcBorders>
              <w:top w:val="nil"/>
              <w:left w:val="nil"/>
              <w:bottom w:val="nil"/>
              <w:right w:val="nil"/>
            </w:tcBorders>
            <w:shd w:val="clear" w:color="auto" w:fill="auto"/>
            <w:noWrap/>
            <w:vAlign w:val="bottom"/>
            <w:hideMark/>
          </w:tcPr>
          <w:p w14:paraId="5B19219F" w14:textId="77777777" w:rsidR="00B22915" w:rsidRPr="004B040D" w:rsidRDefault="00B22915" w:rsidP="00B22915">
            <w:pPr>
              <w:jc w:val="center"/>
              <w:rPr>
                <w:color w:val="000000"/>
                <w:sz w:val="20"/>
                <w:szCs w:val="20"/>
              </w:rPr>
            </w:pPr>
            <w:r w:rsidRPr="004B040D">
              <w:rPr>
                <w:color w:val="000000"/>
                <w:sz w:val="20"/>
                <w:szCs w:val="20"/>
              </w:rPr>
              <w:t>(0.019)</w:t>
            </w:r>
          </w:p>
        </w:tc>
      </w:tr>
      <w:tr w:rsidR="00B22915" w:rsidRPr="004B040D" w14:paraId="3D5DA8CD" w14:textId="77777777" w:rsidTr="00B22915">
        <w:trPr>
          <w:trHeight w:val="300"/>
        </w:trPr>
        <w:tc>
          <w:tcPr>
            <w:tcW w:w="2240" w:type="dxa"/>
            <w:tcBorders>
              <w:top w:val="nil"/>
              <w:left w:val="nil"/>
              <w:bottom w:val="nil"/>
              <w:right w:val="nil"/>
            </w:tcBorders>
            <w:shd w:val="clear" w:color="auto" w:fill="auto"/>
            <w:noWrap/>
            <w:vAlign w:val="bottom"/>
            <w:hideMark/>
          </w:tcPr>
          <w:p w14:paraId="1F33857A" w14:textId="77777777" w:rsidR="00B22915" w:rsidRPr="004B040D" w:rsidRDefault="00B22915" w:rsidP="00B22915">
            <w:pPr>
              <w:rPr>
                <w:color w:val="000000"/>
                <w:sz w:val="20"/>
                <w:szCs w:val="20"/>
              </w:rPr>
            </w:pPr>
            <w:r w:rsidRPr="004B040D">
              <w:rPr>
                <w:color w:val="000000"/>
                <w:sz w:val="20"/>
                <w:szCs w:val="20"/>
              </w:rPr>
              <w:t>Reclassified EL</w:t>
            </w:r>
          </w:p>
        </w:tc>
        <w:tc>
          <w:tcPr>
            <w:tcW w:w="2590" w:type="dxa"/>
            <w:tcBorders>
              <w:top w:val="nil"/>
              <w:left w:val="nil"/>
              <w:bottom w:val="nil"/>
              <w:right w:val="nil"/>
            </w:tcBorders>
            <w:shd w:val="clear" w:color="auto" w:fill="auto"/>
            <w:noWrap/>
            <w:vAlign w:val="bottom"/>
            <w:hideMark/>
          </w:tcPr>
          <w:p w14:paraId="16946513" w14:textId="77777777" w:rsidR="00B22915" w:rsidRPr="00FA5E30" w:rsidRDefault="00B22915" w:rsidP="00B22915">
            <w:pPr>
              <w:jc w:val="center"/>
              <w:rPr>
                <w:color w:val="000000"/>
                <w:sz w:val="20"/>
                <w:szCs w:val="20"/>
              </w:rPr>
            </w:pPr>
            <w:r w:rsidRPr="00FA5E30">
              <w:rPr>
                <w:color w:val="000000"/>
                <w:sz w:val="20"/>
                <w:szCs w:val="20"/>
              </w:rPr>
              <w:t>1.324***</w:t>
            </w:r>
          </w:p>
        </w:tc>
        <w:tc>
          <w:tcPr>
            <w:tcW w:w="2590" w:type="dxa"/>
            <w:tcBorders>
              <w:top w:val="nil"/>
              <w:left w:val="nil"/>
              <w:bottom w:val="nil"/>
              <w:right w:val="nil"/>
            </w:tcBorders>
            <w:shd w:val="clear" w:color="auto" w:fill="auto"/>
            <w:noWrap/>
            <w:vAlign w:val="bottom"/>
            <w:hideMark/>
          </w:tcPr>
          <w:p w14:paraId="55F655E1" w14:textId="77777777" w:rsidR="00B22915" w:rsidRPr="004B040D" w:rsidRDefault="00B22915" w:rsidP="00B22915">
            <w:pPr>
              <w:jc w:val="center"/>
              <w:rPr>
                <w:color w:val="000000"/>
                <w:sz w:val="20"/>
                <w:szCs w:val="20"/>
              </w:rPr>
            </w:pPr>
            <w:r w:rsidRPr="004B040D">
              <w:rPr>
                <w:color w:val="000000"/>
                <w:sz w:val="20"/>
                <w:szCs w:val="20"/>
              </w:rPr>
              <w:t>0.285***</w:t>
            </w:r>
          </w:p>
        </w:tc>
        <w:tc>
          <w:tcPr>
            <w:tcW w:w="2590" w:type="dxa"/>
            <w:tcBorders>
              <w:top w:val="nil"/>
              <w:left w:val="nil"/>
              <w:bottom w:val="nil"/>
              <w:right w:val="nil"/>
            </w:tcBorders>
            <w:shd w:val="clear" w:color="auto" w:fill="auto"/>
            <w:noWrap/>
            <w:vAlign w:val="bottom"/>
            <w:hideMark/>
          </w:tcPr>
          <w:p w14:paraId="6649799E" w14:textId="77777777" w:rsidR="00B22915" w:rsidRPr="004B040D" w:rsidRDefault="00B22915" w:rsidP="00B22915">
            <w:pPr>
              <w:jc w:val="center"/>
              <w:rPr>
                <w:color w:val="000000"/>
                <w:sz w:val="20"/>
                <w:szCs w:val="20"/>
              </w:rPr>
            </w:pPr>
            <w:r w:rsidRPr="004B040D">
              <w:rPr>
                <w:color w:val="000000"/>
                <w:sz w:val="20"/>
                <w:szCs w:val="20"/>
              </w:rPr>
              <w:t>0.167***</w:t>
            </w:r>
          </w:p>
        </w:tc>
        <w:tc>
          <w:tcPr>
            <w:tcW w:w="2590" w:type="dxa"/>
            <w:tcBorders>
              <w:top w:val="nil"/>
              <w:left w:val="nil"/>
              <w:bottom w:val="nil"/>
              <w:right w:val="nil"/>
            </w:tcBorders>
            <w:shd w:val="clear" w:color="auto" w:fill="auto"/>
            <w:noWrap/>
            <w:vAlign w:val="bottom"/>
            <w:hideMark/>
          </w:tcPr>
          <w:p w14:paraId="2BCB9D48" w14:textId="77777777" w:rsidR="00B22915" w:rsidRPr="004B040D" w:rsidRDefault="00B22915" w:rsidP="00B22915">
            <w:pPr>
              <w:jc w:val="center"/>
              <w:rPr>
                <w:color w:val="000000"/>
                <w:sz w:val="20"/>
                <w:szCs w:val="20"/>
              </w:rPr>
            </w:pPr>
            <w:r w:rsidRPr="004B040D">
              <w:rPr>
                <w:color w:val="000000"/>
                <w:sz w:val="20"/>
                <w:szCs w:val="20"/>
              </w:rPr>
              <w:t>0.331***</w:t>
            </w:r>
          </w:p>
        </w:tc>
      </w:tr>
      <w:tr w:rsidR="00B22915" w:rsidRPr="004B040D" w14:paraId="6E7914A5" w14:textId="77777777" w:rsidTr="00B22915">
        <w:trPr>
          <w:trHeight w:val="300"/>
        </w:trPr>
        <w:tc>
          <w:tcPr>
            <w:tcW w:w="2240" w:type="dxa"/>
            <w:tcBorders>
              <w:top w:val="nil"/>
              <w:left w:val="nil"/>
              <w:bottom w:val="nil"/>
              <w:right w:val="nil"/>
            </w:tcBorders>
            <w:shd w:val="clear" w:color="auto" w:fill="auto"/>
            <w:noWrap/>
            <w:vAlign w:val="bottom"/>
            <w:hideMark/>
          </w:tcPr>
          <w:p w14:paraId="4D218B8D"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1AF37A37" w14:textId="77777777" w:rsidR="00B22915" w:rsidRPr="00FA5E30" w:rsidRDefault="00B22915" w:rsidP="00B22915">
            <w:pPr>
              <w:jc w:val="center"/>
              <w:rPr>
                <w:color w:val="000000"/>
                <w:sz w:val="20"/>
                <w:szCs w:val="20"/>
              </w:rPr>
            </w:pPr>
            <w:r w:rsidRPr="00FA5E30">
              <w:rPr>
                <w:color w:val="000000"/>
                <w:sz w:val="20"/>
                <w:szCs w:val="20"/>
              </w:rPr>
              <w:t>(0.131)</w:t>
            </w:r>
          </w:p>
        </w:tc>
        <w:tc>
          <w:tcPr>
            <w:tcW w:w="2590" w:type="dxa"/>
            <w:tcBorders>
              <w:top w:val="nil"/>
              <w:left w:val="nil"/>
              <w:bottom w:val="nil"/>
              <w:right w:val="nil"/>
            </w:tcBorders>
            <w:shd w:val="clear" w:color="auto" w:fill="auto"/>
            <w:noWrap/>
            <w:vAlign w:val="bottom"/>
            <w:hideMark/>
          </w:tcPr>
          <w:p w14:paraId="09A4493B" w14:textId="77777777" w:rsidR="00B22915" w:rsidRPr="004B040D" w:rsidRDefault="00B22915" w:rsidP="00B22915">
            <w:pPr>
              <w:jc w:val="center"/>
              <w:rPr>
                <w:color w:val="000000"/>
                <w:sz w:val="20"/>
                <w:szCs w:val="20"/>
              </w:rPr>
            </w:pPr>
            <w:r w:rsidRPr="004B040D">
              <w:rPr>
                <w:color w:val="000000"/>
                <w:sz w:val="20"/>
                <w:szCs w:val="20"/>
              </w:rPr>
              <w:t>(0.014)</w:t>
            </w:r>
          </w:p>
        </w:tc>
        <w:tc>
          <w:tcPr>
            <w:tcW w:w="2590" w:type="dxa"/>
            <w:tcBorders>
              <w:top w:val="nil"/>
              <w:left w:val="nil"/>
              <w:bottom w:val="nil"/>
              <w:right w:val="nil"/>
            </w:tcBorders>
            <w:shd w:val="clear" w:color="auto" w:fill="auto"/>
            <w:noWrap/>
            <w:vAlign w:val="bottom"/>
            <w:hideMark/>
          </w:tcPr>
          <w:p w14:paraId="7E9A0737" w14:textId="77777777" w:rsidR="00B22915" w:rsidRPr="004B040D" w:rsidRDefault="00B22915" w:rsidP="00B22915">
            <w:pPr>
              <w:jc w:val="center"/>
              <w:rPr>
                <w:color w:val="000000"/>
                <w:sz w:val="20"/>
                <w:szCs w:val="20"/>
              </w:rPr>
            </w:pPr>
            <w:r w:rsidRPr="004B040D">
              <w:rPr>
                <w:color w:val="000000"/>
                <w:sz w:val="20"/>
                <w:szCs w:val="20"/>
              </w:rPr>
              <w:t>(0.013)</w:t>
            </w:r>
          </w:p>
        </w:tc>
        <w:tc>
          <w:tcPr>
            <w:tcW w:w="2590" w:type="dxa"/>
            <w:tcBorders>
              <w:top w:val="nil"/>
              <w:left w:val="nil"/>
              <w:bottom w:val="nil"/>
              <w:right w:val="nil"/>
            </w:tcBorders>
            <w:shd w:val="clear" w:color="auto" w:fill="auto"/>
            <w:noWrap/>
            <w:vAlign w:val="bottom"/>
            <w:hideMark/>
          </w:tcPr>
          <w:p w14:paraId="7613BE51" w14:textId="77777777" w:rsidR="00B22915" w:rsidRPr="004B040D" w:rsidRDefault="00B22915" w:rsidP="00B22915">
            <w:pPr>
              <w:jc w:val="center"/>
              <w:rPr>
                <w:color w:val="000000"/>
                <w:sz w:val="20"/>
                <w:szCs w:val="20"/>
              </w:rPr>
            </w:pPr>
            <w:r w:rsidRPr="004B040D">
              <w:rPr>
                <w:color w:val="000000"/>
                <w:sz w:val="20"/>
                <w:szCs w:val="20"/>
              </w:rPr>
              <w:t>(0.014)</w:t>
            </w:r>
          </w:p>
        </w:tc>
      </w:tr>
      <w:tr w:rsidR="00B22915" w:rsidRPr="004B040D" w14:paraId="0474D800" w14:textId="77777777" w:rsidTr="00B22915">
        <w:trPr>
          <w:trHeight w:val="300"/>
        </w:trPr>
        <w:tc>
          <w:tcPr>
            <w:tcW w:w="2240" w:type="dxa"/>
            <w:tcBorders>
              <w:top w:val="nil"/>
              <w:left w:val="nil"/>
              <w:right w:val="nil"/>
            </w:tcBorders>
            <w:shd w:val="clear" w:color="auto" w:fill="auto"/>
            <w:noWrap/>
            <w:vAlign w:val="bottom"/>
            <w:hideMark/>
          </w:tcPr>
          <w:p w14:paraId="3619FB72" w14:textId="77777777" w:rsidR="00B22915" w:rsidRPr="004B040D" w:rsidRDefault="00B22915" w:rsidP="00B22915">
            <w:pPr>
              <w:rPr>
                <w:color w:val="000000"/>
                <w:sz w:val="20"/>
                <w:szCs w:val="20"/>
              </w:rPr>
            </w:pPr>
            <w:r w:rsidRPr="004B040D">
              <w:rPr>
                <w:color w:val="000000"/>
                <w:sz w:val="20"/>
                <w:szCs w:val="20"/>
              </w:rPr>
              <w:t>Observations</w:t>
            </w:r>
          </w:p>
        </w:tc>
        <w:tc>
          <w:tcPr>
            <w:tcW w:w="2590" w:type="dxa"/>
            <w:tcBorders>
              <w:top w:val="nil"/>
              <w:left w:val="nil"/>
              <w:right w:val="nil"/>
            </w:tcBorders>
            <w:shd w:val="clear" w:color="auto" w:fill="auto"/>
            <w:noWrap/>
            <w:vAlign w:val="bottom"/>
            <w:hideMark/>
          </w:tcPr>
          <w:p w14:paraId="1DD027D9" w14:textId="77777777" w:rsidR="00B22915" w:rsidRPr="004B040D" w:rsidRDefault="00B22915" w:rsidP="00B22915">
            <w:pPr>
              <w:jc w:val="center"/>
              <w:rPr>
                <w:color w:val="000000"/>
                <w:sz w:val="20"/>
                <w:szCs w:val="20"/>
              </w:rPr>
            </w:pPr>
            <w:r w:rsidRPr="004B040D">
              <w:rPr>
                <w:color w:val="000000"/>
                <w:sz w:val="20"/>
                <w:szCs w:val="20"/>
              </w:rPr>
              <w:t>15,090</w:t>
            </w:r>
          </w:p>
        </w:tc>
        <w:tc>
          <w:tcPr>
            <w:tcW w:w="2590" w:type="dxa"/>
            <w:tcBorders>
              <w:top w:val="nil"/>
              <w:left w:val="nil"/>
              <w:right w:val="nil"/>
            </w:tcBorders>
            <w:shd w:val="clear" w:color="auto" w:fill="auto"/>
            <w:noWrap/>
            <w:vAlign w:val="bottom"/>
            <w:hideMark/>
          </w:tcPr>
          <w:p w14:paraId="559564BB" w14:textId="77777777" w:rsidR="00B22915" w:rsidRPr="004B040D" w:rsidRDefault="00B22915" w:rsidP="00B22915">
            <w:pPr>
              <w:jc w:val="center"/>
              <w:rPr>
                <w:color w:val="000000"/>
                <w:sz w:val="20"/>
                <w:szCs w:val="20"/>
              </w:rPr>
            </w:pPr>
            <w:r w:rsidRPr="004B040D">
              <w:rPr>
                <w:color w:val="000000"/>
                <w:sz w:val="20"/>
                <w:szCs w:val="20"/>
              </w:rPr>
              <w:t>15,090</w:t>
            </w:r>
          </w:p>
        </w:tc>
        <w:tc>
          <w:tcPr>
            <w:tcW w:w="2590" w:type="dxa"/>
            <w:tcBorders>
              <w:top w:val="nil"/>
              <w:left w:val="nil"/>
              <w:right w:val="nil"/>
            </w:tcBorders>
            <w:shd w:val="clear" w:color="auto" w:fill="auto"/>
            <w:noWrap/>
            <w:vAlign w:val="bottom"/>
            <w:hideMark/>
          </w:tcPr>
          <w:p w14:paraId="5F463CEA" w14:textId="77777777" w:rsidR="00B22915" w:rsidRPr="004B040D" w:rsidRDefault="00B22915" w:rsidP="00B22915">
            <w:pPr>
              <w:jc w:val="center"/>
              <w:rPr>
                <w:color w:val="000000"/>
                <w:sz w:val="20"/>
                <w:szCs w:val="20"/>
              </w:rPr>
            </w:pPr>
            <w:r w:rsidRPr="004B040D">
              <w:rPr>
                <w:color w:val="000000"/>
                <w:sz w:val="20"/>
                <w:szCs w:val="20"/>
              </w:rPr>
              <w:t>15,090</w:t>
            </w:r>
          </w:p>
        </w:tc>
        <w:tc>
          <w:tcPr>
            <w:tcW w:w="2590" w:type="dxa"/>
            <w:tcBorders>
              <w:top w:val="nil"/>
              <w:left w:val="nil"/>
              <w:right w:val="nil"/>
            </w:tcBorders>
            <w:shd w:val="clear" w:color="auto" w:fill="auto"/>
            <w:noWrap/>
            <w:vAlign w:val="bottom"/>
            <w:hideMark/>
          </w:tcPr>
          <w:p w14:paraId="249BB4D3" w14:textId="77777777" w:rsidR="00B22915" w:rsidRPr="004B040D" w:rsidRDefault="00B22915" w:rsidP="00B22915">
            <w:pPr>
              <w:jc w:val="center"/>
              <w:rPr>
                <w:color w:val="000000"/>
                <w:sz w:val="20"/>
                <w:szCs w:val="20"/>
              </w:rPr>
            </w:pPr>
            <w:r w:rsidRPr="004B040D">
              <w:rPr>
                <w:color w:val="000000"/>
                <w:sz w:val="20"/>
                <w:szCs w:val="20"/>
              </w:rPr>
              <w:t>15,090</w:t>
            </w:r>
          </w:p>
        </w:tc>
      </w:tr>
      <w:tr w:rsidR="00B22915" w:rsidRPr="004B040D" w14:paraId="2AFBE749" w14:textId="77777777" w:rsidTr="00B22915">
        <w:trPr>
          <w:trHeight w:val="300"/>
        </w:trPr>
        <w:tc>
          <w:tcPr>
            <w:tcW w:w="2240" w:type="dxa"/>
            <w:tcBorders>
              <w:top w:val="nil"/>
              <w:left w:val="nil"/>
              <w:bottom w:val="single" w:sz="4" w:space="0" w:color="auto"/>
              <w:right w:val="nil"/>
            </w:tcBorders>
            <w:shd w:val="clear" w:color="auto" w:fill="auto"/>
            <w:noWrap/>
            <w:vAlign w:val="bottom"/>
            <w:hideMark/>
          </w:tcPr>
          <w:p w14:paraId="118F2735" w14:textId="77777777" w:rsidR="00B22915" w:rsidRPr="004B040D" w:rsidRDefault="00B22915" w:rsidP="00B22915">
            <w:pPr>
              <w:rPr>
                <w:color w:val="000000"/>
                <w:sz w:val="20"/>
                <w:szCs w:val="20"/>
              </w:rPr>
            </w:pPr>
            <w:r w:rsidRPr="004B040D">
              <w:rPr>
                <w:color w:val="000000"/>
                <w:sz w:val="20"/>
                <w:szCs w:val="20"/>
              </w:rPr>
              <w:t>R-squared</w:t>
            </w:r>
          </w:p>
        </w:tc>
        <w:tc>
          <w:tcPr>
            <w:tcW w:w="2590" w:type="dxa"/>
            <w:tcBorders>
              <w:top w:val="nil"/>
              <w:left w:val="nil"/>
              <w:bottom w:val="single" w:sz="4" w:space="0" w:color="auto"/>
              <w:right w:val="nil"/>
            </w:tcBorders>
            <w:shd w:val="clear" w:color="auto" w:fill="auto"/>
            <w:noWrap/>
            <w:vAlign w:val="bottom"/>
            <w:hideMark/>
          </w:tcPr>
          <w:p w14:paraId="3BDFE05D" w14:textId="77777777" w:rsidR="00B22915" w:rsidRPr="004B040D" w:rsidRDefault="00B22915" w:rsidP="00B22915">
            <w:pPr>
              <w:jc w:val="center"/>
              <w:rPr>
                <w:color w:val="000000"/>
                <w:sz w:val="20"/>
                <w:szCs w:val="20"/>
              </w:rPr>
            </w:pPr>
            <w:r w:rsidRPr="004B040D">
              <w:rPr>
                <w:color w:val="000000"/>
                <w:sz w:val="20"/>
                <w:szCs w:val="20"/>
              </w:rPr>
              <w:t>0.14</w:t>
            </w:r>
            <w:r>
              <w:rPr>
                <w:color w:val="000000"/>
                <w:sz w:val="20"/>
                <w:szCs w:val="20"/>
              </w:rPr>
              <w:t>8</w:t>
            </w:r>
          </w:p>
        </w:tc>
        <w:tc>
          <w:tcPr>
            <w:tcW w:w="2590" w:type="dxa"/>
            <w:tcBorders>
              <w:top w:val="nil"/>
              <w:left w:val="nil"/>
              <w:bottom w:val="single" w:sz="4" w:space="0" w:color="auto"/>
              <w:right w:val="nil"/>
            </w:tcBorders>
            <w:shd w:val="clear" w:color="auto" w:fill="auto"/>
            <w:noWrap/>
            <w:vAlign w:val="bottom"/>
            <w:hideMark/>
          </w:tcPr>
          <w:p w14:paraId="16AF2DE6" w14:textId="77777777" w:rsidR="00B22915" w:rsidRPr="004B040D" w:rsidRDefault="00B22915" w:rsidP="00B22915">
            <w:pPr>
              <w:jc w:val="center"/>
              <w:rPr>
                <w:color w:val="000000"/>
                <w:sz w:val="20"/>
                <w:szCs w:val="20"/>
              </w:rPr>
            </w:pPr>
            <w:r w:rsidRPr="004B040D">
              <w:rPr>
                <w:color w:val="000000"/>
                <w:sz w:val="20"/>
                <w:szCs w:val="20"/>
              </w:rPr>
              <w:t>0.227</w:t>
            </w:r>
          </w:p>
        </w:tc>
        <w:tc>
          <w:tcPr>
            <w:tcW w:w="2590" w:type="dxa"/>
            <w:tcBorders>
              <w:top w:val="nil"/>
              <w:left w:val="nil"/>
              <w:bottom w:val="single" w:sz="4" w:space="0" w:color="auto"/>
              <w:right w:val="nil"/>
            </w:tcBorders>
            <w:shd w:val="clear" w:color="auto" w:fill="auto"/>
            <w:noWrap/>
            <w:vAlign w:val="bottom"/>
            <w:hideMark/>
          </w:tcPr>
          <w:p w14:paraId="5980896D" w14:textId="77777777" w:rsidR="00B22915" w:rsidRPr="004B040D" w:rsidRDefault="00B22915" w:rsidP="00B22915">
            <w:pPr>
              <w:jc w:val="center"/>
              <w:rPr>
                <w:color w:val="000000"/>
                <w:sz w:val="20"/>
                <w:szCs w:val="20"/>
              </w:rPr>
            </w:pPr>
            <w:r w:rsidRPr="004B040D">
              <w:rPr>
                <w:color w:val="000000"/>
                <w:sz w:val="20"/>
                <w:szCs w:val="20"/>
              </w:rPr>
              <w:t>0.220</w:t>
            </w:r>
          </w:p>
        </w:tc>
        <w:tc>
          <w:tcPr>
            <w:tcW w:w="2590" w:type="dxa"/>
            <w:tcBorders>
              <w:top w:val="nil"/>
              <w:left w:val="nil"/>
              <w:bottom w:val="single" w:sz="4" w:space="0" w:color="auto"/>
              <w:right w:val="nil"/>
            </w:tcBorders>
            <w:shd w:val="clear" w:color="auto" w:fill="auto"/>
            <w:noWrap/>
            <w:vAlign w:val="bottom"/>
            <w:hideMark/>
          </w:tcPr>
          <w:p w14:paraId="3324EF45" w14:textId="77777777" w:rsidR="00B22915" w:rsidRPr="004B040D" w:rsidRDefault="00B22915" w:rsidP="00B22915">
            <w:pPr>
              <w:jc w:val="center"/>
              <w:rPr>
                <w:color w:val="000000"/>
                <w:sz w:val="20"/>
                <w:szCs w:val="20"/>
              </w:rPr>
            </w:pPr>
            <w:r w:rsidRPr="004B040D">
              <w:rPr>
                <w:color w:val="000000"/>
                <w:sz w:val="20"/>
                <w:szCs w:val="20"/>
              </w:rPr>
              <w:t>0.288</w:t>
            </w:r>
          </w:p>
        </w:tc>
      </w:tr>
      <w:tr w:rsidR="00B22915" w:rsidRPr="004B040D" w14:paraId="3C7EE1AD" w14:textId="77777777" w:rsidTr="00B22915">
        <w:trPr>
          <w:trHeight w:val="300"/>
        </w:trPr>
        <w:tc>
          <w:tcPr>
            <w:tcW w:w="12600" w:type="dxa"/>
            <w:gridSpan w:val="5"/>
            <w:tcBorders>
              <w:top w:val="single" w:sz="4" w:space="0" w:color="auto"/>
              <w:left w:val="nil"/>
              <w:bottom w:val="nil"/>
              <w:right w:val="nil"/>
            </w:tcBorders>
            <w:shd w:val="clear" w:color="auto" w:fill="auto"/>
            <w:noWrap/>
            <w:vAlign w:val="bottom"/>
            <w:hideMark/>
          </w:tcPr>
          <w:p w14:paraId="1CE49E5C" w14:textId="77777777" w:rsidR="00B22915" w:rsidRPr="0095387F" w:rsidRDefault="00B22915" w:rsidP="00B22915">
            <w:pPr>
              <w:rPr>
                <w:sz w:val="20"/>
                <w:szCs w:val="20"/>
              </w:rPr>
            </w:pPr>
            <w:r w:rsidRPr="0095387F">
              <w:rPr>
                <w:sz w:val="20"/>
                <w:szCs w:val="20"/>
              </w:rPr>
              <w:t xml:space="preserve">Robust standard errors in parentheses. *** p&lt;0.01, ** p&lt;0.05, * p&lt;0.1. </w:t>
            </w:r>
            <w:r>
              <w:rPr>
                <w:sz w:val="20"/>
                <w:szCs w:val="20"/>
              </w:rPr>
              <w:t xml:space="preserve">Estimates were obtained using DiD model (1). Sample includes students who have ever been classified as English Learners in grades K-12. </w:t>
            </w:r>
            <w:r w:rsidRPr="0095387F">
              <w:rPr>
                <w:sz w:val="20"/>
                <w:szCs w:val="20"/>
              </w:rPr>
              <w:t xml:space="preserve">Each column represents a separate regression. </w:t>
            </w:r>
            <w:r>
              <w:rPr>
                <w:sz w:val="20"/>
                <w:szCs w:val="20"/>
              </w:rPr>
              <w:t>Column (1) reports the number of college credits earned in 12</w:t>
            </w:r>
            <w:r w:rsidRPr="00942168">
              <w:rPr>
                <w:sz w:val="20"/>
                <w:szCs w:val="20"/>
                <w:vertAlign w:val="superscript"/>
              </w:rPr>
              <w:t>th</w:t>
            </w:r>
            <w:r>
              <w:rPr>
                <w:sz w:val="20"/>
                <w:szCs w:val="20"/>
              </w:rPr>
              <w:t xml:space="preserve"> grade. </w:t>
            </w:r>
            <w:r w:rsidRPr="0095387F">
              <w:rPr>
                <w:sz w:val="20"/>
                <w:szCs w:val="20"/>
              </w:rPr>
              <w:t xml:space="preserve">College credits from different colleges have been converted to a common scale. </w:t>
            </w:r>
            <w:r>
              <w:rPr>
                <w:sz w:val="20"/>
                <w:szCs w:val="20"/>
              </w:rPr>
              <w:t>Ten</w:t>
            </w:r>
            <w:r w:rsidRPr="0095387F">
              <w:rPr>
                <w:sz w:val="20"/>
                <w:szCs w:val="20"/>
              </w:rPr>
              <w:t xml:space="preserve"> credits are the equivalent of 2 semester-long courses or 1 year-long course.  Columns (2)-(4) report </w:t>
            </w:r>
            <w:r>
              <w:rPr>
                <w:sz w:val="20"/>
                <w:szCs w:val="20"/>
              </w:rPr>
              <w:t xml:space="preserve">linear probability estimates for </w:t>
            </w:r>
            <w:r w:rsidRPr="0095387F">
              <w:rPr>
                <w:sz w:val="20"/>
                <w:szCs w:val="20"/>
              </w:rPr>
              <w:t>binary dependent variables. “</w:t>
            </w:r>
            <w:r>
              <w:rPr>
                <w:sz w:val="20"/>
                <w:szCs w:val="20"/>
              </w:rPr>
              <w:t>I</w:t>
            </w:r>
            <w:r w:rsidRPr="0095387F">
              <w:rPr>
                <w:sz w:val="20"/>
                <w:szCs w:val="20"/>
              </w:rPr>
              <w:t xml:space="preserve">mmediate </w:t>
            </w:r>
            <w:r>
              <w:rPr>
                <w:sz w:val="20"/>
                <w:szCs w:val="20"/>
              </w:rPr>
              <w:t>C</w:t>
            </w:r>
            <w:r w:rsidRPr="0095387F">
              <w:rPr>
                <w:sz w:val="20"/>
                <w:szCs w:val="20"/>
              </w:rPr>
              <w:t>ollege” represents enrolling in college the fall after high school exit. “</w:t>
            </w:r>
            <w:r>
              <w:rPr>
                <w:sz w:val="20"/>
                <w:szCs w:val="20"/>
              </w:rPr>
              <w:t>4</w:t>
            </w:r>
            <w:r w:rsidRPr="0095387F">
              <w:rPr>
                <w:sz w:val="20"/>
                <w:szCs w:val="20"/>
              </w:rPr>
              <w:t>-</w:t>
            </w:r>
            <w:r>
              <w:rPr>
                <w:sz w:val="20"/>
                <w:szCs w:val="20"/>
              </w:rPr>
              <w:t>Y</w:t>
            </w:r>
            <w:r w:rsidRPr="0095387F">
              <w:rPr>
                <w:sz w:val="20"/>
                <w:szCs w:val="20"/>
              </w:rPr>
              <w:t xml:space="preserve">ear </w:t>
            </w:r>
            <w:r>
              <w:rPr>
                <w:sz w:val="20"/>
                <w:szCs w:val="20"/>
              </w:rPr>
              <w:t>C</w:t>
            </w:r>
            <w:r w:rsidRPr="0095387F">
              <w:rPr>
                <w:sz w:val="20"/>
                <w:szCs w:val="20"/>
              </w:rPr>
              <w:t>ollege” represents directly enrolling in a 4-year college after high school.</w:t>
            </w:r>
            <w:r>
              <w:rPr>
                <w:sz w:val="20"/>
                <w:szCs w:val="20"/>
              </w:rPr>
              <w:t xml:space="preserve"> </w:t>
            </w:r>
            <w:r w:rsidRPr="0095387F">
              <w:rPr>
                <w:sz w:val="20"/>
                <w:szCs w:val="20"/>
              </w:rPr>
              <w:t>“</w:t>
            </w:r>
            <w:r>
              <w:rPr>
                <w:sz w:val="20"/>
                <w:szCs w:val="20"/>
              </w:rPr>
              <w:t>On-Time HS G</w:t>
            </w:r>
            <w:r w:rsidRPr="0095387F">
              <w:rPr>
                <w:sz w:val="20"/>
                <w:szCs w:val="20"/>
              </w:rPr>
              <w:t xml:space="preserve">raduation” represents having graduated from high school within 4 years of attendance. </w:t>
            </w:r>
            <w:r>
              <w:rPr>
                <w:sz w:val="20"/>
                <w:szCs w:val="20"/>
              </w:rPr>
              <w:t>EL = English Learner. Current ELs as of 11</w:t>
            </w:r>
            <w:r w:rsidRPr="00DE2CB3">
              <w:rPr>
                <w:sz w:val="20"/>
                <w:szCs w:val="20"/>
                <w:vertAlign w:val="superscript"/>
              </w:rPr>
              <w:t>th</w:t>
            </w:r>
            <w:r>
              <w:rPr>
                <w:sz w:val="20"/>
                <w:szCs w:val="20"/>
              </w:rPr>
              <w:t xml:space="preserve"> grade are the omitted category. Gr 2-5 Entry = first identified as EL between 2</w:t>
            </w:r>
            <w:r w:rsidRPr="00DE2CB3">
              <w:rPr>
                <w:sz w:val="20"/>
                <w:szCs w:val="20"/>
                <w:vertAlign w:val="superscript"/>
              </w:rPr>
              <w:t>nd</w:t>
            </w:r>
            <w:r>
              <w:rPr>
                <w:sz w:val="20"/>
                <w:szCs w:val="20"/>
              </w:rPr>
              <w:t xml:space="preserve"> and 5</w:t>
            </w:r>
            <w:r w:rsidRPr="00DE2CB3">
              <w:rPr>
                <w:sz w:val="20"/>
                <w:szCs w:val="20"/>
                <w:vertAlign w:val="superscript"/>
              </w:rPr>
              <w:t>th</w:t>
            </w:r>
            <w:r>
              <w:rPr>
                <w:sz w:val="20"/>
                <w:szCs w:val="20"/>
              </w:rPr>
              <w:t xml:space="preserve"> grade. Model includes student covariates (female, ethnicity, home language, mother’s education, father’s education, special education participation, 10th grade school suspensions, and AP tests taken prior to the end of 10</w:t>
            </w:r>
            <w:r w:rsidRPr="002770A2">
              <w:rPr>
                <w:sz w:val="20"/>
                <w:szCs w:val="20"/>
                <w:vertAlign w:val="superscript"/>
              </w:rPr>
              <w:t>th</w:t>
            </w:r>
            <w:r>
              <w:rPr>
                <w:sz w:val="20"/>
                <w:szCs w:val="20"/>
              </w:rPr>
              <w:t xml:space="preserve"> grade, as well as high school fixed effects (coefficients suppressed). </w:t>
            </w:r>
          </w:p>
          <w:p w14:paraId="099BE3CD" w14:textId="77777777" w:rsidR="00B22915" w:rsidRPr="004B040D" w:rsidRDefault="00B22915" w:rsidP="00B22915">
            <w:pPr>
              <w:rPr>
                <w:color w:val="000000"/>
                <w:sz w:val="20"/>
                <w:szCs w:val="20"/>
              </w:rPr>
            </w:pPr>
          </w:p>
        </w:tc>
      </w:tr>
    </w:tbl>
    <w:p w14:paraId="6AA47825" w14:textId="77777777" w:rsidR="00B22915" w:rsidRDefault="00B22915" w:rsidP="00B22915"/>
    <w:p w14:paraId="42A21C87" w14:textId="77777777" w:rsidR="00B22915" w:rsidRDefault="00B22915" w:rsidP="00B22915">
      <w:r>
        <w:br w:type="page"/>
      </w:r>
    </w:p>
    <w:p w14:paraId="602D2EE6" w14:textId="1CC7029D" w:rsidR="00B22915" w:rsidRDefault="00B22915" w:rsidP="00B22915">
      <w:r>
        <w:lastRenderedPageBreak/>
        <w:t xml:space="preserve">Table 4. Synthetic Control Estimates of Early College Program </w:t>
      </w:r>
      <w:r w:rsidR="006E109A">
        <w:t>Effects on</w:t>
      </w:r>
      <w:r>
        <w:t xml:space="preserve"> </w:t>
      </w:r>
      <w:r w:rsidR="008B4D29">
        <w:t>Ever-</w:t>
      </w:r>
      <w:r>
        <w:t>EL Academic Outcomes</w:t>
      </w:r>
    </w:p>
    <w:tbl>
      <w:tblPr>
        <w:tblW w:w="12600" w:type="dxa"/>
        <w:tblLayout w:type="fixed"/>
        <w:tblLook w:val="04A0" w:firstRow="1" w:lastRow="0" w:firstColumn="1" w:lastColumn="0" w:noHBand="0" w:noVBand="1"/>
      </w:tblPr>
      <w:tblGrid>
        <w:gridCol w:w="2240"/>
        <w:gridCol w:w="2590"/>
        <w:gridCol w:w="2590"/>
        <w:gridCol w:w="2590"/>
        <w:gridCol w:w="2590"/>
      </w:tblGrid>
      <w:tr w:rsidR="00B22915" w:rsidRPr="004B040D" w14:paraId="3EEBD93F" w14:textId="77777777" w:rsidTr="00B22915">
        <w:trPr>
          <w:trHeight w:val="300"/>
        </w:trPr>
        <w:tc>
          <w:tcPr>
            <w:tcW w:w="2240" w:type="dxa"/>
            <w:tcBorders>
              <w:top w:val="single" w:sz="4" w:space="0" w:color="000000"/>
              <w:left w:val="nil"/>
              <w:bottom w:val="nil"/>
              <w:right w:val="nil"/>
            </w:tcBorders>
            <w:shd w:val="clear" w:color="auto" w:fill="auto"/>
            <w:noWrap/>
            <w:vAlign w:val="bottom"/>
            <w:hideMark/>
          </w:tcPr>
          <w:p w14:paraId="406D0ED0" w14:textId="77777777" w:rsidR="00B22915" w:rsidRPr="004B040D" w:rsidRDefault="00B22915" w:rsidP="00B22915">
            <w:pP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32DE1290" w14:textId="77777777" w:rsidR="00B22915" w:rsidRPr="004B040D" w:rsidRDefault="00B22915" w:rsidP="00B22915">
            <w:pPr>
              <w:jc w:val="center"/>
              <w:rPr>
                <w:color w:val="000000"/>
                <w:sz w:val="20"/>
                <w:szCs w:val="20"/>
              </w:rPr>
            </w:pPr>
            <w:r w:rsidRPr="004B040D">
              <w:rPr>
                <w:color w:val="000000"/>
                <w:sz w:val="20"/>
                <w:szCs w:val="20"/>
              </w:rPr>
              <w:t>(1)</w:t>
            </w:r>
          </w:p>
        </w:tc>
        <w:tc>
          <w:tcPr>
            <w:tcW w:w="2590" w:type="dxa"/>
            <w:tcBorders>
              <w:top w:val="single" w:sz="4" w:space="0" w:color="000000"/>
              <w:left w:val="nil"/>
              <w:bottom w:val="nil"/>
              <w:right w:val="nil"/>
            </w:tcBorders>
            <w:shd w:val="clear" w:color="auto" w:fill="auto"/>
            <w:noWrap/>
            <w:vAlign w:val="bottom"/>
            <w:hideMark/>
          </w:tcPr>
          <w:p w14:paraId="0C7ADF5B" w14:textId="77777777" w:rsidR="00B22915" w:rsidRPr="004B040D" w:rsidRDefault="00B22915" w:rsidP="00B22915">
            <w:pPr>
              <w:jc w:val="center"/>
              <w:rPr>
                <w:color w:val="000000"/>
                <w:sz w:val="20"/>
                <w:szCs w:val="20"/>
              </w:rPr>
            </w:pPr>
            <w:r w:rsidRPr="004B040D">
              <w:rPr>
                <w:color w:val="000000"/>
                <w:sz w:val="20"/>
                <w:szCs w:val="20"/>
              </w:rPr>
              <w:t>(2)</w:t>
            </w:r>
          </w:p>
        </w:tc>
        <w:tc>
          <w:tcPr>
            <w:tcW w:w="2590" w:type="dxa"/>
            <w:tcBorders>
              <w:top w:val="single" w:sz="4" w:space="0" w:color="000000"/>
              <w:left w:val="nil"/>
              <w:bottom w:val="nil"/>
              <w:right w:val="nil"/>
            </w:tcBorders>
            <w:shd w:val="clear" w:color="auto" w:fill="auto"/>
            <w:noWrap/>
            <w:vAlign w:val="bottom"/>
            <w:hideMark/>
          </w:tcPr>
          <w:p w14:paraId="60D74CA5" w14:textId="77777777" w:rsidR="00B22915" w:rsidRPr="004B040D" w:rsidRDefault="00B22915" w:rsidP="00B22915">
            <w:pPr>
              <w:jc w:val="center"/>
              <w:rPr>
                <w:color w:val="000000"/>
                <w:sz w:val="20"/>
                <w:szCs w:val="20"/>
              </w:rPr>
            </w:pPr>
            <w:r w:rsidRPr="004B040D">
              <w:rPr>
                <w:color w:val="000000"/>
                <w:sz w:val="20"/>
                <w:szCs w:val="20"/>
              </w:rPr>
              <w:t>(3)</w:t>
            </w:r>
          </w:p>
        </w:tc>
        <w:tc>
          <w:tcPr>
            <w:tcW w:w="2590" w:type="dxa"/>
            <w:tcBorders>
              <w:top w:val="single" w:sz="4" w:space="0" w:color="000000"/>
              <w:left w:val="nil"/>
              <w:bottom w:val="nil"/>
              <w:right w:val="nil"/>
            </w:tcBorders>
            <w:shd w:val="clear" w:color="auto" w:fill="auto"/>
            <w:noWrap/>
            <w:vAlign w:val="bottom"/>
            <w:hideMark/>
          </w:tcPr>
          <w:p w14:paraId="3EA444B0" w14:textId="77777777" w:rsidR="00B22915" w:rsidRPr="004B040D" w:rsidRDefault="00B22915" w:rsidP="00B22915">
            <w:pPr>
              <w:jc w:val="center"/>
              <w:rPr>
                <w:color w:val="000000"/>
                <w:sz w:val="20"/>
                <w:szCs w:val="20"/>
              </w:rPr>
            </w:pPr>
            <w:r w:rsidRPr="004B040D">
              <w:rPr>
                <w:color w:val="000000"/>
                <w:sz w:val="20"/>
                <w:szCs w:val="20"/>
              </w:rPr>
              <w:t>(4)</w:t>
            </w:r>
          </w:p>
        </w:tc>
      </w:tr>
      <w:tr w:rsidR="00B22915" w:rsidRPr="004B040D" w14:paraId="6588968F" w14:textId="77777777" w:rsidTr="00B22915">
        <w:trPr>
          <w:trHeight w:val="300"/>
        </w:trPr>
        <w:tc>
          <w:tcPr>
            <w:tcW w:w="2240" w:type="dxa"/>
            <w:tcBorders>
              <w:top w:val="nil"/>
              <w:left w:val="nil"/>
              <w:bottom w:val="nil"/>
              <w:right w:val="nil"/>
            </w:tcBorders>
            <w:shd w:val="clear" w:color="auto" w:fill="auto"/>
            <w:noWrap/>
            <w:vAlign w:val="bottom"/>
            <w:hideMark/>
          </w:tcPr>
          <w:p w14:paraId="78FA2066"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2EB9D314" w14:textId="77777777" w:rsidR="00B22915" w:rsidRPr="000D48AE" w:rsidRDefault="00B22915" w:rsidP="00B22915">
            <w:pPr>
              <w:jc w:val="center"/>
              <w:rPr>
                <w:color w:val="000000"/>
                <w:sz w:val="20"/>
                <w:szCs w:val="20"/>
              </w:rPr>
            </w:pPr>
            <w:r w:rsidRPr="000D48AE">
              <w:rPr>
                <w:sz w:val="20"/>
                <w:szCs w:val="20"/>
              </w:rPr>
              <w:t xml:space="preserve">12th </w:t>
            </w:r>
            <w:r>
              <w:rPr>
                <w:sz w:val="20"/>
                <w:szCs w:val="20"/>
              </w:rPr>
              <w:t>G</w:t>
            </w:r>
            <w:r w:rsidRPr="000D48AE">
              <w:rPr>
                <w:sz w:val="20"/>
                <w:szCs w:val="20"/>
              </w:rPr>
              <w:t xml:space="preserve">rade </w:t>
            </w:r>
            <w:r>
              <w:rPr>
                <w:sz w:val="20"/>
                <w:szCs w:val="20"/>
              </w:rPr>
              <w:t>C</w:t>
            </w:r>
            <w:r w:rsidRPr="000D48AE">
              <w:rPr>
                <w:sz w:val="20"/>
                <w:szCs w:val="20"/>
              </w:rPr>
              <w:t xml:space="preserve">ollege </w:t>
            </w:r>
            <w:r>
              <w:rPr>
                <w:sz w:val="20"/>
                <w:szCs w:val="20"/>
              </w:rPr>
              <w:t>C</w:t>
            </w:r>
            <w:r w:rsidRPr="000D48AE">
              <w:rPr>
                <w:sz w:val="20"/>
                <w:szCs w:val="20"/>
              </w:rPr>
              <w:t>redits</w:t>
            </w:r>
          </w:p>
        </w:tc>
        <w:tc>
          <w:tcPr>
            <w:tcW w:w="2590" w:type="dxa"/>
            <w:tcBorders>
              <w:top w:val="nil"/>
              <w:left w:val="nil"/>
              <w:bottom w:val="nil"/>
              <w:right w:val="nil"/>
            </w:tcBorders>
            <w:shd w:val="clear" w:color="auto" w:fill="auto"/>
            <w:noWrap/>
            <w:vAlign w:val="bottom"/>
            <w:hideMark/>
          </w:tcPr>
          <w:p w14:paraId="29E38101" w14:textId="77777777" w:rsidR="00B22915" w:rsidRPr="004B040D" w:rsidRDefault="00B22915" w:rsidP="00B22915">
            <w:pPr>
              <w:jc w:val="center"/>
              <w:rPr>
                <w:color w:val="000000"/>
                <w:sz w:val="20"/>
                <w:szCs w:val="20"/>
              </w:rPr>
            </w:pPr>
            <w:r w:rsidRPr="004B040D">
              <w:rPr>
                <w:color w:val="000000"/>
                <w:sz w:val="20"/>
                <w:szCs w:val="20"/>
              </w:rPr>
              <w:t>Immediate College</w:t>
            </w:r>
          </w:p>
        </w:tc>
        <w:tc>
          <w:tcPr>
            <w:tcW w:w="2590" w:type="dxa"/>
            <w:tcBorders>
              <w:top w:val="nil"/>
              <w:left w:val="nil"/>
              <w:bottom w:val="nil"/>
              <w:right w:val="nil"/>
            </w:tcBorders>
            <w:shd w:val="clear" w:color="auto" w:fill="auto"/>
            <w:noWrap/>
            <w:vAlign w:val="bottom"/>
            <w:hideMark/>
          </w:tcPr>
          <w:p w14:paraId="17D8DBEE" w14:textId="77777777" w:rsidR="00B22915" w:rsidRPr="004B040D" w:rsidRDefault="00B22915" w:rsidP="00B22915">
            <w:pPr>
              <w:jc w:val="center"/>
              <w:rPr>
                <w:color w:val="000000"/>
                <w:sz w:val="20"/>
                <w:szCs w:val="20"/>
              </w:rPr>
            </w:pPr>
            <w:r w:rsidRPr="004B040D">
              <w:rPr>
                <w:color w:val="000000"/>
                <w:sz w:val="20"/>
                <w:szCs w:val="20"/>
              </w:rPr>
              <w:t>4-Year College</w:t>
            </w:r>
          </w:p>
        </w:tc>
        <w:tc>
          <w:tcPr>
            <w:tcW w:w="2590" w:type="dxa"/>
            <w:tcBorders>
              <w:top w:val="nil"/>
              <w:left w:val="nil"/>
              <w:bottom w:val="nil"/>
              <w:right w:val="nil"/>
            </w:tcBorders>
            <w:shd w:val="clear" w:color="auto" w:fill="auto"/>
            <w:noWrap/>
            <w:vAlign w:val="bottom"/>
            <w:hideMark/>
          </w:tcPr>
          <w:p w14:paraId="757A07C2" w14:textId="77777777" w:rsidR="00B22915" w:rsidRPr="004B040D" w:rsidRDefault="00B22915" w:rsidP="00B22915">
            <w:pPr>
              <w:jc w:val="center"/>
              <w:rPr>
                <w:color w:val="000000"/>
                <w:sz w:val="20"/>
                <w:szCs w:val="20"/>
              </w:rPr>
            </w:pPr>
            <w:r w:rsidRPr="004B040D">
              <w:rPr>
                <w:color w:val="000000"/>
                <w:sz w:val="20"/>
                <w:szCs w:val="20"/>
              </w:rPr>
              <w:t>On-Time HS Graduation</w:t>
            </w:r>
          </w:p>
        </w:tc>
      </w:tr>
      <w:tr w:rsidR="00B22915" w:rsidRPr="004B040D" w14:paraId="7CFA7F90" w14:textId="77777777" w:rsidTr="00B22915">
        <w:trPr>
          <w:trHeight w:val="300"/>
        </w:trPr>
        <w:tc>
          <w:tcPr>
            <w:tcW w:w="2240" w:type="dxa"/>
            <w:tcBorders>
              <w:top w:val="single" w:sz="4" w:space="0" w:color="000000"/>
              <w:left w:val="nil"/>
              <w:bottom w:val="nil"/>
              <w:right w:val="nil"/>
            </w:tcBorders>
            <w:shd w:val="clear" w:color="auto" w:fill="auto"/>
            <w:noWrap/>
            <w:vAlign w:val="bottom"/>
            <w:hideMark/>
          </w:tcPr>
          <w:p w14:paraId="4404DA2B" w14:textId="77777777" w:rsidR="00B22915" w:rsidRPr="004B040D" w:rsidRDefault="00B22915" w:rsidP="00B22915">
            <w:pP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093284E2" w14:textId="77777777" w:rsidR="00B22915" w:rsidRPr="004B040D" w:rsidRDefault="00B22915" w:rsidP="00B22915">
            <w:pPr>
              <w:jc w:val="cente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72207CBC" w14:textId="77777777" w:rsidR="00B22915" w:rsidRPr="004B040D" w:rsidRDefault="00B22915" w:rsidP="00B22915">
            <w:pPr>
              <w:jc w:val="cente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635E1FB2" w14:textId="77777777" w:rsidR="00B22915" w:rsidRPr="004B040D" w:rsidRDefault="00B22915" w:rsidP="00B22915">
            <w:pPr>
              <w:jc w:val="center"/>
              <w:rPr>
                <w:color w:val="000000"/>
                <w:sz w:val="20"/>
                <w:szCs w:val="20"/>
              </w:rPr>
            </w:pPr>
            <w:r w:rsidRPr="004B040D">
              <w:rPr>
                <w:color w:val="000000"/>
                <w:sz w:val="20"/>
                <w:szCs w:val="20"/>
              </w:rPr>
              <w:t> </w:t>
            </w:r>
          </w:p>
        </w:tc>
        <w:tc>
          <w:tcPr>
            <w:tcW w:w="2590" w:type="dxa"/>
            <w:tcBorders>
              <w:top w:val="single" w:sz="4" w:space="0" w:color="000000"/>
              <w:left w:val="nil"/>
              <w:bottom w:val="nil"/>
              <w:right w:val="nil"/>
            </w:tcBorders>
            <w:shd w:val="clear" w:color="auto" w:fill="auto"/>
            <w:noWrap/>
            <w:vAlign w:val="bottom"/>
            <w:hideMark/>
          </w:tcPr>
          <w:p w14:paraId="2CF2E2FB" w14:textId="77777777" w:rsidR="00B22915" w:rsidRPr="004B040D" w:rsidRDefault="00B22915" w:rsidP="00B22915">
            <w:pPr>
              <w:jc w:val="center"/>
              <w:rPr>
                <w:color w:val="000000"/>
                <w:sz w:val="20"/>
                <w:szCs w:val="20"/>
              </w:rPr>
            </w:pPr>
            <w:r w:rsidRPr="004B040D">
              <w:rPr>
                <w:color w:val="000000"/>
                <w:sz w:val="20"/>
                <w:szCs w:val="20"/>
              </w:rPr>
              <w:t> </w:t>
            </w:r>
          </w:p>
        </w:tc>
      </w:tr>
      <w:tr w:rsidR="00B22915" w:rsidRPr="004B040D" w14:paraId="16FC0537" w14:textId="77777777" w:rsidTr="00B22915">
        <w:trPr>
          <w:trHeight w:val="300"/>
        </w:trPr>
        <w:tc>
          <w:tcPr>
            <w:tcW w:w="2240" w:type="dxa"/>
            <w:tcBorders>
              <w:top w:val="nil"/>
              <w:left w:val="nil"/>
              <w:bottom w:val="nil"/>
              <w:right w:val="nil"/>
            </w:tcBorders>
            <w:shd w:val="clear" w:color="auto" w:fill="auto"/>
            <w:noWrap/>
            <w:vAlign w:val="bottom"/>
            <w:hideMark/>
          </w:tcPr>
          <w:p w14:paraId="30FCA2FC" w14:textId="77777777" w:rsidR="00B22915" w:rsidRPr="004B040D" w:rsidRDefault="00B22915" w:rsidP="00B22915">
            <w:pPr>
              <w:rPr>
                <w:b/>
                <w:bCs/>
                <w:color w:val="000000"/>
                <w:sz w:val="20"/>
                <w:szCs w:val="20"/>
              </w:rPr>
            </w:pPr>
            <w:r w:rsidRPr="004B040D">
              <w:rPr>
                <w:b/>
                <w:bCs/>
                <w:color w:val="000000"/>
                <w:sz w:val="20"/>
                <w:szCs w:val="20"/>
              </w:rPr>
              <w:t>Post X Treated</w:t>
            </w:r>
          </w:p>
        </w:tc>
        <w:tc>
          <w:tcPr>
            <w:tcW w:w="2590" w:type="dxa"/>
            <w:tcBorders>
              <w:top w:val="nil"/>
              <w:left w:val="nil"/>
              <w:bottom w:val="nil"/>
              <w:right w:val="nil"/>
            </w:tcBorders>
            <w:shd w:val="clear" w:color="auto" w:fill="auto"/>
            <w:noWrap/>
            <w:vAlign w:val="bottom"/>
            <w:hideMark/>
          </w:tcPr>
          <w:p w14:paraId="67057822" w14:textId="77777777" w:rsidR="00B22915" w:rsidRPr="00F75A5F" w:rsidRDefault="00B22915" w:rsidP="00B22915">
            <w:pPr>
              <w:jc w:val="center"/>
              <w:rPr>
                <w:b/>
                <w:bCs/>
                <w:color w:val="000000"/>
                <w:sz w:val="20"/>
                <w:szCs w:val="20"/>
              </w:rPr>
            </w:pPr>
            <w:r w:rsidRPr="00F75A5F">
              <w:rPr>
                <w:b/>
                <w:bCs/>
                <w:color w:val="000000"/>
                <w:sz w:val="20"/>
                <w:szCs w:val="20"/>
              </w:rPr>
              <w:t>11.178***</w:t>
            </w:r>
          </w:p>
        </w:tc>
        <w:tc>
          <w:tcPr>
            <w:tcW w:w="2590" w:type="dxa"/>
            <w:tcBorders>
              <w:top w:val="nil"/>
              <w:left w:val="nil"/>
              <w:bottom w:val="nil"/>
              <w:right w:val="nil"/>
            </w:tcBorders>
            <w:shd w:val="clear" w:color="auto" w:fill="auto"/>
            <w:noWrap/>
            <w:vAlign w:val="bottom"/>
            <w:hideMark/>
          </w:tcPr>
          <w:p w14:paraId="57DEA158" w14:textId="77777777" w:rsidR="00B22915" w:rsidRPr="000D48AE" w:rsidRDefault="00B22915" w:rsidP="00B22915">
            <w:pPr>
              <w:jc w:val="center"/>
              <w:rPr>
                <w:b/>
                <w:bCs/>
                <w:color w:val="000000"/>
                <w:sz w:val="20"/>
                <w:szCs w:val="20"/>
              </w:rPr>
            </w:pPr>
            <w:r w:rsidRPr="000D48AE">
              <w:rPr>
                <w:b/>
                <w:bCs/>
                <w:color w:val="000000"/>
                <w:sz w:val="20"/>
                <w:szCs w:val="20"/>
              </w:rPr>
              <w:t>0.013</w:t>
            </w:r>
          </w:p>
        </w:tc>
        <w:tc>
          <w:tcPr>
            <w:tcW w:w="2590" w:type="dxa"/>
            <w:tcBorders>
              <w:top w:val="nil"/>
              <w:left w:val="nil"/>
              <w:bottom w:val="nil"/>
              <w:right w:val="nil"/>
            </w:tcBorders>
            <w:shd w:val="clear" w:color="auto" w:fill="auto"/>
            <w:noWrap/>
            <w:vAlign w:val="bottom"/>
            <w:hideMark/>
          </w:tcPr>
          <w:p w14:paraId="12E08384" w14:textId="77777777" w:rsidR="00B22915" w:rsidRPr="000D48AE" w:rsidRDefault="00B22915" w:rsidP="00B22915">
            <w:pPr>
              <w:jc w:val="center"/>
              <w:rPr>
                <w:b/>
                <w:bCs/>
                <w:color w:val="000000"/>
                <w:sz w:val="20"/>
                <w:szCs w:val="20"/>
              </w:rPr>
            </w:pPr>
            <w:r w:rsidRPr="000D48AE">
              <w:rPr>
                <w:b/>
                <w:bCs/>
                <w:color w:val="000000"/>
                <w:sz w:val="20"/>
                <w:szCs w:val="20"/>
              </w:rPr>
              <w:t>-0.039</w:t>
            </w:r>
          </w:p>
        </w:tc>
        <w:tc>
          <w:tcPr>
            <w:tcW w:w="2590" w:type="dxa"/>
            <w:tcBorders>
              <w:top w:val="nil"/>
              <w:left w:val="nil"/>
              <w:bottom w:val="nil"/>
              <w:right w:val="nil"/>
            </w:tcBorders>
            <w:shd w:val="clear" w:color="auto" w:fill="auto"/>
            <w:noWrap/>
            <w:vAlign w:val="bottom"/>
            <w:hideMark/>
          </w:tcPr>
          <w:p w14:paraId="4A220A90" w14:textId="77777777" w:rsidR="00B22915" w:rsidRPr="000D48AE" w:rsidRDefault="00B22915" w:rsidP="00B22915">
            <w:pPr>
              <w:jc w:val="center"/>
              <w:rPr>
                <w:b/>
                <w:bCs/>
                <w:color w:val="000000"/>
                <w:sz w:val="20"/>
                <w:szCs w:val="20"/>
              </w:rPr>
            </w:pPr>
            <w:r w:rsidRPr="000D48AE">
              <w:rPr>
                <w:b/>
                <w:bCs/>
                <w:color w:val="000000"/>
                <w:sz w:val="20"/>
                <w:szCs w:val="20"/>
              </w:rPr>
              <w:t>0.106***</w:t>
            </w:r>
          </w:p>
        </w:tc>
      </w:tr>
      <w:tr w:rsidR="00B22915" w:rsidRPr="004B040D" w14:paraId="7E00955F" w14:textId="77777777" w:rsidTr="00B22915">
        <w:trPr>
          <w:trHeight w:val="300"/>
        </w:trPr>
        <w:tc>
          <w:tcPr>
            <w:tcW w:w="2240" w:type="dxa"/>
            <w:tcBorders>
              <w:top w:val="nil"/>
              <w:left w:val="nil"/>
              <w:bottom w:val="nil"/>
              <w:right w:val="nil"/>
            </w:tcBorders>
            <w:shd w:val="clear" w:color="auto" w:fill="auto"/>
            <w:noWrap/>
            <w:vAlign w:val="bottom"/>
            <w:hideMark/>
          </w:tcPr>
          <w:p w14:paraId="5D60CCB8" w14:textId="77777777" w:rsidR="00B22915" w:rsidRPr="004B040D" w:rsidRDefault="00B22915" w:rsidP="00B22915">
            <w:pPr>
              <w:jc w:val="center"/>
              <w:rPr>
                <w:b/>
                <w:bCs/>
                <w:color w:val="000000"/>
                <w:sz w:val="20"/>
                <w:szCs w:val="20"/>
              </w:rPr>
            </w:pPr>
          </w:p>
        </w:tc>
        <w:tc>
          <w:tcPr>
            <w:tcW w:w="2590" w:type="dxa"/>
            <w:tcBorders>
              <w:top w:val="nil"/>
              <w:left w:val="nil"/>
              <w:bottom w:val="nil"/>
              <w:right w:val="nil"/>
            </w:tcBorders>
            <w:shd w:val="clear" w:color="auto" w:fill="auto"/>
            <w:noWrap/>
            <w:vAlign w:val="bottom"/>
            <w:hideMark/>
          </w:tcPr>
          <w:p w14:paraId="659AA275" w14:textId="77777777" w:rsidR="00B22915" w:rsidRPr="00F75A5F" w:rsidRDefault="00B22915" w:rsidP="00B22915">
            <w:pPr>
              <w:jc w:val="center"/>
              <w:rPr>
                <w:b/>
                <w:bCs/>
                <w:color w:val="000000"/>
                <w:sz w:val="20"/>
                <w:szCs w:val="20"/>
              </w:rPr>
            </w:pPr>
            <w:r w:rsidRPr="00F75A5F">
              <w:rPr>
                <w:b/>
                <w:bCs/>
                <w:color w:val="000000"/>
                <w:sz w:val="20"/>
                <w:szCs w:val="20"/>
              </w:rPr>
              <w:t>(0.759)</w:t>
            </w:r>
          </w:p>
        </w:tc>
        <w:tc>
          <w:tcPr>
            <w:tcW w:w="2590" w:type="dxa"/>
            <w:tcBorders>
              <w:top w:val="nil"/>
              <w:left w:val="nil"/>
              <w:bottom w:val="nil"/>
              <w:right w:val="nil"/>
            </w:tcBorders>
            <w:shd w:val="clear" w:color="auto" w:fill="auto"/>
            <w:noWrap/>
            <w:vAlign w:val="bottom"/>
            <w:hideMark/>
          </w:tcPr>
          <w:p w14:paraId="785746C1" w14:textId="77777777" w:rsidR="00B22915" w:rsidRPr="000D48AE" w:rsidRDefault="00B22915" w:rsidP="00B22915">
            <w:pPr>
              <w:jc w:val="center"/>
              <w:rPr>
                <w:b/>
                <w:bCs/>
                <w:color w:val="000000"/>
                <w:sz w:val="20"/>
                <w:szCs w:val="20"/>
              </w:rPr>
            </w:pPr>
            <w:r w:rsidRPr="000D48AE">
              <w:rPr>
                <w:b/>
                <w:bCs/>
                <w:color w:val="000000"/>
                <w:sz w:val="20"/>
                <w:szCs w:val="20"/>
              </w:rPr>
              <w:t>(0.032)</w:t>
            </w:r>
          </w:p>
        </w:tc>
        <w:tc>
          <w:tcPr>
            <w:tcW w:w="2590" w:type="dxa"/>
            <w:tcBorders>
              <w:top w:val="nil"/>
              <w:left w:val="nil"/>
              <w:bottom w:val="nil"/>
              <w:right w:val="nil"/>
            </w:tcBorders>
            <w:shd w:val="clear" w:color="auto" w:fill="auto"/>
            <w:noWrap/>
            <w:vAlign w:val="bottom"/>
            <w:hideMark/>
          </w:tcPr>
          <w:p w14:paraId="47425BAA" w14:textId="77777777" w:rsidR="00B22915" w:rsidRPr="000D48AE" w:rsidRDefault="00B22915" w:rsidP="00B22915">
            <w:pPr>
              <w:jc w:val="center"/>
              <w:rPr>
                <w:b/>
                <w:bCs/>
                <w:color w:val="000000"/>
                <w:sz w:val="20"/>
                <w:szCs w:val="20"/>
              </w:rPr>
            </w:pPr>
            <w:r w:rsidRPr="000D48AE">
              <w:rPr>
                <w:b/>
                <w:bCs/>
                <w:color w:val="000000"/>
                <w:sz w:val="20"/>
                <w:szCs w:val="20"/>
              </w:rPr>
              <w:t>(0.029)</w:t>
            </w:r>
          </w:p>
        </w:tc>
        <w:tc>
          <w:tcPr>
            <w:tcW w:w="2590" w:type="dxa"/>
            <w:tcBorders>
              <w:top w:val="nil"/>
              <w:left w:val="nil"/>
              <w:bottom w:val="nil"/>
              <w:right w:val="nil"/>
            </w:tcBorders>
            <w:shd w:val="clear" w:color="auto" w:fill="auto"/>
            <w:noWrap/>
            <w:vAlign w:val="bottom"/>
            <w:hideMark/>
          </w:tcPr>
          <w:p w14:paraId="57C364D8" w14:textId="77777777" w:rsidR="00B22915" w:rsidRPr="000D48AE" w:rsidRDefault="00B22915" w:rsidP="00B22915">
            <w:pPr>
              <w:jc w:val="center"/>
              <w:rPr>
                <w:b/>
                <w:bCs/>
                <w:color w:val="000000"/>
                <w:sz w:val="20"/>
                <w:szCs w:val="20"/>
              </w:rPr>
            </w:pPr>
            <w:r w:rsidRPr="000D48AE">
              <w:rPr>
                <w:b/>
                <w:bCs/>
                <w:color w:val="000000"/>
                <w:sz w:val="20"/>
                <w:szCs w:val="20"/>
              </w:rPr>
              <w:t>(0.034)</w:t>
            </w:r>
          </w:p>
        </w:tc>
      </w:tr>
      <w:tr w:rsidR="00B22915" w:rsidRPr="004B040D" w14:paraId="7BA7E638" w14:textId="77777777" w:rsidTr="00B22915">
        <w:trPr>
          <w:trHeight w:val="300"/>
        </w:trPr>
        <w:tc>
          <w:tcPr>
            <w:tcW w:w="2240" w:type="dxa"/>
            <w:tcBorders>
              <w:top w:val="nil"/>
              <w:left w:val="nil"/>
              <w:bottom w:val="nil"/>
              <w:right w:val="nil"/>
            </w:tcBorders>
            <w:shd w:val="clear" w:color="auto" w:fill="auto"/>
            <w:noWrap/>
            <w:vAlign w:val="bottom"/>
            <w:hideMark/>
          </w:tcPr>
          <w:p w14:paraId="776F54B8" w14:textId="77777777" w:rsidR="00B22915" w:rsidRPr="004B040D" w:rsidRDefault="00B22915" w:rsidP="00B22915">
            <w:pPr>
              <w:rPr>
                <w:color w:val="000000"/>
                <w:sz w:val="20"/>
                <w:szCs w:val="20"/>
              </w:rPr>
            </w:pPr>
            <w:r w:rsidRPr="004B040D">
              <w:rPr>
                <w:color w:val="000000"/>
                <w:sz w:val="20"/>
                <w:szCs w:val="20"/>
              </w:rPr>
              <w:t>Post</w:t>
            </w:r>
          </w:p>
        </w:tc>
        <w:tc>
          <w:tcPr>
            <w:tcW w:w="2590" w:type="dxa"/>
            <w:tcBorders>
              <w:top w:val="nil"/>
              <w:left w:val="nil"/>
              <w:bottom w:val="nil"/>
              <w:right w:val="nil"/>
            </w:tcBorders>
            <w:shd w:val="clear" w:color="auto" w:fill="auto"/>
            <w:noWrap/>
            <w:vAlign w:val="bottom"/>
            <w:hideMark/>
          </w:tcPr>
          <w:p w14:paraId="051216C0" w14:textId="77777777" w:rsidR="00B22915" w:rsidRPr="00F75A5F" w:rsidRDefault="00B22915" w:rsidP="00B22915">
            <w:pPr>
              <w:jc w:val="center"/>
              <w:rPr>
                <w:color w:val="000000"/>
                <w:sz w:val="20"/>
                <w:szCs w:val="20"/>
              </w:rPr>
            </w:pPr>
            <w:r w:rsidRPr="00F75A5F">
              <w:rPr>
                <w:color w:val="000000"/>
                <w:sz w:val="20"/>
                <w:szCs w:val="20"/>
              </w:rPr>
              <w:t>0.428***</w:t>
            </w:r>
          </w:p>
        </w:tc>
        <w:tc>
          <w:tcPr>
            <w:tcW w:w="2590" w:type="dxa"/>
            <w:tcBorders>
              <w:top w:val="nil"/>
              <w:left w:val="nil"/>
              <w:bottom w:val="nil"/>
              <w:right w:val="nil"/>
            </w:tcBorders>
            <w:shd w:val="clear" w:color="auto" w:fill="auto"/>
            <w:noWrap/>
            <w:vAlign w:val="bottom"/>
            <w:hideMark/>
          </w:tcPr>
          <w:p w14:paraId="21FF79A0" w14:textId="77777777" w:rsidR="00B22915" w:rsidRPr="004C39A2" w:rsidRDefault="00B22915" w:rsidP="00B22915">
            <w:pPr>
              <w:jc w:val="center"/>
              <w:rPr>
                <w:color w:val="000000"/>
                <w:sz w:val="20"/>
                <w:szCs w:val="20"/>
              </w:rPr>
            </w:pPr>
            <w:r w:rsidRPr="004C39A2">
              <w:rPr>
                <w:color w:val="000000"/>
                <w:sz w:val="20"/>
                <w:szCs w:val="20"/>
              </w:rPr>
              <w:t>0.006</w:t>
            </w:r>
          </w:p>
        </w:tc>
        <w:tc>
          <w:tcPr>
            <w:tcW w:w="2590" w:type="dxa"/>
            <w:tcBorders>
              <w:top w:val="nil"/>
              <w:left w:val="nil"/>
              <w:bottom w:val="nil"/>
              <w:right w:val="nil"/>
            </w:tcBorders>
            <w:shd w:val="clear" w:color="auto" w:fill="auto"/>
            <w:noWrap/>
            <w:vAlign w:val="bottom"/>
            <w:hideMark/>
          </w:tcPr>
          <w:p w14:paraId="60E9B99A" w14:textId="77777777" w:rsidR="00B22915" w:rsidRPr="004C39A2" w:rsidRDefault="00B22915" w:rsidP="00B22915">
            <w:pPr>
              <w:jc w:val="center"/>
              <w:rPr>
                <w:color w:val="000000"/>
                <w:sz w:val="20"/>
                <w:szCs w:val="20"/>
              </w:rPr>
            </w:pPr>
            <w:r w:rsidRPr="004C39A2">
              <w:rPr>
                <w:color w:val="000000"/>
                <w:sz w:val="20"/>
                <w:szCs w:val="20"/>
              </w:rPr>
              <w:t>-0.004</w:t>
            </w:r>
          </w:p>
        </w:tc>
        <w:tc>
          <w:tcPr>
            <w:tcW w:w="2590" w:type="dxa"/>
            <w:tcBorders>
              <w:top w:val="nil"/>
              <w:left w:val="nil"/>
              <w:bottom w:val="nil"/>
              <w:right w:val="nil"/>
            </w:tcBorders>
            <w:shd w:val="clear" w:color="auto" w:fill="auto"/>
            <w:noWrap/>
            <w:vAlign w:val="bottom"/>
            <w:hideMark/>
          </w:tcPr>
          <w:p w14:paraId="018237EB" w14:textId="77777777" w:rsidR="00B22915" w:rsidRPr="004C39A2" w:rsidRDefault="00B22915" w:rsidP="00B22915">
            <w:pPr>
              <w:jc w:val="center"/>
              <w:rPr>
                <w:color w:val="000000"/>
                <w:sz w:val="20"/>
                <w:szCs w:val="20"/>
              </w:rPr>
            </w:pPr>
            <w:r w:rsidRPr="004C39A2">
              <w:rPr>
                <w:color w:val="000000"/>
                <w:sz w:val="20"/>
                <w:szCs w:val="20"/>
              </w:rPr>
              <w:t>0.027</w:t>
            </w:r>
          </w:p>
        </w:tc>
      </w:tr>
      <w:tr w:rsidR="00B22915" w:rsidRPr="004B040D" w14:paraId="6DCC419B" w14:textId="77777777" w:rsidTr="00B22915">
        <w:trPr>
          <w:trHeight w:val="300"/>
        </w:trPr>
        <w:tc>
          <w:tcPr>
            <w:tcW w:w="2240" w:type="dxa"/>
            <w:tcBorders>
              <w:top w:val="nil"/>
              <w:left w:val="nil"/>
              <w:bottom w:val="nil"/>
              <w:right w:val="nil"/>
            </w:tcBorders>
            <w:shd w:val="clear" w:color="auto" w:fill="auto"/>
            <w:noWrap/>
            <w:vAlign w:val="bottom"/>
            <w:hideMark/>
          </w:tcPr>
          <w:p w14:paraId="7337E6DB"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42A05652" w14:textId="77777777" w:rsidR="00B22915" w:rsidRPr="00F75A5F" w:rsidRDefault="00B22915" w:rsidP="00B22915">
            <w:pPr>
              <w:jc w:val="center"/>
              <w:rPr>
                <w:color w:val="000000"/>
                <w:sz w:val="20"/>
                <w:szCs w:val="20"/>
              </w:rPr>
            </w:pPr>
            <w:r w:rsidRPr="00F75A5F">
              <w:rPr>
                <w:color w:val="000000"/>
                <w:sz w:val="20"/>
                <w:szCs w:val="20"/>
              </w:rPr>
              <w:t>(0.099)</w:t>
            </w:r>
          </w:p>
        </w:tc>
        <w:tc>
          <w:tcPr>
            <w:tcW w:w="2590" w:type="dxa"/>
            <w:tcBorders>
              <w:top w:val="nil"/>
              <w:left w:val="nil"/>
              <w:bottom w:val="nil"/>
              <w:right w:val="nil"/>
            </w:tcBorders>
            <w:shd w:val="clear" w:color="auto" w:fill="auto"/>
            <w:noWrap/>
            <w:vAlign w:val="bottom"/>
            <w:hideMark/>
          </w:tcPr>
          <w:p w14:paraId="1C1C5DE2" w14:textId="77777777" w:rsidR="00B22915" w:rsidRPr="004C39A2" w:rsidRDefault="00B22915" w:rsidP="00B22915">
            <w:pPr>
              <w:jc w:val="center"/>
              <w:rPr>
                <w:color w:val="000000"/>
                <w:sz w:val="20"/>
                <w:szCs w:val="20"/>
              </w:rPr>
            </w:pPr>
            <w:r w:rsidRPr="004C39A2">
              <w:rPr>
                <w:color w:val="000000"/>
                <w:sz w:val="20"/>
                <w:szCs w:val="20"/>
              </w:rPr>
              <w:t>(0.014)</w:t>
            </w:r>
          </w:p>
        </w:tc>
        <w:tc>
          <w:tcPr>
            <w:tcW w:w="2590" w:type="dxa"/>
            <w:tcBorders>
              <w:top w:val="nil"/>
              <w:left w:val="nil"/>
              <w:bottom w:val="nil"/>
              <w:right w:val="nil"/>
            </w:tcBorders>
            <w:shd w:val="clear" w:color="auto" w:fill="auto"/>
            <w:noWrap/>
            <w:vAlign w:val="bottom"/>
            <w:hideMark/>
          </w:tcPr>
          <w:p w14:paraId="074A75A1" w14:textId="77777777" w:rsidR="00B22915" w:rsidRPr="004C39A2" w:rsidRDefault="00B22915" w:rsidP="00B22915">
            <w:pPr>
              <w:jc w:val="center"/>
              <w:rPr>
                <w:color w:val="000000"/>
                <w:sz w:val="20"/>
                <w:szCs w:val="20"/>
              </w:rPr>
            </w:pPr>
            <w:r w:rsidRPr="004C39A2">
              <w:rPr>
                <w:color w:val="000000"/>
                <w:sz w:val="20"/>
                <w:szCs w:val="20"/>
              </w:rPr>
              <w:t>(0.018)</w:t>
            </w:r>
          </w:p>
        </w:tc>
        <w:tc>
          <w:tcPr>
            <w:tcW w:w="2590" w:type="dxa"/>
            <w:tcBorders>
              <w:top w:val="nil"/>
              <w:left w:val="nil"/>
              <w:bottom w:val="nil"/>
              <w:right w:val="nil"/>
            </w:tcBorders>
            <w:shd w:val="clear" w:color="auto" w:fill="auto"/>
            <w:noWrap/>
            <w:vAlign w:val="bottom"/>
            <w:hideMark/>
          </w:tcPr>
          <w:p w14:paraId="4E8F62C0" w14:textId="77777777" w:rsidR="00B22915" w:rsidRPr="004C39A2" w:rsidRDefault="00B22915" w:rsidP="00B22915">
            <w:pPr>
              <w:jc w:val="center"/>
              <w:rPr>
                <w:color w:val="000000"/>
                <w:sz w:val="20"/>
                <w:szCs w:val="20"/>
              </w:rPr>
            </w:pPr>
            <w:r w:rsidRPr="004C39A2">
              <w:rPr>
                <w:color w:val="000000"/>
                <w:sz w:val="20"/>
                <w:szCs w:val="20"/>
              </w:rPr>
              <w:t>(0.018)</w:t>
            </w:r>
          </w:p>
        </w:tc>
      </w:tr>
      <w:tr w:rsidR="00B22915" w:rsidRPr="004B040D" w14:paraId="0B525FC3" w14:textId="77777777" w:rsidTr="00B22915">
        <w:trPr>
          <w:trHeight w:val="300"/>
        </w:trPr>
        <w:tc>
          <w:tcPr>
            <w:tcW w:w="2240" w:type="dxa"/>
            <w:tcBorders>
              <w:top w:val="nil"/>
              <w:left w:val="nil"/>
              <w:bottom w:val="nil"/>
              <w:right w:val="nil"/>
            </w:tcBorders>
            <w:shd w:val="clear" w:color="auto" w:fill="auto"/>
            <w:noWrap/>
            <w:vAlign w:val="bottom"/>
            <w:hideMark/>
          </w:tcPr>
          <w:p w14:paraId="4FFDB9B0" w14:textId="77777777" w:rsidR="00B22915" w:rsidRPr="004B040D" w:rsidRDefault="00B22915" w:rsidP="00B22915">
            <w:pPr>
              <w:rPr>
                <w:color w:val="000000"/>
                <w:sz w:val="20"/>
                <w:szCs w:val="20"/>
              </w:rPr>
            </w:pPr>
            <w:r w:rsidRPr="004B040D">
              <w:rPr>
                <w:color w:val="000000"/>
                <w:sz w:val="20"/>
                <w:szCs w:val="20"/>
              </w:rPr>
              <w:t>Treated</w:t>
            </w:r>
          </w:p>
        </w:tc>
        <w:tc>
          <w:tcPr>
            <w:tcW w:w="2590" w:type="dxa"/>
            <w:tcBorders>
              <w:top w:val="nil"/>
              <w:left w:val="nil"/>
              <w:bottom w:val="nil"/>
              <w:right w:val="nil"/>
            </w:tcBorders>
            <w:shd w:val="clear" w:color="auto" w:fill="auto"/>
            <w:noWrap/>
            <w:vAlign w:val="bottom"/>
            <w:hideMark/>
          </w:tcPr>
          <w:p w14:paraId="53C981CF" w14:textId="77777777" w:rsidR="00B22915" w:rsidRPr="00F75A5F" w:rsidRDefault="00B22915" w:rsidP="00B22915">
            <w:pPr>
              <w:jc w:val="center"/>
              <w:rPr>
                <w:color w:val="000000"/>
                <w:sz w:val="20"/>
                <w:szCs w:val="20"/>
              </w:rPr>
            </w:pPr>
            <w:r w:rsidRPr="00F75A5F">
              <w:rPr>
                <w:color w:val="000000"/>
                <w:sz w:val="20"/>
                <w:szCs w:val="20"/>
              </w:rPr>
              <w:t>0.250***</w:t>
            </w:r>
          </w:p>
        </w:tc>
        <w:tc>
          <w:tcPr>
            <w:tcW w:w="2590" w:type="dxa"/>
            <w:tcBorders>
              <w:top w:val="nil"/>
              <w:left w:val="nil"/>
              <w:bottom w:val="nil"/>
              <w:right w:val="nil"/>
            </w:tcBorders>
            <w:shd w:val="clear" w:color="auto" w:fill="auto"/>
            <w:noWrap/>
            <w:vAlign w:val="bottom"/>
            <w:hideMark/>
          </w:tcPr>
          <w:p w14:paraId="7485B91D" w14:textId="77777777" w:rsidR="00B22915" w:rsidRPr="004C39A2" w:rsidRDefault="00B22915" w:rsidP="00B22915">
            <w:pPr>
              <w:jc w:val="center"/>
              <w:rPr>
                <w:color w:val="000000"/>
                <w:sz w:val="20"/>
                <w:szCs w:val="20"/>
              </w:rPr>
            </w:pPr>
            <w:r w:rsidRPr="004C39A2">
              <w:rPr>
                <w:color w:val="000000"/>
                <w:sz w:val="20"/>
                <w:szCs w:val="20"/>
              </w:rPr>
              <w:t>0.018</w:t>
            </w:r>
          </w:p>
        </w:tc>
        <w:tc>
          <w:tcPr>
            <w:tcW w:w="2590" w:type="dxa"/>
            <w:tcBorders>
              <w:top w:val="nil"/>
              <w:left w:val="nil"/>
              <w:bottom w:val="nil"/>
              <w:right w:val="nil"/>
            </w:tcBorders>
            <w:shd w:val="clear" w:color="auto" w:fill="auto"/>
            <w:noWrap/>
            <w:vAlign w:val="bottom"/>
            <w:hideMark/>
          </w:tcPr>
          <w:p w14:paraId="491B8259" w14:textId="77777777" w:rsidR="00B22915" w:rsidRPr="004C39A2" w:rsidRDefault="00B22915" w:rsidP="00B22915">
            <w:pPr>
              <w:jc w:val="center"/>
              <w:rPr>
                <w:color w:val="000000"/>
                <w:sz w:val="20"/>
                <w:szCs w:val="20"/>
              </w:rPr>
            </w:pPr>
            <w:r w:rsidRPr="004C39A2">
              <w:rPr>
                <w:color w:val="000000"/>
                <w:sz w:val="20"/>
                <w:szCs w:val="20"/>
              </w:rPr>
              <w:t>-0.021</w:t>
            </w:r>
          </w:p>
        </w:tc>
        <w:tc>
          <w:tcPr>
            <w:tcW w:w="2590" w:type="dxa"/>
            <w:tcBorders>
              <w:top w:val="nil"/>
              <w:left w:val="nil"/>
              <w:bottom w:val="nil"/>
              <w:right w:val="nil"/>
            </w:tcBorders>
            <w:shd w:val="clear" w:color="auto" w:fill="auto"/>
            <w:noWrap/>
            <w:vAlign w:val="bottom"/>
            <w:hideMark/>
          </w:tcPr>
          <w:p w14:paraId="3F647111" w14:textId="77777777" w:rsidR="00B22915" w:rsidRPr="004C39A2" w:rsidRDefault="00B22915" w:rsidP="00B22915">
            <w:pPr>
              <w:jc w:val="center"/>
              <w:rPr>
                <w:color w:val="000000"/>
                <w:sz w:val="20"/>
                <w:szCs w:val="20"/>
              </w:rPr>
            </w:pPr>
            <w:r w:rsidRPr="004C39A2">
              <w:rPr>
                <w:color w:val="000000"/>
                <w:sz w:val="20"/>
                <w:szCs w:val="20"/>
              </w:rPr>
              <w:t>-0.014</w:t>
            </w:r>
          </w:p>
        </w:tc>
      </w:tr>
      <w:tr w:rsidR="00B22915" w:rsidRPr="004B040D" w14:paraId="25929BF1" w14:textId="77777777" w:rsidTr="00B22915">
        <w:trPr>
          <w:trHeight w:val="300"/>
        </w:trPr>
        <w:tc>
          <w:tcPr>
            <w:tcW w:w="2240" w:type="dxa"/>
            <w:tcBorders>
              <w:top w:val="nil"/>
              <w:left w:val="nil"/>
              <w:bottom w:val="nil"/>
              <w:right w:val="nil"/>
            </w:tcBorders>
            <w:shd w:val="clear" w:color="auto" w:fill="auto"/>
            <w:noWrap/>
            <w:vAlign w:val="bottom"/>
            <w:hideMark/>
          </w:tcPr>
          <w:p w14:paraId="7230735C"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47C6811D" w14:textId="77777777" w:rsidR="00B22915" w:rsidRPr="00F75A5F" w:rsidRDefault="00B22915" w:rsidP="00B22915">
            <w:pPr>
              <w:jc w:val="center"/>
              <w:rPr>
                <w:color w:val="000000"/>
                <w:sz w:val="20"/>
                <w:szCs w:val="20"/>
              </w:rPr>
            </w:pPr>
            <w:r w:rsidRPr="00F75A5F">
              <w:rPr>
                <w:color w:val="000000"/>
                <w:sz w:val="20"/>
                <w:szCs w:val="20"/>
              </w:rPr>
              <w:t>(0.082)</w:t>
            </w:r>
          </w:p>
        </w:tc>
        <w:tc>
          <w:tcPr>
            <w:tcW w:w="2590" w:type="dxa"/>
            <w:tcBorders>
              <w:top w:val="nil"/>
              <w:left w:val="nil"/>
              <w:bottom w:val="nil"/>
              <w:right w:val="nil"/>
            </w:tcBorders>
            <w:shd w:val="clear" w:color="auto" w:fill="auto"/>
            <w:noWrap/>
            <w:vAlign w:val="bottom"/>
            <w:hideMark/>
          </w:tcPr>
          <w:p w14:paraId="25541692" w14:textId="77777777" w:rsidR="00B22915" w:rsidRPr="004C39A2" w:rsidRDefault="00B22915" w:rsidP="00B22915">
            <w:pPr>
              <w:jc w:val="center"/>
              <w:rPr>
                <w:color w:val="000000"/>
                <w:sz w:val="20"/>
                <w:szCs w:val="20"/>
              </w:rPr>
            </w:pPr>
            <w:r w:rsidRPr="004C39A2">
              <w:rPr>
                <w:color w:val="000000"/>
                <w:sz w:val="20"/>
                <w:szCs w:val="20"/>
              </w:rPr>
              <w:t>(0.017)</w:t>
            </w:r>
          </w:p>
        </w:tc>
        <w:tc>
          <w:tcPr>
            <w:tcW w:w="2590" w:type="dxa"/>
            <w:tcBorders>
              <w:top w:val="nil"/>
              <w:left w:val="nil"/>
              <w:bottom w:val="nil"/>
              <w:right w:val="nil"/>
            </w:tcBorders>
            <w:shd w:val="clear" w:color="auto" w:fill="auto"/>
            <w:noWrap/>
            <w:vAlign w:val="bottom"/>
            <w:hideMark/>
          </w:tcPr>
          <w:p w14:paraId="25F29B22" w14:textId="77777777" w:rsidR="00B22915" w:rsidRPr="004C39A2" w:rsidRDefault="00B22915" w:rsidP="00B22915">
            <w:pPr>
              <w:jc w:val="center"/>
              <w:rPr>
                <w:color w:val="000000"/>
                <w:sz w:val="20"/>
                <w:szCs w:val="20"/>
              </w:rPr>
            </w:pPr>
            <w:r w:rsidRPr="004C39A2">
              <w:rPr>
                <w:color w:val="000000"/>
                <w:sz w:val="20"/>
                <w:szCs w:val="20"/>
              </w:rPr>
              <w:t>(0.019)</w:t>
            </w:r>
          </w:p>
        </w:tc>
        <w:tc>
          <w:tcPr>
            <w:tcW w:w="2590" w:type="dxa"/>
            <w:tcBorders>
              <w:top w:val="nil"/>
              <w:left w:val="nil"/>
              <w:bottom w:val="nil"/>
              <w:right w:val="nil"/>
            </w:tcBorders>
            <w:shd w:val="clear" w:color="auto" w:fill="auto"/>
            <w:noWrap/>
            <w:vAlign w:val="bottom"/>
            <w:hideMark/>
          </w:tcPr>
          <w:p w14:paraId="673634C0" w14:textId="77777777" w:rsidR="00B22915" w:rsidRPr="004C39A2" w:rsidRDefault="00B22915" w:rsidP="00B22915">
            <w:pPr>
              <w:jc w:val="center"/>
              <w:rPr>
                <w:color w:val="000000"/>
                <w:sz w:val="20"/>
                <w:szCs w:val="20"/>
              </w:rPr>
            </w:pPr>
            <w:r w:rsidRPr="004C39A2">
              <w:rPr>
                <w:color w:val="000000"/>
                <w:sz w:val="20"/>
                <w:szCs w:val="20"/>
              </w:rPr>
              <w:t>(0.018)</w:t>
            </w:r>
          </w:p>
        </w:tc>
      </w:tr>
      <w:tr w:rsidR="00B22915" w:rsidRPr="004B040D" w14:paraId="54D78430" w14:textId="77777777" w:rsidTr="00B22915">
        <w:trPr>
          <w:trHeight w:val="300"/>
        </w:trPr>
        <w:tc>
          <w:tcPr>
            <w:tcW w:w="2240" w:type="dxa"/>
            <w:tcBorders>
              <w:top w:val="nil"/>
              <w:left w:val="nil"/>
              <w:bottom w:val="nil"/>
              <w:right w:val="nil"/>
            </w:tcBorders>
            <w:shd w:val="clear" w:color="auto" w:fill="auto"/>
            <w:noWrap/>
            <w:vAlign w:val="bottom"/>
            <w:hideMark/>
          </w:tcPr>
          <w:p w14:paraId="04753F80" w14:textId="5F5461E4" w:rsidR="00B22915" w:rsidRPr="004B040D" w:rsidRDefault="008B4D29" w:rsidP="00B22915">
            <w:pPr>
              <w:rPr>
                <w:color w:val="000000"/>
                <w:sz w:val="20"/>
                <w:szCs w:val="20"/>
              </w:rPr>
            </w:pPr>
            <w:r>
              <w:rPr>
                <w:color w:val="000000"/>
                <w:sz w:val="20"/>
                <w:szCs w:val="20"/>
              </w:rPr>
              <w:t xml:space="preserve">Current </w:t>
            </w:r>
            <w:r w:rsidR="00B22915" w:rsidRPr="004B040D">
              <w:rPr>
                <w:color w:val="000000"/>
                <w:sz w:val="20"/>
                <w:szCs w:val="20"/>
              </w:rPr>
              <w:t>EL (Gr 2-5 Entry)</w:t>
            </w:r>
          </w:p>
        </w:tc>
        <w:tc>
          <w:tcPr>
            <w:tcW w:w="2590" w:type="dxa"/>
            <w:tcBorders>
              <w:top w:val="nil"/>
              <w:left w:val="nil"/>
              <w:bottom w:val="nil"/>
              <w:right w:val="nil"/>
            </w:tcBorders>
            <w:shd w:val="clear" w:color="auto" w:fill="auto"/>
            <w:noWrap/>
            <w:vAlign w:val="bottom"/>
            <w:hideMark/>
          </w:tcPr>
          <w:p w14:paraId="2111C7E6" w14:textId="77777777" w:rsidR="00B22915" w:rsidRPr="00F75A5F" w:rsidRDefault="00B22915" w:rsidP="00B22915">
            <w:pPr>
              <w:jc w:val="center"/>
              <w:rPr>
                <w:color w:val="000000"/>
                <w:sz w:val="20"/>
                <w:szCs w:val="20"/>
              </w:rPr>
            </w:pPr>
            <w:r w:rsidRPr="00F75A5F">
              <w:rPr>
                <w:color w:val="000000"/>
                <w:sz w:val="20"/>
                <w:szCs w:val="20"/>
              </w:rPr>
              <w:t>0.740*</w:t>
            </w:r>
          </w:p>
        </w:tc>
        <w:tc>
          <w:tcPr>
            <w:tcW w:w="2590" w:type="dxa"/>
            <w:tcBorders>
              <w:top w:val="nil"/>
              <w:left w:val="nil"/>
              <w:bottom w:val="nil"/>
              <w:right w:val="nil"/>
            </w:tcBorders>
            <w:shd w:val="clear" w:color="auto" w:fill="auto"/>
            <w:noWrap/>
            <w:vAlign w:val="bottom"/>
            <w:hideMark/>
          </w:tcPr>
          <w:p w14:paraId="422E9773" w14:textId="77777777" w:rsidR="00B22915" w:rsidRPr="004C39A2" w:rsidRDefault="00B22915" w:rsidP="00B22915">
            <w:pPr>
              <w:jc w:val="center"/>
              <w:rPr>
                <w:color w:val="000000"/>
                <w:sz w:val="20"/>
                <w:szCs w:val="20"/>
              </w:rPr>
            </w:pPr>
            <w:r w:rsidRPr="004C39A2">
              <w:rPr>
                <w:color w:val="000000"/>
                <w:sz w:val="20"/>
                <w:szCs w:val="20"/>
              </w:rPr>
              <w:t>0.112***</w:t>
            </w:r>
          </w:p>
        </w:tc>
        <w:tc>
          <w:tcPr>
            <w:tcW w:w="2590" w:type="dxa"/>
            <w:tcBorders>
              <w:top w:val="nil"/>
              <w:left w:val="nil"/>
              <w:bottom w:val="nil"/>
              <w:right w:val="nil"/>
            </w:tcBorders>
            <w:shd w:val="clear" w:color="auto" w:fill="auto"/>
            <w:noWrap/>
            <w:vAlign w:val="bottom"/>
            <w:hideMark/>
          </w:tcPr>
          <w:p w14:paraId="1074E8E7" w14:textId="77777777" w:rsidR="00B22915" w:rsidRPr="004C39A2" w:rsidRDefault="00B22915" w:rsidP="00B22915">
            <w:pPr>
              <w:jc w:val="center"/>
              <w:rPr>
                <w:color w:val="000000"/>
                <w:sz w:val="20"/>
                <w:szCs w:val="20"/>
              </w:rPr>
            </w:pPr>
            <w:r w:rsidRPr="004C39A2">
              <w:rPr>
                <w:color w:val="000000"/>
                <w:sz w:val="20"/>
                <w:szCs w:val="20"/>
              </w:rPr>
              <w:t>0.066**</w:t>
            </w:r>
          </w:p>
        </w:tc>
        <w:tc>
          <w:tcPr>
            <w:tcW w:w="2590" w:type="dxa"/>
            <w:tcBorders>
              <w:top w:val="nil"/>
              <w:left w:val="nil"/>
              <w:bottom w:val="nil"/>
              <w:right w:val="nil"/>
            </w:tcBorders>
            <w:shd w:val="clear" w:color="auto" w:fill="auto"/>
            <w:noWrap/>
            <w:vAlign w:val="bottom"/>
            <w:hideMark/>
          </w:tcPr>
          <w:p w14:paraId="70179C63" w14:textId="77777777" w:rsidR="00B22915" w:rsidRPr="004C39A2" w:rsidRDefault="00B22915" w:rsidP="00B22915">
            <w:pPr>
              <w:jc w:val="center"/>
              <w:rPr>
                <w:color w:val="000000"/>
                <w:sz w:val="20"/>
                <w:szCs w:val="20"/>
              </w:rPr>
            </w:pPr>
            <w:r w:rsidRPr="004C39A2">
              <w:rPr>
                <w:color w:val="000000"/>
                <w:sz w:val="20"/>
                <w:szCs w:val="20"/>
              </w:rPr>
              <w:t>0.199***</w:t>
            </w:r>
          </w:p>
        </w:tc>
      </w:tr>
      <w:tr w:rsidR="00B22915" w:rsidRPr="004B040D" w14:paraId="058E18D6" w14:textId="77777777" w:rsidTr="00B22915">
        <w:trPr>
          <w:trHeight w:val="300"/>
        </w:trPr>
        <w:tc>
          <w:tcPr>
            <w:tcW w:w="2240" w:type="dxa"/>
            <w:tcBorders>
              <w:top w:val="nil"/>
              <w:left w:val="nil"/>
              <w:bottom w:val="nil"/>
              <w:right w:val="nil"/>
            </w:tcBorders>
            <w:shd w:val="clear" w:color="auto" w:fill="auto"/>
            <w:noWrap/>
            <w:vAlign w:val="bottom"/>
            <w:hideMark/>
          </w:tcPr>
          <w:p w14:paraId="6AF719F3"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24AB6A6D" w14:textId="77777777" w:rsidR="00B22915" w:rsidRPr="00F75A5F" w:rsidRDefault="00B22915" w:rsidP="00B22915">
            <w:pPr>
              <w:jc w:val="center"/>
              <w:rPr>
                <w:color w:val="000000"/>
                <w:sz w:val="20"/>
                <w:szCs w:val="20"/>
              </w:rPr>
            </w:pPr>
            <w:r w:rsidRPr="00F75A5F">
              <w:rPr>
                <w:color w:val="000000"/>
                <w:sz w:val="20"/>
                <w:szCs w:val="20"/>
              </w:rPr>
              <w:t>(0.442)</w:t>
            </w:r>
          </w:p>
        </w:tc>
        <w:tc>
          <w:tcPr>
            <w:tcW w:w="2590" w:type="dxa"/>
            <w:tcBorders>
              <w:top w:val="nil"/>
              <w:left w:val="nil"/>
              <w:bottom w:val="nil"/>
              <w:right w:val="nil"/>
            </w:tcBorders>
            <w:shd w:val="clear" w:color="auto" w:fill="auto"/>
            <w:noWrap/>
            <w:vAlign w:val="bottom"/>
            <w:hideMark/>
          </w:tcPr>
          <w:p w14:paraId="5F1EA7D8" w14:textId="77777777" w:rsidR="00B22915" w:rsidRPr="004C39A2" w:rsidRDefault="00B22915" w:rsidP="00B22915">
            <w:pPr>
              <w:jc w:val="center"/>
              <w:rPr>
                <w:color w:val="000000"/>
                <w:sz w:val="20"/>
                <w:szCs w:val="20"/>
              </w:rPr>
            </w:pPr>
            <w:r w:rsidRPr="004C39A2">
              <w:rPr>
                <w:color w:val="000000"/>
                <w:sz w:val="20"/>
                <w:szCs w:val="20"/>
              </w:rPr>
              <w:t>(0.029)</w:t>
            </w:r>
          </w:p>
        </w:tc>
        <w:tc>
          <w:tcPr>
            <w:tcW w:w="2590" w:type="dxa"/>
            <w:tcBorders>
              <w:top w:val="nil"/>
              <w:left w:val="nil"/>
              <w:bottom w:val="nil"/>
              <w:right w:val="nil"/>
            </w:tcBorders>
            <w:shd w:val="clear" w:color="auto" w:fill="auto"/>
            <w:noWrap/>
            <w:vAlign w:val="bottom"/>
            <w:hideMark/>
          </w:tcPr>
          <w:p w14:paraId="3619F7EA" w14:textId="77777777" w:rsidR="00B22915" w:rsidRPr="004C39A2" w:rsidRDefault="00B22915" w:rsidP="00B22915">
            <w:pPr>
              <w:jc w:val="center"/>
              <w:rPr>
                <w:color w:val="000000"/>
                <w:sz w:val="20"/>
                <w:szCs w:val="20"/>
              </w:rPr>
            </w:pPr>
            <w:r w:rsidRPr="004C39A2">
              <w:rPr>
                <w:color w:val="000000"/>
                <w:sz w:val="20"/>
                <w:szCs w:val="20"/>
              </w:rPr>
              <w:t>(0.033)</w:t>
            </w:r>
          </w:p>
        </w:tc>
        <w:tc>
          <w:tcPr>
            <w:tcW w:w="2590" w:type="dxa"/>
            <w:tcBorders>
              <w:top w:val="nil"/>
              <w:left w:val="nil"/>
              <w:bottom w:val="nil"/>
              <w:right w:val="nil"/>
            </w:tcBorders>
            <w:shd w:val="clear" w:color="auto" w:fill="auto"/>
            <w:noWrap/>
            <w:vAlign w:val="bottom"/>
            <w:hideMark/>
          </w:tcPr>
          <w:p w14:paraId="1D489BCF" w14:textId="77777777" w:rsidR="00B22915" w:rsidRPr="004C39A2" w:rsidRDefault="00B22915" w:rsidP="00B22915">
            <w:pPr>
              <w:jc w:val="center"/>
              <w:rPr>
                <w:color w:val="000000"/>
                <w:sz w:val="20"/>
                <w:szCs w:val="20"/>
              </w:rPr>
            </w:pPr>
            <w:r w:rsidRPr="004C39A2">
              <w:rPr>
                <w:color w:val="000000"/>
                <w:sz w:val="20"/>
                <w:szCs w:val="20"/>
              </w:rPr>
              <w:t>(0.032)</w:t>
            </w:r>
          </w:p>
        </w:tc>
      </w:tr>
      <w:tr w:rsidR="00B22915" w:rsidRPr="004B040D" w14:paraId="0F5F3B84" w14:textId="77777777" w:rsidTr="00B22915">
        <w:trPr>
          <w:trHeight w:val="300"/>
        </w:trPr>
        <w:tc>
          <w:tcPr>
            <w:tcW w:w="2240" w:type="dxa"/>
            <w:tcBorders>
              <w:top w:val="nil"/>
              <w:left w:val="nil"/>
              <w:bottom w:val="nil"/>
              <w:right w:val="nil"/>
            </w:tcBorders>
            <w:shd w:val="clear" w:color="auto" w:fill="auto"/>
            <w:noWrap/>
            <w:vAlign w:val="bottom"/>
            <w:hideMark/>
          </w:tcPr>
          <w:p w14:paraId="375B8BE8" w14:textId="27D7AB03" w:rsidR="00B22915" w:rsidRPr="004B040D" w:rsidRDefault="008B4D29" w:rsidP="00B22915">
            <w:pPr>
              <w:rPr>
                <w:color w:val="000000"/>
                <w:sz w:val="20"/>
                <w:szCs w:val="20"/>
              </w:rPr>
            </w:pPr>
            <w:r>
              <w:rPr>
                <w:color w:val="000000"/>
                <w:sz w:val="20"/>
                <w:szCs w:val="20"/>
              </w:rPr>
              <w:t xml:space="preserve">Current </w:t>
            </w:r>
            <w:r w:rsidR="00B22915" w:rsidRPr="004B040D">
              <w:rPr>
                <w:color w:val="000000"/>
                <w:sz w:val="20"/>
                <w:szCs w:val="20"/>
              </w:rPr>
              <w:t>EL (K or Gr 1 Entry)</w:t>
            </w:r>
          </w:p>
        </w:tc>
        <w:tc>
          <w:tcPr>
            <w:tcW w:w="2590" w:type="dxa"/>
            <w:tcBorders>
              <w:top w:val="nil"/>
              <w:left w:val="nil"/>
              <w:bottom w:val="nil"/>
              <w:right w:val="nil"/>
            </w:tcBorders>
            <w:shd w:val="clear" w:color="auto" w:fill="auto"/>
            <w:noWrap/>
            <w:vAlign w:val="bottom"/>
            <w:hideMark/>
          </w:tcPr>
          <w:p w14:paraId="4E1305AB" w14:textId="77777777" w:rsidR="00B22915" w:rsidRPr="00F75A5F" w:rsidRDefault="00B22915" w:rsidP="00B22915">
            <w:pPr>
              <w:jc w:val="center"/>
              <w:rPr>
                <w:color w:val="000000"/>
                <w:sz w:val="20"/>
                <w:szCs w:val="20"/>
              </w:rPr>
            </w:pPr>
            <w:r w:rsidRPr="00F75A5F">
              <w:rPr>
                <w:color w:val="000000"/>
                <w:sz w:val="20"/>
                <w:szCs w:val="20"/>
              </w:rPr>
              <w:t>1.487***</w:t>
            </w:r>
          </w:p>
        </w:tc>
        <w:tc>
          <w:tcPr>
            <w:tcW w:w="2590" w:type="dxa"/>
            <w:tcBorders>
              <w:top w:val="nil"/>
              <w:left w:val="nil"/>
              <w:bottom w:val="nil"/>
              <w:right w:val="nil"/>
            </w:tcBorders>
            <w:shd w:val="clear" w:color="auto" w:fill="auto"/>
            <w:noWrap/>
            <w:vAlign w:val="bottom"/>
            <w:hideMark/>
          </w:tcPr>
          <w:p w14:paraId="4ACD486A" w14:textId="77777777" w:rsidR="00B22915" w:rsidRPr="004C39A2" w:rsidRDefault="00B22915" w:rsidP="00B22915">
            <w:pPr>
              <w:jc w:val="center"/>
              <w:rPr>
                <w:color w:val="000000"/>
                <w:sz w:val="20"/>
                <w:szCs w:val="20"/>
              </w:rPr>
            </w:pPr>
            <w:r w:rsidRPr="004C39A2">
              <w:rPr>
                <w:color w:val="000000"/>
                <w:sz w:val="20"/>
                <w:szCs w:val="20"/>
              </w:rPr>
              <w:t>0.129***</w:t>
            </w:r>
          </w:p>
        </w:tc>
        <w:tc>
          <w:tcPr>
            <w:tcW w:w="2590" w:type="dxa"/>
            <w:tcBorders>
              <w:top w:val="nil"/>
              <w:left w:val="nil"/>
              <w:bottom w:val="nil"/>
              <w:right w:val="nil"/>
            </w:tcBorders>
            <w:shd w:val="clear" w:color="auto" w:fill="auto"/>
            <w:noWrap/>
            <w:vAlign w:val="bottom"/>
            <w:hideMark/>
          </w:tcPr>
          <w:p w14:paraId="405FD570" w14:textId="77777777" w:rsidR="00B22915" w:rsidRPr="004C39A2" w:rsidRDefault="00B22915" w:rsidP="00B22915">
            <w:pPr>
              <w:jc w:val="center"/>
              <w:rPr>
                <w:color w:val="000000"/>
                <w:sz w:val="20"/>
                <w:szCs w:val="20"/>
              </w:rPr>
            </w:pPr>
            <w:r w:rsidRPr="004C39A2">
              <w:rPr>
                <w:color w:val="000000"/>
                <w:sz w:val="20"/>
                <w:szCs w:val="20"/>
              </w:rPr>
              <w:t>0.014</w:t>
            </w:r>
          </w:p>
        </w:tc>
        <w:tc>
          <w:tcPr>
            <w:tcW w:w="2590" w:type="dxa"/>
            <w:tcBorders>
              <w:top w:val="nil"/>
              <w:left w:val="nil"/>
              <w:bottom w:val="nil"/>
              <w:right w:val="nil"/>
            </w:tcBorders>
            <w:shd w:val="clear" w:color="auto" w:fill="auto"/>
            <w:noWrap/>
            <w:vAlign w:val="bottom"/>
            <w:hideMark/>
          </w:tcPr>
          <w:p w14:paraId="378BF5BE" w14:textId="77777777" w:rsidR="00B22915" w:rsidRPr="004C39A2" w:rsidRDefault="00B22915" w:rsidP="00B22915">
            <w:pPr>
              <w:jc w:val="center"/>
              <w:rPr>
                <w:color w:val="000000"/>
                <w:sz w:val="20"/>
                <w:szCs w:val="20"/>
              </w:rPr>
            </w:pPr>
            <w:r w:rsidRPr="004C39A2">
              <w:rPr>
                <w:color w:val="000000"/>
                <w:sz w:val="20"/>
                <w:szCs w:val="20"/>
              </w:rPr>
              <w:t>0.128***</w:t>
            </w:r>
          </w:p>
        </w:tc>
      </w:tr>
      <w:tr w:rsidR="00B22915" w:rsidRPr="004B040D" w14:paraId="0CBED6A2" w14:textId="77777777" w:rsidTr="00B22915">
        <w:trPr>
          <w:trHeight w:val="300"/>
        </w:trPr>
        <w:tc>
          <w:tcPr>
            <w:tcW w:w="2240" w:type="dxa"/>
            <w:tcBorders>
              <w:top w:val="nil"/>
              <w:left w:val="nil"/>
              <w:bottom w:val="nil"/>
              <w:right w:val="nil"/>
            </w:tcBorders>
            <w:shd w:val="clear" w:color="auto" w:fill="auto"/>
            <w:noWrap/>
            <w:vAlign w:val="bottom"/>
            <w:hideMark/>
          </w:tcPr>
          <w:p w14:paraId="537AE0FD"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2C161FEE" w14:textId="77777777" w:rsidR="00B22915" w:rsidRPr="00F75A5F" w:rsidRDefault="00B22915" w:rsidP="00B22915">
            <w:pPr>
              <w:jc w:val="center"/>
              <w:rPr>
                <w:color w:val="000000"/>
                <w:sz w:val="20"/>
                <w:szCs w:val="20"/>
              </w:rPr>
            </w:pPr>
            <w:r w:rsidRPr="00F75A5F">
              <w:rPr>
                <w:color w:val="000000"/>
                <w:sz w:val="20"/>
                <w:szCs w:val="20"/>
              </w:rPr>
              <w:t>(0.480)</w:t>
            </w:r>
          </w:p>
        </w:tc>
        <w:tc>
          <w:tcPr>
            <w:tcW w:w="2590" w:type="dxa"/>
            <w:tcBorders>
              <w:top w:val="nil"/>
              <w:left w:val="nil"/>
              <w:bottom w:val="nil"/>
              <w:right w:val="nil"/>
            </w:tcBorders>
            <w:shd w:val="clear" w:color="auto" w:fill="auto"/>
            <w:noWrap/>
            <w:vAlign w:val="bottom"/>
            <w:hideMark/>
          </w:tcPr>
          <w:p w14:paraId="67D3B504" w14:textId="77777777" w:rsidR="00B22915" w:rsidRPr="004C39A2" w:rsidRDefault="00B22915" w:rsidP="00B22915">
            <w:pPr>
              <w:jc w:val="center"/>
              <w:rPr>
                <w:color w:val="000000"/>
                <w:sz w:val="20"/>
                <w:szCs w:val="20"/>
              </w:rPr>
            </w:pPr>
            <w:r w:rsidRPr="004C39A2">
              <w:rPr>
                <w:color w:val="000000"/>
                <w:sz w:val="20"/>
                <w:szCs w:val="20"/>
              </w:rPr>
              <w:t>(0.029)</w:t>
            </w:r>
          </w:p>
        </w:tc>
        <w:tc>
          <w:tcPr>
            <w:tcW w:w="2590" w:type="dxa"/>
            <w:tcBorders>
              <w:top w:val="nil"/>
              <w:left w:val="nil"/>
              <w:bottom w:val="nil"/>
              <w:right w:val="nil"/>
            </w:tcBorders>
            <w:shd w:val="clear" w:color="auto" w:fill="auto"/>
            <w:noWrap/>
            <w:vAlign w:val="bottom"/>
            <w:hideMark/>
          </w:tcPr>
          <w:p w14:paraId="3FD44633" w14:textId="77777777" w:rsidR="00B22915" w:rsidRPr="004C39A2" w:rsidRDefault="00B22915" w:rsidP="00B22915">
            <w:pPr>
              <w:jc w:val="center"/>
              <w:rPr>
                <w:color w:val="000000"/>
                <w:sz w:val="20"/>
                <w:szCs w:val="20"/>
              </w:rPr>
            </w:pPr>
            <w:r w:rsidRPr="004C39A2">
              <w:rPr>
                <w:color w:val="000000"/>
                <w:sz w:val="20"/>
                <w:szCs w:val="20"/>
              </w:rPr>
              <w:t>(0.027)</w:t>
            </w:r>
          </w:p>
        </w:tc>
        <w:tc>
          <w:tcPr>
            <w:tcW w:w="2590" w:type="dxa"/>
            <w:tcBorders>
              <w:top w:val="nil"/>
              <w:left w:val="nil"/>
              <w:bottom w:val="nil"/>
              <w:right w:val="nil"/>
            </w:tcBorders>
            <w:shd w:val="clear" w:color="auto" w:fill="auto"/>
            <w:noWrap/>
            <w:vAlign w:val="bottom"/>
            <w:hideMark/>
          </w:tcPr>
          <w:p w14:paraId="4D95F402" w14:textId="77777777" w:rsidR="00B22915" w:rsidRPr="004C39A2" w:rsidRDefault="00B22915" w:rsidP="00B22915">
            <w:pPr>
              <w:jc w:val="center"/>
              <w:rPr>
                <w:color w:val="000000"/>
                <w:sz w:val="20"/>
                <w:szCs w:val="20"/>
              </w:rPr>
            </w:pPr>
            <w:r w:rsidRPr="004C39A2">
              <w:rPr>
                <w:color w:val="000000"/>
                <w:sz w:val="20"/>
                <w:szCs w:val="20"/>
              </w:rPr>
              <w:t>(0.034)</w:t>
            </w:r>
          </w:p>
        </w:tc>
      </w:tr>
      <w:tr w:rsidR="00B22915" w:rsidRPr="004B040D" w14:paraId="206C7947" w14:textId="77777777" w:rsidTr="00B22915">
        <w:trPr>
          <w:trHeight w:val="300"/>
        </w:trPr>
        <w:tc>
          <w:tcPr>
            <w:tcW w:w="2240" w:type="dxa"/>
            <w:tcBorders>
              <w:top w:val="nil"/>
              <w:left w:val="nil"/>
              <w:bottom w:val="nil"/>
              <w:right w:val="nil"/>
            </w:tcBorders>
            <w:shd w:val="clear" w:color="auto" w:fill="auto"/>
            <w:noWrap/>
            <w:vAlign w:val="bottom"/>
            <w:hideMark/>
          </w:tcPr>
          <w:p w14:paraId="103CB988" w14:textId="77777777" w:rsidR="00B22915" w:rsidRPr="004B040D" w:rsidRDefault="00B22915" w:rsidP="00B22915">
            <w:pPr>
              <w:rPr>
                <w:color w:val="000000"/>
                <w:sz w:val="20"/>
                <w:szCs w:val="20"/>
              </w:rPr>
            </w:pPr>
            <w:r w:rsidRPr="004B040D">
              <w:rPr>
                <w:color w:val="000000"/>
                <w:sz w:val="20"/>
                <w:szCs w:val="20"/>
              </w:rPr>
              <w:t>Reclassified EL</w:t>
            </w:r>
          </w:p>
        </w:tc>
        <w:tc>
          <w:tcPr>
            <w:tcW w:w="2590" w:type="dxa"/>
            <w:tcBorders>
              <w:top w:val="nil"/>
              <w:left w:val="nil"/>
              <w:bottom w:val="nil"/>
              <w:right w:val="nil"/>
            </w:tcBorders>
            <w:shd w:val="clear" w:color="auto" w:fill="auto"/>
            <w:noWrap/>
            <w:vAlign w:val="bottom"/>
            <w:hideMark/>
          </w:tcPr>
          <w:p w14:paraId="04A63E1F" w14:textId="77777777" w:rsidR="00B22915" w:rsidRPr="00F75A5F" w:rsidRDefault="00B22915" w:rsidP="00B22915">
            <w:pPr>
              <w:jc w:val="center"/>
              <w:rPr>
                <w:color w:val="000000"/>
                <w:sz w:val="20"/>
                <w:szCs w:val="20"/>
              </w:rPr>
            </w:pPr>
            <w:r w:rsidRPr="00F75A5F">
              <w:rPr>
                <w:color w:val="000000"/>
                <w:sz w:val="20"/>
                <w:szCs w:val="20"/>
              </w:rPr>
              <w:t>1.283***</w:t>
            </w:r>
          </w:p>
        </w:tc>
        <w:tc>
          <w:tcPr>
            <w:tcW w:w="2590" w:type="dxa"/>
            <w:tcBorders>
              <w:top w:val="nil"/>
              <w:left w:val="nil"/>
              <w:bottom w:val="nil"/>
              <w:right w:val="nil"/>
            </w:tcBorders>
            <w:shd w:val="clear" w:color="auto" w:fill="auto"/>
            <w:noWrap/>
            <w:vAlign w:val="bottom"/>
            <w:hideMark/>
          </w:tcPr>
          <w:p w14:paraId="78A9E913" w14:textId="77777777" w:rsidR="00B22915" w:rsidRPr="004C39A2" w:rsidRDefault="00B22915" w:rsidP="00B22915">
            <w:pPr>
              <w:jc w:val="center"/>
              <w:rPr>
                <w:color w:val="000000"/>
                <w:sz w:val="20"/>
                <w:szCs w:val="20"/>
              </w:rPr>
            </w:pPr>
            <w:r w:rsidRPr="004C39A2">
              <w:rPr>
                <w:color w:val="000000"/>
                <w:sz w:val="20"/>
                <w:szCs w:val="20"/>
              </w:rPr>
              <w:t>0.297***</w:t>
            </w:r>
          </w:p>
        </w:tc>
        <w:tc>
          <w:tcPr>
            <w:tcW w:w="2590" w:type="dxa"/>
            <w:tcBorders>
              <w:top w:val="nil"/>
              <w:left w:val="nil"/>
              <w:bottom w:val="nil"/>
              <w:right w:val="nil"/>
            </w:tcBorders>
            <w:shd w:val="clear" w:color="auto" w:fill="auto"/>
            <w:noWrap/>
            <w:vAlign w:val="bottom"/>
            <w:hideMark/>
          </w:tcPr>
          <w:p w14:paraId="295F787D" w14:textId="77777777" w:rsidR="00B22915" w:rsidRPr="004C39A2" w:rsidRDefault="00B22915" w:rsidP="00B22915">
            <w:pPr>
              <w:jc w:val="center"/>
              <w:rPr>
                <w:color w:val="000000"/>
                <w:sz w:val="20"/>
                <w:szCs w:val="20"/>
              </w:rPr>
            </w:pPr>
            <w:r w:rsidRPr="004C39A2">
              <w:rPr>
                <w:color w:val="000000"/>
                <w:sz w:val="20"/>
                <w:szCs w:val="20"/>
              </w:rPr>
              <w:t>0.144***</w:t>
            </w:r>
          </w:p>
        </w:tc>
        <w:tc>
          <w:tcPr>
            <w:tcW w:w="2590" w:type="dxa"/>
            <w:tcBorders>
              <w:top w:val="nil"/>
              <w:left w:val="nil"/>
              <w:bottom w:val="nil"/>
              <w:right w:val="nil"/>
            </w:tcBorders>
            <w:shd w:val="clear" w:color="auto" w:fill="auto"/>
            <w:noWrap/>
            <w:vAlign w:val="bottom"/>
            <w:hideMark/>
          </w:tcPr>
          <w:p w14:paraId="4E9E0D2E" w14:textId="77777777" w:rsidR="00B22915" w:rsidRPr="004C39A2" w:rsidRDefault="00B22915" w:rsidP="00B22915">
            <w:pPr>
              <w:jc w:val="center"/>
              <w:rPr>
                <w:color w:val="000000"/>
                <w:sz w:val="20"/>
                <w:szCs w:val="20"/>
              </w:rPr>
            </w:pPr>
            <w:r w:rsidRPr="004C39A2">
              <w:rPr>
                <w:color w:val="000000"/>
                <w:sz w:val="20"/>
                <w:szCs w:val="20"/>
              </w:rPr>
              <w:t>0.333***</w:t>
            </w:r>
          </w:p>
        </w:tc>
      </w:tr>
      <w:tr w:rsidR="00B22915" w:rsidRPr="004B040D" w14:paraId="7EAB8890" w14:textId="77777777" w:rsidTr="00B22915">
        <w:trPr>
          <w:trHeight w:val="300"/>
        </w:trPr>
        <w:tc>
          <w:tcPr>
            <w:tcW w:w="2240" w:type="dxa"/>
            <w:tcBorders>
              <w:top w:val="nil"/>
              <w:left w:val="nil"/>
              <w:bottom w:val="nil"/>
              <w:right w:val="nil"/>
            </w:tcBorders>
            <w:shd w:val="clear" w:color="auto" w:fill="auto"/>
            <w:noWrap/>
            <w:vAlign w:val="bottom"/>
            <w:hideMark/>
          </w:tcPr>
          <w:p w14:paraId="7C754AEB" w14:textId="77777777" w:rsidR="00B22915" w:rsidRPr="004B040D" w:rsidRDefault="00B22915" w:rsidP="00B22915">
            <w:pPr>
              <w:jc w:val="center"/>
              <w:rPr>
                <w:color w:val="000000"/>
                <w:sz w:val="20"/>
                <w:szCs w:val="20"/>
              </w:rPr>
            </w:pPr>
          </w:p>
        </w:tc>
        <w:tc>
          <w:tcPr>
            <w:tcW w:w="2590" w:type="dxa"/>
            <w:tcBorders>
              <w:top w:val="nil"/>
              <w:left w:val="nil"/>
              <w:bottom w:val="nil"/>
              <w:right w:val="nil"/>
            </w:tcBorders>
            <w:shd w:val="clear" w:color="auto" w:fill="auto"/>
            <w:noWrap/>
            <w:vAlign w:val="bottom"/>
            <w:hideMark/>
          </w:tcPr>
          <w:p w14:paraId="3AC80711" w14:textId="77777777" w:rsidR="00B22915" w:rsidRPr="00F75A5F" w:rsidRDefault="00B22915" w:rsidP="00B22915">
            <w:pPr>
              <w:jc w:val="center"/>
              <w:rPr>
                <w:color w:val="000000"/>
                <w:sz w:val="20"/>
                <w:szCs w:val="20"/>
              </w:rPr>
            </w:pPr>
            <w:r w:rsidRPr="00F75A5F">
              <w:rPr>
                <w:color w:val="000000"/>
                <w:sz w:val="20"/>
                <w:szCs w:val="20"/>
              </w:rPr>
              <w:t>(0.232)</w:t>
            </w:r>
          </w:p>
        </w:tc>
        <w:tc>
          <w:tcPr>
            <w:tcW w:w="2590" w:type="dxa"/>
            <w:tcBorders>
              <w:top w:val="nil"/>
              <w:left w:val="nil"/>
              <w:bottom w:val="nil"/>
              <w:right w:val="nil"/>
            </w:tcBorders>
            <w:shd w:val="clear" w:color="auto" w:fill="auto"/>
            <w:noWrap/>
            <w:vAlign w:val="bottom"/>
            <w:hideMark/>
          </w:tcPr>
          <w:p w14:paraId="26C3EE05" w14:textId="77777777" w:rsidR="00B22915" w:rsidRPr="004C39A2" w:rsidRDefault="00B22915" w:rsidP="00B22915">
            <w:pPr>
              <w:jc w:val="center"/>
              <w:rPr>
                <w:color w:val="000000"/>
                <w:sz w:val="20"/>
                <w:szCs w:val="20"/>
              </w:rPr>
            </w:pPr>
            <w:r w:rsidRPr="004C39A2">
              <w:rPr>
                <w:color w:val="000000"/>
                <w:sz w:val="20"/>
                <w:szCs w:val="20"/>
              </w:rPr>
              <w:t>(0.019)</w:t>
            </w:r>
          </w:p>
        </w:tc>
        <w:tc>
          <w:tcPr>
            <w:tcW w:w="2590" w:type="dxa"/>
            <w:tcBorders>
              <w:top w:val="nil"/>
              <w:left w:val="nil"/>
              <w:bottom w:val="nil"/>
              <w:right w:val="nil"/>
            </w:tcBorders>
            <w:shd w:val="clear" w:color="auto" w:fill="auto"/>
            <w:noWrap/>
            <w:vAlign w:val="bottom"/>
            <w:hideMark/>
          </w:tcPr>
          <w:p w14:paraId="458EFD4C" w14:textId="77777777" w:rsidR="00B22915" w:rsidRPr="004C39A2" w:rsidRDefault="00B22915" w:rsidP="00B22915">
            <w:pPr>
              <w:jc w:val="center"/>
              <w:rPr>
                <w:color w:val="000000"/>
                <w:sz w:val="20"/>
                <w:szCs w:val="20"/>
              </w:rPr>
            </w:pPr>
            <w:r w:rsidRPr="004C39A2">
              <w:rPr>
                <w:color w:val="000000"/>
                <w:sz w:val="20"/>
                <w:szCs w:val="20"/>
              </w:rPr>
              <w:t>(0.021)</w:t>
            </w:r>
          </w:p>
        </w:tc>
        <w:tc>
          <w:tcPr>
            <w:tcW w:w="2590" w:type="dxa"/>
            <w:tcBorders>
              <w:top w:val="nil"/>
              <w:left w:val="nil"/>
              <w:bottom w:val="nil"/>
              <w:right w:val="nil"/>
            </w:tcBorders>
            <w:shd w:val="clear" w:color="auto" w:fill="auto"/>
            <w:noWrap/>
            <w:vAlign w:val="bottom"/>
            <w:hideMark/>
          </w:tcPr>
          <w:p w14:paraId="19983164" w14:textId="77777777" w:rsidR="00B22915" w:rsidRPr="004C39A2" w:rsidRDefault="00B22915" w:rsidP="00B22915">
            <w:pPr>
              <w:jc w:val="center"/>
              <w:rPr>
                <w:color w:val="000000"/>
                <w:sz w:val="20"/>
                <w:szCs w:val="20"/>
              </w:rPr>
            </w:pPr>
            <w:r w:rsidRPr="004C39A2">
              <w:rPr>
                <w:color w:val="000000"/>
                <w:sz w:val="20"/>
                <w:szCs w:val="20"/>
              </w:rPr>
              <w:t>(0.021)</w:t>
            </w:r>
          </w:p>
        </w:tc>
      </w:tr>
      <w:tr w:rsidR="00B22915" w:rsidRPr="004B040D" w14:paraId="615A47FB" w14:textId="77777777" w:rsidTr="00B22915">
        <w:trPr>
          <w:trHeight w:val="300"/>
        </w:trPr>
        <w:tc>
          <w:tcPr>
            <w:tcW w:w="2240" w:type="dxa"/>
            <w:tcBorders>
              <w:top w:val="nil"/>
              <w:left w:val="nil"/>
              <w:right w:val="nil"/>
            </w:tcBorders>
            <w:shd w:val="clear" w:color="auto" w:fill="auto"/>
            <w:noWrap/>
            <w:vAlign w:val="bottom"/>
            <w:hideMark/>
          </w:tcPr>
          <w:p w14:paraId="15A30835" w14:textId="77777777" w:rsidR="00B22915" w:rsidRPr="004B040D" w:rsidRDefault="00B22915" w:rsidP="00B22915">
            <w:pPr>
              <w:rPr>
                <w:color w:val="000000"/>
                <w:sz w:val="20"/>
                <w:szCs w:val="20"/>
              </w:rPr>
            </w:pPr>
            <w:r w:rsidRPr="004B040D">
              <w:rPr>
                <w:color w:val="000000"/>
                <w:sz w:val="20"/>
                <w:szCs w:val="20"/>
              </w:rPr>
              <w:t>Observations</w:t>
            </w:r>
          </w:p>
        </w:tc>
        <w:tc>
          <w:tcPr>
            <w:tcW w:w="2590" w:type="dxa"/>
            <w:tcBorders>
              <w:top w:val="nil"/>
              <w:left w:val="nil"/>
              <w:right w:val="nil"/>
            </w:tcBorders>
            <w:shd w:val="clear" w:color="auto" w:fill="auto"/>
            <w:noWrap/>
            <w:vAlign w:val="bottom"/>
            <w:hideMark/>
          </w:tcPr>
          <w:p w14:paraId="2A7E9187" w14:textId="77777777" w:rsidR="00B22915" w:rsidRPr="004C39A2" w:rsidRDefault="00B22915" w:rsidP="00B22915">
            <w:pPr>
              <w:jc w:val="center"/>
              <w:rPr>
                <w:color w:val="000000"/>
                <w:sz w:val="20"/>
                <w:szCs w:val="20"/>
              </w:rPr>
            </w:pPr>
            <w:r w:rsidRPr="004C39A2">
              <w:rPr>
                <w:color w:val="000000"/>
                <w:sz w:val="20"/>
                <w:szCs w:val="20"/>
              </w:rPr>
              <w:t>5,062</w:t>
            </w:r>
          </w:p>
        </w:tc>
        <w:tc>
          <w:tcPr>
            <w:tcW w:w="2590" w:type="dxa"/>
            <w:tcBorders>
              <w:top w:val="nil"/>
              <w:left w:val="nil"/>
              <w:right w:val="nil"/>
            </w:tcBorders>
            <w:shd w:val="clear" w:color="auto" w:fill="auto"/>
            <w:noWrap/>
            <w:vAlign w:val="bottom"/>
            <w:hideMark/>
          </w:tcPr>
          <w:p w14:paraId="54A1AB54" w14:textId="77777777" w:rsidR="00B22915" w:rsidRPr="004C39A2" w:rsidRDefault="00B22915" w:rsidP="00B22915">
            <w:pPr>
              <w:jc w:val="center"/>
              <w:rPr>
                <w:color w:val="000000"/>
                <w:sz w:val="20"/>
                <w:szCs w:val="20"/>
              </w:rPr>
            </w:pPr>
            <w:r w:rsidRPr="004C39A2">
              <w:rPr>
                <w:color w:val="000000"/>
                <w:sz w:val="20"/>
                <w:szCs w:val="20"/>
              </w:rPr>
              <w:t>8,068</w:t>
            </w:r>
          </w:p>
        </w:tc>
        <w:tc>
          <w:tcPr>
            <w:tcW w:w="2590" w:type="dxa"/>
            <w:tcBorders>
              <w:top w:val="nil"/>
              <w:left w:val="nil"/>
              <w:right w:val="nil"/>
            </w:tcBorders>
            <w:shd w:val="clear" w:color="auto" w:fill="auto"/>
            <w:noWrap/>
            <w:vAlign w:val="bottom"/>
            <w:hideMark/>
          </w:tcPr>
          <w:p w14:paraId="593693B3" w14:textId="77777777" w:rsidR="00B22915" w:rsidRPr="004C39A2" w:rsidRDefault="00B22915" w:rsidP="00B22915">
            <w:pPr>
              <w:jc w:val="center"/>
              <w:rPr>
                <w:color w:val="000000"/>
                <w:sz w:val="20"/>
                <w:szCs w:val="20"/>
              </w:rPr>
            </w:pPr>
            <w:r w:rsidRPr="004C39A2">
              <w:rPr>
                <w:color w:val="000000"/>
                <w:sz w:val="20"/>
                <w:szCs w:val="20"/>
              </w:rPr>
              <w:t>9,581</w:t>
            </w:r>
          </w:p>
        </w:tc>
        <w:tc>
          <w:tcPr>
            <w:tcW w:w="2590" w:type="dxa"/>
            <w:tcBorders>
              <w:top w:val="nil"/>
              <w:left w:val="nil"/>
              <w:right w:val="nil"/>
            </w:tcBorders>
            <w:shd w:val="clear" w:color="auto" w:fill="auto"/>
            <w:noWrap/>
            <w:vAlign w:val="bottom"/>
            <w:hideMark/>
          </w:tcPr>
          <w:p w14:paraId="1DCD203B" w14:textId="77777777" w:rsidR="00B22915" w:rsidRPr="004C39A2" w:rsidRDefault="00B22915" w:rsidP="00B22915">
            <w:pPr>
              <w:jc w:val="center"/>
              <w:rPr>
                <w:color w:val="000000"/>
                <w:sz w:val="20"/>
                <w:szCs w:val="20"/>
              </w:rPr>
            </w:pPr>
            <w:r w:rsidRPr="004C39A2">
              <w:rPr>
                <w:color w:val="000000"/>
                <w:sz w:val="20"/>
                <w:szCs w:val="20"/>
              </w:rPr>
              <w:t>5,572</w:t>
            </w:r>
          </w:p>
        </w:tc>
      </w:tr>
      <w:tr w:rsidR="00B22915" w:rsidRPr="004B040D" w14:paraId="7301A4CC" w14:textId="77777777" w:rsidTr="00B22915">
        <w:trPr>
          <w:trHeight w:val="300"/>
        </w:trPr>
        <w:tc>
          <w:tcPr>
            <w:tcW w:w="2240" w:type="dxa"/>
            <w:tcBorders>
              <w:top w:val="nil"/>
              <w:left w:val="nil"/>
              <w:bottom w:val="single" w:sz="4" w:space="0" w:color="auto"/>
              <w:right w:val="nil"/>
            </w:tcBorders>
            <w:shd w:val="clear" w:color="auto" w:fill="auto"/>
            <w:noWrap/>
            <w:vAlign w:val="bottom"/>
            <w:hideMark/>
          </w:tcPr>
          <w:p w14:paraId="5F884C23" w14:textId="77777777" w:rsidR="00B22915" w:rsidRPr="004B040D" w:rsidRDefault="00B22915" w:rsidP="00B22915">
            <w:pPr>
              <w:rPr>
                <w:color w:val="000000"/>
                <w:sz w:val="20"/>
                <w:szCs w:val="20"/>
              </w:rPr>
            </w:pPr>
            <w:r w:rsidRPr="004B040D">
              <w:rPr>
                <w:color w:val="000000"/>
                <w:sz w:val="20"/>
                <w:szCs w:val="20"/>
              </w:rPr>
              <w:t>R-squared</w:t>
            </w:r>
          </w:p>
        </w:tc>
        <w:tc>
          <w:tcPr>
            <w:tcW w:w="2590" w:type="dxa"/>
            <w:tcBorders>
              <w:top w:val="nil"/>
              <w:left w:val="nil"/>
              <w:bottom w:val="single" w:sz="4" w:space="0" w:color="auto"/>
              <w:right w:val="nil"/>
            </w:tcBorders>
            <w:shd w:val="clear" w:color="auto" w:fill="auto"/>
            <w:noWrap/>
            <w:vAlign w:val="bottom"/>
            <w:hideMark/>
          </w:tcPr>
          <w:p w14:paraId="0ADDC065" w14:textId="77777777" w:rsidR="00B22915" w:rsidRPr="004C39A2" w:rsidRDefault="00B22915" w:rsidP="00B22915">
            <w:pPr>
              <w:jc w:val="center"/>
              <w:rPr>
                <w:color w:val="000000"/>
                <w:sz w:val="20"/>
                <w:szCs w:val="20"/>
              </w:rPr>
            </w:pPr>
            <w:r w:rsidRPr="004C39A2">
              <w:rPr>
                <w:color w:val="000000"/>
                <w:sz w:val="20"/>
                <w:szCs w:val="20"/>
              </w:rPr>
              <w:t>0.3</w:t>
            </w:r>
            <w:r>
              <w:rPr>
                <w:color w:val="000000"/>
                <w:sz w:val="20"/>
                <w:szCs w:val="20"/>
              </w:rPr>
              <w:t>50</w:t>
            </w:r>
          </w:p>
        </w:tc>
        <w:tc>
          <w:tcPr>
            <w:tcW w:w="2590" w:type="dxa"/>
            <w:tcBorders>
              <w:top w:val="nil"/>
              <w:left w:val="nil"/>
              <w:bottom w:val="single" w:sz="4" w:space="0" w:color="auto"/>
              <w:right w:val="nil"/>
            </w:tcBorders>
            <w:shd w:val="clear" w:color="auto" w:fill="auto"/>
            <w:noWrap/>
            <w:vAlign w:val="bottom"/>
            <w:hideMark/>
          </w:tcPr>
          <w:p w14:paraId="782AA8D2" w14:textId="77777777" w:rsidR="00B22915" w:rsidRPr="004C39A2" w:rsidRDefault="00B22915" w:rsidP="00B22915">
            <w:pPr>
              <w:jc w:val="center"/>
              <w:rPr>
                <w:color w:val="000000"/>
                <w:sz w:val="20"/>
                <w:szCs w:val="20"/>
              </w:rPr>
            </w:pPr>
            <w:r w:rsidRPr="004C39A2">
              <w:rPr>
                <w:color w:val="000000"/>
                <w:sz w:val="20"/>
                <w:szCs w:val="20"/>
              </w:rPr>
              <w:t>0.229</w:t>
            </w:r>
          </w:p>
        </w:tc>
        <w:tc>
          <w:tcPr>
            <w:tcW w:w="2590" w:type="dxa"/>
            <w:tcBorders>
              <w:top w:val="nil"/>
              <w:left w:val="nil"/>
              <w:bottom w:val="single" w:sz="4" w:space="0" w:color="auto"/>
              <w:right w:val="nil"/>
            </w:tcBorders>
            <w:shd w:val="clear" w:color="auto" w:fill="auto"/>
            <w:noWrap/>
            <w:vAlign w:val="bottom"/>
            <w:hideMark/>
          </w:tcPr>
          <w:p w14:paraId="179B8118" w14:textId="77777777" w:rsidR="00B22915" w:rsidRPr="004C39A2" w:rsidRDefault="00B22915" w:rsidP="00B22915">
            <w:pPr>
              <w:jc w:val="center"/>
              <w:rPr>
                <w:color w:val="000000"/>
                <w:sz w:val="20"/>
                <w:szCs w:val="20"/>
              </w:rPr>
            </w:pPr>
            <w:r w:rsidRPr="004C39A2">
              <w:rPr>
                <w:color w:val="000000"/>
                <w:sz w:val="20"/>
                <w:szCs w:val="20"/>
              </w:rPr>
              <w:t>0.198</w:t>
            </w:r>
          </w:p>
        </w:tc>
        <w:tc>
          <w:tcPr>
            <w:tcW w:w="2590" w:type="dxa"/>
            <w:tcBorders>
              <w:top w:val="nil"/>
              <w:left w:val="nil"/>
              <w:bottom w:val="single" w:sz="4" w:space="0" w:color="auto"/>
              <w:right w:val="nil"/>
            </w:tcBorders>
            <w:shd w:val="clear" w:color="auto" w:fill="auto"/>
            <w:noWrap/>
            <w:vAlign w:val="bottom"/>
            <w:hideMark/>
          </w:tcPr>
          <w:p w14:paraId="43B4327C" w14:textId="77777777" w:rsidR="00B22915" w:rsidRPr="004C39A2" w:rsidRDefault="00B22915" w:rsidP="00B22915">
            <w:pPr>
              <w:jc w:val="center"/>
              <w:rPr>
                <w:color w:val="000000"/>
                <w:sz w:val="20"/>
                <w:szCs w:val="20"/>
              </w:rPr>
            </w:pPr>
            <w:r w:rsidRPr="004C39A2">
              <w:rPr>
                <w:color w:val="000000"/>
                <w:sz w:val="20"/>
                <w:szCs w:val="20"/>
              </w:rPr>
              <w:t>0.262</w:t>
            </w:r>
          </w:p>
        </w:tc>
      </w:tr>
      <w:tr w:rsidR="00B22915" w:rsidRPr="004B040D" w14:paraId="08284026" w14:textId="77777777" w:rsidTr="00B22915">
        <w:trPr>
          <w:trHeight w:val="300"/>
        </w:trPr>
        <w:tc>
          <w:tcPr>
            <w:tcW w:w="12600" w:type="dxa"/>
            <w:gridSpan w:val="5"/>
            <w:tcBorders>
              <w:top w:val="single" w:sz="4" w:space="0" w:color="auto"/>
              <w:left w:val="nil"/>
              <w:bottom w:val="nil"/>
              <w:right w:val="nil"/>
            </w:tcBorders>
            <w:shd w:val="clear" w:color="auto" w:fill="auto"/>
            <w:noWrap/>
            <w:vAlign w:val="bottom"/>
            <w:hideMark/>
          </w:tcPr>
          <w:p w14:paraId="211C1993" w14:textId="77777777" w:rsidR="00B22915" w:rsidRPr="0095387F" w:rsidRDefault="00B22915" w:rsidP="00B22915">
            <w:pPr>
              <w:rPr>
                <w:sz w:val="20"/>
                <w:szCs w:val="20"/>
              </w:rPr>
            </w:pPr>
            <w:r w:rsidRPr="0095387F">
              <w:rPr>
                <w:sz w:val="20"/>
                <w:szCs w:val="20"/>
              </w:rPr>
              <w:t xml:space="preserve">Robust standard errors in parentheses. *** p&lt;0.01, ** p&lt;0.05, * p&lt;0.1. </w:t>
            </w:r>
            <w:r>
              <w:rPr>
                <w:sz w:val="20"/>
                <w:szCs w:val="20"/>
              </w:rPr>
              <w:t xml:space="preserve">Estimates were obtained using DiD model (1) and weights generated from the Stata -synth- command. Sample includes students who have ever been classified as English Learners in grades K-12. </w:t>
            </w:r>
            <w:r w:rsidRPr="0095387F">
              <w:rPr>
                <w:sz w:val="20"/>
                <w:szCs w:val="20"/>
              </w:rPr>
              <w:t xml:space="preserve">Each column represents a separate regression. </w:t>
            </w:r>
            <w:r>
              <w:rPr>
                <w:sz w:val="20"/>
                <w:szCs w:val="20"/>
              </w:rPr>
              <w:t>Column (1) reports the number of college credits earned in 12</w:t>
            </w:r>
            <w:r w:rsidRPr="00942168">
              <w:rPr>
                <w:sz w:val="20"/>
                <w:szCs w:val="20"/>
                <w:vertAlign w:val="superscript"/>
              </w:rPr>
              <w:t>th</w:t>
            </w:r>
            <w:r>
              <w:rPr>
                <w:sz w:val="20"/>
                <w:szCs w:val="20"/>
              </w:rPr>
              <w:t xml:space="preserve"> grade. </w:t>
            </w:r>
            <w:r w:rsidRPr="0095387F">
              <w:rPr>
                <w:sz w:val="20"/>
                <w:szCs w:val="20"/>
              </w:rPr>
              <w:t xml:space="preserve">College credits from different colleges have been converted to a common scale. </w:t>
            </w:r>
            <w:r>
              <w:rPr>
                <w:sz w:val="20"/>
                <w:szCs w:val="20"/>
              </w:rPr>
              <w:t>Ten</w:t>
            </w:r>
            <w:r w:rsidRPr="0095387F">
              <w:rPr>
                <w:sz w:val="20"/>
                <w:szCs w:val="20"/>
              </w:rPr>
              <w:t xml:space="preserve"> credits are the equivalent of 2 semester-long courses or 1 year-long course.  Columns (2)-(4) report </w:t>
            </w:r>
            <w:r>
              <w:rPr>
                <w:sz w:val="20"/>
                <w:szCs w:val="20"/>
              </w:rPr>
              <w:t xml:space="preserve">linear probability estimates for </w:t>
            </w:r>
            <w:r w:rsidRPr="0095387F">
              <w:rPr>
                <w:sz w:val="20"/>
                <w:szCs w:val="20"/>
              </w:rPr>
              <w:t>binary dependent variables. “</w:t>
            </w:r>
            <w:r>
              <w:rPr>
                <w:sz w:val="20"/>
                <w:szCs w:val="20"/>
              </w:rPr>
              <w:t>I</w:t>
            </w:r>
            <w:r w:rsidRPr="0095387F">
              <w:rPr>
                <w:sz w:val="20"/>
                <w:szCs w:val="20"/>
              </w:rPr>
              <w:t xml:space="preserve">mmediate </w:t>
            </w:r>
            <w:r>
              <w:rPr>
                <w:sz w:val="20"/>
                <w:szCs w:val="20"/>
              </w:rPr>
              <w:t>C</w:t>
            </w:r>
            <w:r w:rsidRPr="0095387F">
              <w:rPr>
                <w:sz w:val="20"/>
                <w:szCs w:val="20"/>
              </w:rPr>
              <w:t>ollege” represents enrolling in college the fall after high school exit. “</w:t>
            </w:r>
            <w:r>
              <w:rPr>
                <w:sz w:val="20"/>
                <w:szCs w:val="20"/>
              </w:rPr>
              <w:t>4</w:t>
            </w:r>
            <w:r w:rsidRPr="0095387F">
              <w:rPr>
                <w:sz w:val="20"/>
                <w:szCs w:val="20"/>
              </w:rPr>
              <w:t>-</w:t>
            </w:r>
            <w:r>
              <w:rPr>
                <w:sz w:val="20"/>
                <w:szCs w:val="20"/>
              </w:rPr>
              <w:t>Y</w:t>
            </w:r>
            <w:r w:rsidRPr="0095387F">
              <w:rPr>
                <w:sz w:val="20"/>
                <w:szCs w:val="20"/>
              </w:rPr>
              <w:t xml:space="preserve">ear </w:t>
            </w:r>
            <w:r>
              <w:rPr>
                <w:sz w:val="20"/>
                <w:szCs w:val="20"/>
              </w:rPr>
              <w:t>C</w:t>
            </w:r>
            <w:r w:rsidRPr="0095387F">
              <w:rPr>
                <w:sz w:val="20"/>
                <w:szCs w:val="20"/>
              </w:rPr>
              <w:t>ollege” represents directly enrolling in a 4-year college after high school.</w:t>
            </w:r>
            <w:r>
              <w:rPr>
                <w:sz w:val="20"/>
                <w:szCs w:val="20"/>
              </w:rPr>
              <w:t xml:space="preserve"> </w:t>
            </w:r>
            <w:r w:rsidRPr="0095387F">
              <w:rPr>
                <w:sz w:val="20"/>
                <w:szCs w:val="20"/>
              </w:rPr>
              <w:t>“</w:t>
            </w:r>
            <w:r>
              <w:rPr>
                <w:sz w:val="20"/>
                <w:szCs w:val="20"/>
              </w:rPr>
              <w:t>On-Time HS G</w:t>
            </w:r>
            <w:r w:rsidRPr="0095387F">
              <w:rPr>
                <w:sz w:val="20"/>
                <w:szCs w:val="20"/>
              </w:rPr>
              <w:t xml:space="preserve">raduation” represents having graduated from high school within 4 years of attendance. </w:t>
            </w:r>
            <w:r>
              <w:rPr>
                <w:sz w:val="20"/>
                <w:szCs w:val="20"/>
              </w:rPr>
              <w:t>EL = English Learner. Current ELs as of 11</w:t>
            </w:r>
            <w:r w:rsidRPr="00DE2CB3">
              <w:rPr>
                <w:sz w:val="20"/>
                <w:szCs w:val="20"/>
                <w:vertAlign w:val="superscript"/>
              </w:rPr>
              <w:t>th</w:t>
            </w:r>
            <w:r>
              <w:rPr>
                <w:sz w:val="20"/>
                <w:szCs w:val="20"/>
              </w:rPr>
              <w:t xml:space="preserve"> grade are the omitted category. Gr 2-5 Entry = first identified as EL between 2</w:t>
            </w:r>
            <w:r w:rsidRPr="00DE2CB3">
              <w:rPr>
                <w:sz w:val="20"/>
                <w:szCs w:val="20"/>
                <w:vertAlign w:val="superscript"/>
              </w:rPr>
              <w:t>nd</w:t>
            </w:r>
            <w:r>
              <w:rPr>
                <w:sz w:val="20"/>
                <w:szCs w:val="20"/>
              </w:rPr>
              <w:t xml:space="preserve"> and 5</w:t>
            </w:r>
            <w:r w:rsidRPr="00DE2CB3">
              <w:rPr>
                <w:sz w:val="20"/>
                <w:szCs w:val="20"/>
                <w:vertAlign w:val="superscript"/>
              </w:rPr>
              <w:t>th</w:t>
            </w:r>
            <w:r>
              <w:rPr>
                <w:sz w:val="20"/>
                <w:szCs w:val="20"/>
              </w:rPr>
              <w:t xml:space="preserve"> grade. Model includes student covariates (female, ethnicity, home language, mother’s education, father’s education, special education participation, 10th grade school suspensions, and AP tests taken prior to the end of 10</w:t>
            </w:r>
            <w:r w:rsidRPr="002770A2">
              <w:rPr>
                <w:sz w:val="20"/>
                <w:szCs w:val="20"/>
                <w:vertAlign w:val="superscript"/>
              </w:rPr>
              <w:t>th</w:t>
            </w:r>
            <w:r>
              <w:rPr>
                <w:sz w:val="20"/>
                <w:szCs w:val="20"/>
              </w:rPr>
              <w:t xml:space="preserve"> grade, as well as high school fixed effects (coefficients suppressed). </w:t>
            </w:r>
          </w:p>
          <w:p w14:paraId="4E0DF2CB" w14:textId="77777777" w:rsidR="00B22915" w:rsidRPr="004B040D" w:rsidRDefault="00B22915" w:rsidP="00B22915">
            <w:pPr>
              <w:rPr>
                <w:color w:val="000000"/>
                <w:sz w:val="20"/>
                <w:szCs w:val="20"/>
              </w:rPr>
            </w:pPr>
          </w:p>
        </w:tc>
      </w:tr>
    </w:tbl>
    <w:p w14:paraId="0B31A296" w14:textId="77777777" w:rsidR="00B22915" w:rsidRDefault="00B22915" w:rsidP="00B22915"/>
    <w:p w14:paraId="0A37117D" w14:textId="77777777" w:rsidR="00B22915" w:rsidRDefault="00B22915" w:rsidP="00B22915">
      <w:r>
        <w:br w:type="page"/>
      </w:r>
    </w:p>
    <w:p w14:paraId="7DA69656" w14:textId="19BBF14B" w:rsidR="00B22915" w:rsidRDefault="00B22915" w:rsidP="00B22915">
      <w:r>
        <w:lastRenderedPageBreak/>
        <w:t xml:space="preserve">Table 5. Event Study of Early College Program </w:t>
      </w:r>
      <w:r w:rsidR="006E109A">
        <w:t>Effects</w:t>
      </w:r>
      <w:r>
        <w:t xml:space="preserve"> on </w:t>
      </w:r>
      <w:r w:rsidR="008B4D29">
        <w:t xml:space="preserve">Current </w:t>
      </w:r>
      <w:r>
        <w:t>EL Academic Outcomes</w:t>
      </w:r>
    </w:p>
    <w:tbl>
      <w:tblPr>
        <w:tblW w:w="10890" w:type="dxa"/>
        <w:tblLook w:val="04A0" w:firstRow="1" w:lastRow="0" w:firstColumn="1" w:lastColumn="0" w:noHBand="0" w:noVBand="1"/>
      </w:tblPr>
      <w:tblGrid>
        <w:gridCol w:w="2160"/>
        <w:gridCol w:w="2140"/>
        <w:gridCol w:w="1640"/>
        <w:gridCol w:w="1680"/>
        <w:gridCol w:w="3270"/>
      </w:tblGrid>
      <w:tr w:rsidR="00B22915" w:rsidRPr="000D48AE" w14:paraId="1FFC7630" w14:textId="77777777" w:rsidTr="00B22915">
        <w:trPr>
          <w:trHeight w:val="255"/>
        </w:trPr>
        <w:tc>
          <w:tcPr>
            <w:tcW w:w="2160" w:type="dxa"/>
            <w:tcBorders>
              <w:top w:val="single" w:sz="4" w:space="0" w:color="auto"/>
              <w:left w:val="nil"/>
              <w:bottom w:val="nil"/>
              <w:right w:val="nil"/>
            </w:tcBorders>
            <w:shd w:val="clear" w:color="auto" w:fill="auto"/>
            <w:noWrap/>
            <w:vAlign w:val="bottom"/>
            <w:hideMark/>
          </w:tcPr>
          <w:p w14:paraId="7AE26EB4" w14:textId="77777777" w:rsidR="00B22915" w:rsidRPr="000D48AE" w:rsidRDefault="00B22915" w:rsidP="00B22915">
            <w:pPr>
              <w:rPr>
                <w:sz w:val="20"/>
                <w:szCs w:val="20"/>
              </w:rPr>
            </w:pPr>
            <w:r w:rsidRPr="000D48AE">
              <w:rPr>
                <w:sz w:val="20"/>
                <w:szCs w:val="20"/>
              </w:rPr>
              <w:t> </w:t>
            </w:r>
          </w:p>
        </w:tc>
        <w:tc>
          <w:tcPr>
            <w:tcW w:w="2140" w:type="dxa"/>
            <w:tcBorders>
              <w:top w:val="single" w:sz="4" w:space="0" w:color="auto"/>
              <w:left w:val="nil"/>
              <w:bottom w:val="nil"/>
              <w:right w:val="nil"/>
            </w:tcBorders>
            <w:shd w:val="clear" w:color="auto" w:fill="auto"/>
            <w:noWrap/>
            <w:vAlign w:val="bottom"/>
            <w:hideMark/>
          </w:tcPr>
          <w:p w14:paraId="5BBDED32" w14:textId="77777777" w:rsidR="00B22915" w:rsidRPr="000D48AE" w:rsidRDefault="00B22915" w:rsidP="00B22915">
            <w:pPr>
              <w:jc w:val="center"/>
              <w:rPr>
                <w:sz w:val="20"/>
                <w:szCs w:val="20"/>
              </w:rPr>
            </w:pPr>
            <w:r w:rsidRPr="000D48AE">
              <w:rPr>
                <w:sz w:val="20"/>
                <w:szCs w:val="20"/>
              </w:rPr>
              <w:t>(1)</w:t>
            </w:r>
          </w:p>
        </w:tc>
        <w:tc>
          <w:tcPr>
            <w:tcW w:w="1640" w:type="dxa"/>
            <w:tcBorders>
              <w:top w:val="single" w:sz="4" w:space="0" w:color="auto"/>
              <w:left w:val="nil"/>
              <w:bottom w:val="nil"/>
              <w:right w:val="nil"/>
            </w:tcBorders>
            <w:shd w:val="clear" w:color="auto" w:fill="auto"/>
            <w:noWrap/>
            <w:vAlign w:val="bottom"/>
            <w:hideMark/>
          </w:tcPr>
          <w:p w14:paraId="2041701B" w14:textId="77777777" w:rsidR="00B22915" w:rsidRPr="000D48AE" w:rsidRDefault="00B22915" w:rsidP="00B22915">
            <w:pPr>
              <w:jc w:val="center"/>
              <w:rPr>
                <w:sz w:val="20"/>
                <w:szCs w:val="20"/>
              </w:rPr>
            </w:pPr>
            <w:r w:rsidRPr="000D48AE">
              <w:rPr>
                <w:sz w:val="20"/>
                <w:szCs w:val="20"/>
              </w:rPr>
              <w:t>(2)</w:t>
            </w:r>
          </w:p>
        </w:tc>
        <w:tc>
          <w:tcPr>
            <w:tcW w:w="1680" w:type="dxa"/>
            <w:tcBorders>
              <w:top w:val="single" w:sz="4" w:space="0" w:color="auto"/>
              <w:left w:val="nil"/>
              <w:bottom w:val="nil"/>
              <w:right w:val="nil"/>
            </w:tcBorders>
            <w:shd w:val="clear" w:color="auto" w:fill="auto"/>
            <w:noWrap/>
            <w:vAlign w:val="bottom"/>
            <w:hideMark/>
          </w:tcPr>
          <w:p w14:paraId="09768697" w14:textId="77777777" w:rsidR="00B22915" w:rsidRPr="000D48AE" w:rsidRDefault="00B22915" w:rsidP="00B22915">
            <w:pPr>
              <w:jc w:val="center"/>
              <w:rPr>
                <w:sz w:val="20"/>
                <w:szCs w:val="20"/>
              </w:rPr>
            </w:pPr>
            <w:r w:rsidRPr="000D48AE">
              <w:rPr>
                <w:sz w:val="20"/>
                <w:szCs w:val="20"/>
              </w:rPr>
              <w:t>(3)</w:t>
            </w:r>
          </w:p>
        </w:tc>
        <w:tc>
          <w:tcPr>
            <w:tcW w:w="3270" w:type="dxa"/>
            <w:tcBorders>
              <w:top w:val="single" w:sz="4" w:space="0" w:color="auto"/>
              <w:left w:val="nil"/>
              <w:bottom w:val="nil"/>
              <w:right w:val="nil"/>
            </w:tcBorders>
            <w:shd w:val="clear" w:color="auto" w:fill="auto"/>
            <w:noWrap/>
            <w:vAlign w:val="bottom"/>
            <w:hideMark/>
          </w:tcPr>
          <w:p w14:paraId="23160CF9" w14:textId="77777777" w:rsidR="00B22915" w:rsidRPr="000D48AE" w:rsidRDefault="00B22915" w:rsidP="00B22915">
            <w:pPr>
              <w:jc w:val="center"/>
              <w:rPr>
                <w:sz w:val="20"/>
                <w:szCs w:val="20"/>
              </w:rPr>
            </w:pPr>
            <w:r w:rsidRPr="000D48AE">
              <w:rPr>
                <w:sz w:val="20"/>
                <w:szCs w:val="20"/>
              </w:rPr>
              <w:t>(4)</w:t>
            </w:r>
          </w:p>
        </w:tc>
      </w:tr>
      <w:tr w:rsidR="00B22915" w:rsidRPr="000D48AE" w14:paraId="5DEEEE59" w14:textId="77777777" w:rsidTr="00B22915">
        <w:trPr>
          <w:trHeight w:val="255"/>
        </w:trPr>
        <w:tc>
          <w:tcPr>
            <w:tcW w:w="2160" w:type="dxa"/>
            <w:tcBorders>
              <w:top w:val="nil"/>
              <w:left w:val="nil"/>
              <w:bottom w:val="nil"/>
              <w:right w:val="nil"/>
            </w:tcBorders>
            <w:shd w:val="clear" w:color="auto" w:fill="auto"/>
            <w:noWrap/>
            <w:vAlign w:val="bottom"/>
            <w:hideMark/>
          </w:tcPr>
          <w:p w14:paraId="334EDF16" w14:textId="77777777" w:rsidR="00B22915" w:rsidRPr="000D48AE" w:rsidRDefault="00B22915" w:rsidP="00B22915">
            <w:pPr>
              <w:rPr>
                <w:sz w:val="20"/>
                <w:szCs w:val="20"/>
              </w:rPr>
            </w:pPr>
            <w:r w:rsidRPr="000D48AE">
              <w:rPr>
                <w:sz w:val="20"/>
                <w:szCs w:val="20"/>
              </w:rPr>
              <w:t>Year</w:t>
            </w:r>
          </w:p>
        </w:tc>
        <w:tc>
          <w:tcPr>
            <w:tcW w:w="2140" w:type="dxa"/>
            <w:tcBorders>
              <w:top w:val="nil"/>
              <w:left w:val="nil"/>
              <w:bottom w:val="nil"/>
              <w:right w:val="nil"/>
            </w:tcBorders>
            <w:shd w:val="clear" w:color="auto" w:fill="auto"/>
            <w:noWrap/>
            <w:vAlign w:val="bottom"/>
            <w:hideMark/>
          </w:tcPr>
          <w:p w14:paraId="73D12C0D" w14:textId="77777777" w:rsidR="00B22915" w:rsidRPr="000D48AE" w:rsidRDefault="00B22915" w:rsidP="00B22915">
            <w:pPr>
              <w:jc w:val="center"/>
              <w:rPr>
                <w:sz w:val="20"/>
                <w:szCs w:val="20"/>
              </w:rPr>
            </w:pPr>
            <w:r w:rsidRPr="000D48AE">
              <w:rPr>
                <w:sz w:val="20"/>
                <w:szCs w:val="20"/>
              </w:rPr>
              <w:t xml:space="preserve">12th </w:t>
            </w:r>
            <w:r>
              <w:rPr>
                <w:sz w:val="20"/>
                <w:szCs w:val="20"/>
              </w:rPr>
              <w:t>G</w:t>
            </w:r>
            <w:r w:rsidRPr="000D48AE">
              <w:rPr>
                <w:sz w:val="20"/>
                <w:szCs w:val="20"/>
              </w:rPr>
              <w:t xml:space="preserve">rade </w:t>
            </w:r>
            <w:r>
              <w:rPr>
                <w:sz w:val="20"/>
                <w:szCs w:val="20"/>
              </w:rPr>
              <w:t>C</w:t>
            </w:r>
            <w:r w:rsidRPr="000D48AE">
              <w:rPr>
                <w:sz w:val="20"/>
                <w:szCs w:val="20"/>
              </w:rPr>
              <w:t xml:space="preserve">ollege </w:t>
            </w:r>
            <w:r>
              <w:rPr>
                <w:sz w:val="20"/>
                <w:szCs w:val="20"/>
              </w:rPr>
              <w:t>C</w:t>
            </w:r>
            <w:r w:rsidRPr="000D48AE">
              <w:rPr>
                <w:sz w:val="20"/>
                <w:szCs w:val="20"/>
              </w:rPr>
              <w:t>redits</w:t>
            </w:r>
          </w:p>
        </w:tc>
        <w:tc>
          <w:tcPr>
            <w:tcW w:w="1640" w:type="dxa"/>
            <w:tcBorders>
              <w:top w:val="nil"/>
              <w:left w:val="nil"/>
              <w:bottom w:val="nil"/>
              <w:right w:val="nil"/>
            </w:tcBorders>
            <w:shd w:val="clear" w:color="auto" w:fill="auto"/>
            <w:noWrap/>
            <w:vAlign w:val="bottom"/>
          </w:tcPr>
          <w:p w14:paraId="3A93DF7E" w14:textId="77777777" w:rsidR="00B22915" w:rsidRPr="000D48AE" w:rsidRDefault="00B22915" w:rsidP="00B22915">
            <w:pPr>
              <w:jc w:val="center"/>
              <w:rPr>
                <w:sz w:val="20"/>
                <w:szCs w:val="20"/>
              </w:rPr>
            </w:pPr>
            <w:r w:rsidRPr="004B040D">
              <w:rPr>
                <w:color w:val="000000"/>
                <w:sz w:val="20"/>
                <w:szCs w:val="20"/>
              </w:rPr>
              <w:t>Immediate College</w:t>
            </w:r>
          </w:p>
        </w:tc>
        <w:tc>
          <w:tcPr>
            <w:tcW w:w="1680" w:type="dxa"/>
            <w:tcBorders>
              <w:top w:val="nil"/>
              <w:left w:val="nil"/>
              <w:bottom w:val="nil"/>
              <w:right w:val="nil"/>
            </w:tcBorders>
            <w:shd w:val="clear" w:color="auto" w:fill="auto"/>
            <w:noWrap/>
            <w:vAlign w:val="bottom"/>
          </w:tcPr>
          <w:p w14:paraId="55F1A67C" w14:textId="77777777" w:rsidR="00B22915" w:rsidRPr="000D48AE" w:rsidRDefault="00B22915" w:rsidP="00B22915">
            <w:pPr>
              <w:jc w:val="center"/>
              <w:rPr>
                <w:sz w:val="20"/>
                <w:szCs w:val="20"/>
              </w:rPr>
            </w:pPr>
            <w:r w:rsidRPr="004B040D">
              <w:rPr>
                <w:color w:val="000000"/>
                <w:sz w:val="20"/>
                <w:szCs w:val="20"/>
              </w:rPr>
              <w:t>4-Year College</w:t>
            </w:r>
          </w:p>
        </w:tc>
        <w:tc>
          <w:tcPr>
            <w:tcW w:w="3270" w:type="dxa"/>
            <w:tcBorders>
              <w:top w:val="nil"/>
              <w:left w:val="nil"/>
              <w:bottom w:val="nil"/>
              <w:right w:val="nil"/>
            </w:tcBorders>
            <w:shd w:val="clear" w:color="auto" w:fill="auto"/>
            <w:noWrap/>
            <w:vAlign w:val="bottom"/>
          </w:tcPr>
          <w:p w14:paraId="328CC85A" w14:textId="77777777" w:rsidR="00B22915" w:rsidRPr="000D48AE" w:rsidRDefault="00B22915" w:rsidP="00B22915">
            <w:pPr>
              <w:jc w:val="center"/>
              <w:rPr>
                <w:sz w:val="20"/>
                <w:szCs w:val="20"/>
              </w:rPr>
            </w:pPr>
            <w:r w:rsidRPr="004B040D">
              <w:rPr>
                <w:color w:val="000000"/>
                <w:sz w:val="20"/>
                <w:szCs w:val="20"/>
              </w:rPr>
              <w:t>On-Time HS Graduation</w:t>
            </w:r>
          </w:p>
        </w:tc>
      </w:tr>
      <w:tr w:rsidR="00B22915" w:rsidRPr="000D48AE" w14:paraId="16A41244" w14:textId="77777777" w:rsidTr="00B22915">
        <w:trPr>
          <w:trHeight w:val="255"/>
        </w:trPr>
        <w:tc>
          <w:tcPr>
            <w:tcW w:w="2160" w:type="dxa"/>
            <w:tcBorders>
              <w:top w:val="single" w:sz="4" w:space="0" w:color="auto"/>
              <w:left w:val="nil"/>
              <w:bottom w:val="nil"/>
              <w:right w:val="nil"/>
            </w:tcBorders>
            <w:shd w:val="clear" w:color="auto" w:fill="auto"/>
            <w:noWrap/>
            <w:vAlign w:val="bottom"/>
            <w:hideMark/>
          </w:tcPr>
          <w:p w14:paraId="323ABB60" w14:textId="77777777" w:rsidR="00B22915" w:rsidRPr="000D48AE" w:rsidRDefault="00B22915" w:rsidP="00B22915">
            <w:pPr>
              <w:rPr>
                <w:sz w:val="20"/>
                <w:szCs w:val="20"/>
              </w:rPr>
            </w:pPr>
            <w:r w:rsidRPr="000D48AE">
              <w:rPr>
                <w:sz w:val="20"/>
                <w:szCs w:val="20"/>
              </w:rPr>
              <w:t> </w:t>
            </w:r>
          </w:p>
        </w:tc>
        <w:tc>
          <w:tcPr>
            <w:tcW w:w="2140" w:type="dxa"/>
            <w:tcBorders>
              <w:top w:val="single" w:sz="4" w:space="0" w:color="auto"/>
              <w:left w:val="nil"/>
              <w:bottom w:val="nil"/>
              <w:right w:val="nil"/>
            </w:tcBorders>
            <w:shd w:val="clear" w:color="auto" w:fill="auto"/>
            <w:noWrap/>
            <w:vAlign w:val="bottom"/>
            <w:hideMark/>
          </w:tcPr>
          <w:p w14:paraId="1233330F" w14:textId="77777777" w:rsidR="00B22915" w:rsidRPr="000D48AE" w:rsidRDefault="00B22915" w:rsidP="00B22915">
            <w:pPr>
              <w:jc w:val="center"/>
              <w:rPr>
                <w:sz w:val="20"/>
                <w:szCs w:val="20"/>
              </w:rPr>
            </w:pPr>
            <w:r w:rsidRPr="000D48AE">
              <w:rPr>
                <w:sz w:val="20"/>
                <w:szCs w:val="20"/>
              </w:rPr>
              <w:t> </w:t>
            </w:r>
          </w:p>
        </w:tc>
        <w:tc>
          <w:tcPr>
            <w:tcW w:w="1640" w:type="dxa"/>
            <w:tcBorders>
              <w:top w:val="single" w:sz="4" w:space="0" w:color="auto"/>
              <w:left w:val="nil"/>
              <w:bottom w:val="nil"/>
              <w:right w:val="nil"/>
            </w:tcBorders>
            <w:shd w:val="clear" w:color="auto" w:fill="auto"/>
            <w:noWrap/>
            <w:vAlign w:val="bottom"/>
          </w:tcPr>
          <w:p w14:paraId="513A907A" w14:textId="77777777" w:rsidR="00B22915" w:rsidRPr="000D48AE" w:rsidRDefault="00B22915" w:rsidP="00B22915">
            <w:pPr>
              <w:jc w:val="center"/>
              <w:rPr>
                <w:sz w:val="20"/>
                <w:szCs w:val="20"/>
              </w:rPr>
            </w:pPr>
            <w:r w:rsidRPr="000D48AE">
              <w:rPr>
                <w:sz w:val="20"/>
                <w:szCs w:val="20"/>
              </w:rPr>
              <w:t> </w:t>
            </w:r>
          </w:p>
        </w:tc>
        <w:tc>
          <w:tcPr>
            <w:tcW w:w="1680" w:type="dxa"/>
            <w:tcBorders>
              <w:top w:val="single" w:sz="4" w:space="0" w:color="auto"/>
              <w:left w:val="nil"/>
              <w:bottom w:val="nil"/>
              <w:right w:val="nil"/>
            </w:tcBorders>
            <w:shd w:val="clear" w:color="auto" w:fill="auto"/>
            <w:noWrap/>
            <w:vAlign w:val="bottom"/>
          </w:tcPr>
          <w:p w14:paraId="4EC583D8" w14:textId="77777777" w:rsidR="00B22915" w:rsidRPr="000D48AE" w:rsidRDefault="00B22915" w:rsidP="00B22915">
            <w:pPr>
              <w:jc w:val="center"/>
              <w:rPr>
                <w:sz w:val="20"/>
                <w:szCs w:val="20"/>
              </w:rPr>
            </w:pPr>
            <w:r w:rsidRPr="000D48AE">
              <w:rPr>
                <w:sz w:val="20"/>
                <w:szCs w:val="20"/>
              </w:rPr>
              <w:t> </w:t>
            </w:r>
          </w:p>
        </w:tc>
        <w:tc>
          <w:tcPr>
            <w:tcW w:w="3270" w:type="dxa"/>
            <w:tcBorders>
              <w:top w:val="single" w:sz="4" w:space="0" w:color="auto"/>
              <w:left w:val="nil"/>
              <w:bottom w:val="nil"/>
              <w:right w:val="nil"/>
            </w:tcBorders>
            <w:shd w:val="clear" w:color="auto" w:fill="auto"/>
            <w:noWrap/>
            <w:vAlign w:val="bottom"/>
          </w:tcPr>
          <w:p w14:paraId="0A5FC20D" w14:textId="77777777" w:rsidR="00B22915" w:rsidRPr="000D48AE" w:rsidRDefault="00B22915" w:rsidP="00B22915">
            <w:pPr>
              <w:jc w:val="center"/>
              <w:rPr>
                <w:sz w:val="20"/>
                <w:szCs w:val="20"/>
              </w:rPr>
            </w:pPr>
            <w:r w:rsidRPr="000D48AE">
              <w:rPr>
                <w:sz w:val="20"/>
                <w:szCs w:val="20"/>
              </w:rPr>
              <w:t> </w:t>
            </w:r>
          </w:p>
        </w:tc>
      </w:tr>
      <w:tr w:rsidR="00B22915" w:rsidRPr="000D48AE" w14:paraId="2D6F0080" w14:textId="77777777" w:rsidTr="00B22915">
        <w:trPr>
          <w:trHeight w:val="255"/>
        </w:trPr>
        <w:tc>
          <w:tcPr>
            <w:tcW w:w="2160" w:type="dxa"/>
            <w:tcBorders>
              <w:top w:val="nil"/>
              <w:left w:val="nil"/>
              <w:bottom w:val="nil"/>
              <w:right w:val="nil"/>
            </w:tcBorders>
            <w:shd w:val="clear" w:color="auto" w:fill="auto"/>
            <w:noWrap/>
            <w:vAlign w:val="bottom"/>
            <w:hideMark/>
          </w:tcPr>
          <w:p w14:paraId="2F5D6E41" w14:textId="77777777" w:rsidR="00B22915" w:rsidRPr="000D48AE" w:rsidRDefault="00B22915" w:rsidP="00B22915">
            <w:pPr>
              <w:rPr>
                <w:sz w:val="20"/>
                <w:szCs w:val="20"/>
              </w:rPr>
            </w:pPr>
            <w:r w:rsidRPr="000D48AE">
              <w:rPr>
                <w:sz w:val="20"/>
                <w:szCs w:val="20"/>
              </w:rPr>
              <w:t>lead3</w:t>
            </w:r>
          </w:p>
        </w:tc>
        <w:tc>
          <w:tcPr>
            <w:tcW w:w="2140" w:type="dxa"/>
            <w:tcBorders>
              <w:top w:val="nil"/>
              <w:left w:val="nil"/>
              <w:bottom w:val="nil"/>
              <w:right w:val="nil"/>
            </w:tcBorders>
            <w:shd w:val="clear" w:color="auto" w:fill="auto"/>
            <w:noWrap/>
            <w:vAlign w:val="bottom"/>
            <w:hideMark/>
          </w:tcPr>
          <w:p w14:paraId="2E5B8C41" w14:textId="77777777" w:rsidR="00B22915" w:rsidRPr="000D48AE" w:rsidRDefault="00B22915" w:rsidP="00B22915">
            <w:pPr>
              <w:jc w:val="center"/>
              <w:rPr>
                <w:sz w:val="20"/>
                <w:szCs w:val="20"/>
              </w:rPr>
            </w:pPr>
            <w:r w:rsidRPr="000D48AE">
              <w:rPr>
                <w:sz w:val="20"/>
                <w:szCs w:val="20"/>
              </w:rPr>
              <w:t>0.392</w:t>
            </w:r>
          </w:p>
        </w:tc>
        <w:tc>
          <w:tcPr>
            <w:tcW w:w="1640" w:type="dxa"/>
            <w:tcBorders>
              <w:top w:val="nil"/>
              <w:left w:val="nil"/>
              <w:bottom w:val="nil"/>
              <w:right w:val="nil"/>
            </w:tcBorders>
            <w:shd w:val="clear" w:color="auto" w:fill="auto"/>
            <w:noWrap/>
            <w:vAlign w:val="bottom"/>
          </w:tcPr>
          <w:p w14:paraId="09206EE3" w14:textId="77777777" w:rsidR="00B22915" w:rsidRPr="000D48AE" w:rsidRDefault="00B22915" w:rsidP="00B22915">
            <w:pPr>
              <w:jc w:val="center"/>
              <w:rPr>
                <w:sz w:val="20"/>
                <w:szCs w:val="20"/>
              </w:rPr>
            </w:pPr>
            <w:r w:rsidRPr="000D48AE">
              <w:rPr>
                <w:sz w:val="20"/>
                <w:szCs w:val="20"/>
              </w:rPr>
              <w:t>-0.086**</w:t>
            </w:r>
          </w:p>
        </w:tc>
        <w:tc>
          <w:tcPr>
            <w:tcW w:w="1680" w:type="dxa"/>
            <w:tcBorders>
              <w:top w:val="nil"/>
              <w:left w:val="nil"/>
              <w:bottom w:val="nil"/>
              <w:right w:val="nil"/>
            </w:tcBorders>
            <w:shd w:val="clear" w:color="auto" w:fill="auto"/>
            <w:noWrap/>
            <w:vAlign w:val="bottom"/>
          </w:tcPr>
          <w:p w14:paraId="3C4AA2B4" w14:textId="77777777" w:rsidR="00B22915" w:rsidRPr="000D48AE" w:rsidRDefault="00B22915" w:rsidP="00B22915">
            <w:pPr>
              <w:jc w:val="center"/>
              <w:rPr>
                <w:sz w:val="20"/>
                <w:szCs w:val="20"/>
              </w:rPr>
            </w:pPr>
            <w:r w:rsidRPr="000D48AE">
              <w:rPr>
                <w:sz w:val="20"/>
                <w:szCs w:val="20"/>
              </w:rPr>
              <w:t>-0.061</w:t>
            </w:r>
          </w:p>
        </w:tc>
        <w:tc>
          <w:tcPr>
            <w:tcW w:w="3270" w:type="dxa"/>
            <w:tcBorders>
              <w:top w:val="nil"/>
              <w:left w:val="nil"/>
              <w:bottom w:val="nil"/>
              <w:right w:val="nil"/>
            </w:tcBorders>
            <w:shd w:val="clear" w:color="auto" w:fill="auto"/>
            <w:noWrap/>
            <w:vAlign w:val="bottom"/>
          </w:tcPr>
          <w:p w14:paraId="16509BA0" w14:textId="77777777" w:rsidR="00B22915" w:rsidRPr="000D48AE" w:rsidRDefault="00B22915" w:rsidP="00B22915">
            <w:pPr>
              <w:jc w:val="center"/>
              <w:rPr>
                <w:sz w:val="20"/>
                <w:szCs w:val="20"/>
              </w:rPr>
            </w:pPr>
            <w:r w:rsidRPr="000D48AE">
              <w:rPr>
                <w:sz w:val="20"/>
                <w:szCs w:val="20"/>
              </w:rPr>
              <w:t>-0.092***</w:t>
            </w:r>
          </w:p>
        </w:tc>
      </w:tr>
      <w:tr w:rsidR="00B22915" w:rsidRPr="000D48AE" w14:paraId="3D1FDB51" w14:textId="77777777" w:rsidTr="00B22915">
        <w:trPr>
          <w:trHeight w:val="255"/>
        </w:trPr>
        <w:tc>
          <w:tcPr>
            <w:tcW w:w="2160" w:type="dxa"/>
            <w:tcBorders>
              <w:top w:val="nil"/>
              <w:left w:val="nil"/>
              <w:bottom w:val="nil"/>
              <w:right w:val="nil"/>
            </w:tcBorders>
            <w:shd w:val="clear" w:color="auto" w:fill="auto"/>
            <w:noWrap/>
            <w:vAlign w:val="bottom"/>
            <w:hideMark/>
          </w:tcPr>
          <w:p w14:paraId="1672EAE5" w14:textId="77777777" w:rsidR="00B22915" w:rsidRPr="000D48AE" w:rsidRDefault="00B22915" w:rsidP="00B22915">
            <w:pPr>
              <w:jc w:val="center"/>
              <w:rPr>
                <w:sz w:val="20"/>
                <w:szCs w:val="20"/>
              </w:rPr>
            </w:pPr>
          </w:p>
        </w:tc>
        <w:tc>
          <w:tcPr>
            <w:tcW w:w="2140" w:type="dxa"/>
            <w:tcBorders>
              <w:top w:val="nil"/>
              <w:left w:val="nil"/>
              <w:bottom w:val="nil"/>
              <w:right w:val="nil"/>
            </w:tcBorders>
            <w:shd w:val="clear" w:color="auto" w:fill="auto"/>
            <w:noWrap/>
            <w:vAlign w:val="bottom"/>
            <w:hideMark/>
          </w:tcPr>
          <w:p w14:paraId="51AA161A" w14:textId="77777777" w:rsidR="00B22915" w:rsidRPr="000D48AE" w:rsidRDefault="00B22915" w:rsidP="00B22915">
            <w:pPr>
              <w:jc w:val="center"/>
              <w:rPr>
                <w:sz w:val="20"/>
                <w:szCs w:val="20"/>
              </w:rPr>
            </w:pPr>
            <w:r w:rsidRPr="000D48AE">
              <w:rPr>
                <w:sz w:val="20"/>
                <w:szCs w:val="20"/>
              </w:rPr>
              <w:t>(0.465)</w:t>
            </w:r>
          </w:p>
        </w:tc>
        <w:tc>
          <w:tcPr>
            <w:tcW w:w="1640" w:type="dxa"/>
            <w:tcBorders>
              <w:top w:val="nil"/>
              <w:left w:val="nil"/>
              <w:bottom w:val="nil"/>
              <w:right w:val="nil"/>
            </w:tcBorders>
            <w:shd w:val="clear" w:color="auto" w:fill="auto"/>
            <w:noWrap/>
            <w:vAlign w:val="bottom"/>
          </w:tcPr>
          <w:p w14:paraId="051EC528" w14:textId="77777777" w:rsidR="00B22915" w:rsidRPr="000D48AE" w:rsidRDefault="00B22915" w:rsidP="00B22915">
            <w:pPr>
              <w:jc w:val="center"/>
              <w:rPr>
                <w:sz w:val="20"/>
                <w:szCs w:val="20"/>
              </w:rPr>
            </w:pPr>
            <w:r w:rsidRPr="000D48AE">
              <w:rPr>
                <w:sz w:val="20"/>
                <w:szCs w:val="20"/>
              </w:rPr>
              <w:t>(0.037)</w:t>
            </w:r>
          </w:p>
        </w:tc>
        <w:tc>
          <w:tcPr>
            <w:tcW w:w="1680" w:type="dxa"/>
            <w:tcBorders>
              <w:top w:val="nil"/>
              <w:left w:val="nil"/>
              <w:bottom w:val="nil"/>
              <w:right w:val="nil"/>
            </w:tcBorders>
            <w:shd w:val="clear" w:color="auto" w:fill="auto"/>
            <w:noWrap/>
            <w:vAlign w:val="bottom"/>
          </w:tcPr>
          <w:p w14:paraId="087E3D9E" w14:textId="77777777" w:rsidR="00B22915" w:rsidRPr="000D48AE" w:rsidRDefault="00B22915" w:rsidP="00B22915">
            <w:pPr>
              <w:jc w:val="center"/>
              <w:rPr>
                <w:sz w:val="20"/>
                <w:szCs w:val="20"/>
              </w:rPr>
            </w:pPr>
            <w:r w:rsidRPr="000D48AE">
              <w:rPr>
                <w:sz w:val="20"/>
                <w:szCs w:val="20"/>
              </w:rPr>
              <w:t>(0.039)</w:t>
            </w:r>
          </w:p>
        </w:tc>
        <w:tc>
          <w:tcPr>
            <w:tcW w:w="3270" w:type="dxa"/>
            <w:tcBorders>
              <w:top w:val="nil"/>
              <w:left w:val="nil"/>
              <w:bottom w:val="nil"/>
              <w:right w:val="nil"/>
            </w:tcBorders>
            <w:shd w:val="clear" w:color="auto" w:fill="auto"/>
            <w:noWrap/>
            <w:vAlign w:val="bottom"/>
          </w:tcPr>
          <w:p w14:paraId="6E0E7EB5" w14:textId="77777777" w:rsidR="00B22915" w:rsidRPr="000D48AE" w:rsidRDefault="00B22915" w:rsidP="00B22915">
            <w:pPr>
              <w:jc w:val="center"/>
              <w:rPr>
                <w:sz w:val="20"/>
                <w:szCs w:val="20"/>
              </w:rPr>
            </w:pPr>
            <w:r w:rsidRPr="000D48AE">
              <w:rPr>
                <w:sz w:val="20"/>
                <w:szCs w:val="20"/>
              </w:rPr>
              <w:t>(0.029)</w:t>
            </w:r>
          </w:p>
        </w:tc>
      </w:tr>
      <w:tr w:rsidR="00B22915" w:rsidRPr="000D48AE" w14:paraId="45F43A25" w14:textId="77777777" w:rsidTr="00B22915">
        <w:trPr>
          <w:trHeight w:val="255"/>
        </w:trPr>
        <w:tc>
          <w:tcPr>
            <w:tcW w:w="2160" w:type="dxa"/>
            <w:tcBorders>
              <w:top w:val="nil"/>
              <w:left w:val="nil"/>
              <w:bottom w:val="nil"/>
              <w:right w:val="nil"/>
            </w:tcBorders>
            <w:shd w:val="clear" w:color="auto" w:fill="auto"/>
            <w:noWrap/>
            <w:vAlign w:val="bottom"/>
            <w:hideMark/>
          </w:tcPr>
          <w:p w14:paraId="0A2D8C1E" w14:textId="77777777" w:rsidR="00B22915" w:rsidRPr="000D48AE" w:rsidRDefault="00B22915" w:rsidP="00B22915">
            <w:pPr>
              <w:rPr>
                <w:sz w:val="20"/>
                <w:szCs w:val="20"/>
              </w:rPr>
            </w:pPr>
            <w:r w:rsidRPr="000D48AE">
              <w:rPr>
                <w:sz w:val="20"/>
                <w:szCs w:val="20"/>
              </w:rPr>
              <w:t>lead2</w:t>
            </w:r>
          </w:p>
        </w:tc>
        <w:tc>
          <w:tcPr>
            <w:tcW w:w="2140" w:type="dxa"/>
            <w:tcBorders>
              <w:top w:val="nil"/>
              <w:left w:val="nil"/>
              <w:bottom w:val="nil"/>
              <w:right w:val="nil"/>
            </w:tcBorders>
            <w:shd w:val="clear" w:color="auto" w:fill="auto"/>
            <w:noWrap/>
            <w:vAlign w:val="bottom"/>
            <w:hideMark/>
          </w:tcPr>
          <w:p w14:paraId="10651EA3" w14:textId="77777777" w:rsidR="00B22915" w:rsidRPr="000D48AE" w:rsidRDefault="00B22915" w:rsidP="00B22915">
            <w:pPr>
              <w:jc w:val="center"/>
              <w:rPr>
                <w:sz w:val="20"/>
                <w:szCs w:val="20"/>
              </w:rPr>
            </w:pPr>
            <w:r w:rsidRPr="000D48AE">
              <w:rPr>
                <w:sz w:val="20"/>
                <w:szCs w:val="20"/>
              </w:rPr>
              <w:t>0.685</w:t>
            </w:r>
          </w:p>
        </w:tc>
        <w:tc>
          <w:tcPr>
            <w:tcW w:w="1640" w:type="dxa"/>
            <w:tcBorders>
              <w:top w:val="nil"/>
              <w:left w:val="nil"/>
              <w:bottom w:val="nil"/>
              <w:right w:val="nil"/>
            </w:tcBorders>
            <w:shd w:val="clear" w:color="auto" w:fill="auto"/>
            <w:noWrap/>
            <w:vAlign w:val="bottom"/>
          </w:tcPr>
          <w:p w14:paraId="12550E7C" w14:textId="77777777" w:rsidR="00B22915" w:rsidRPr="000D48AE" w:rsidRDefault="00B22915" w:rsidP="00B22915">
            <w:pPr>
              <w:jc w:val="center"/>
              <w:rPr>
                <w:sz w:val="20"/>
                <w:szCs w:val="20"/>
              </w:rPr>
            </w:pPr>
            <w:r w:rsidRPr="000D48AE">
              <w:rPr>
                <w:sz w:val="20"/>
                <w:szCs w:val="20"/>
              </w:rPr>
              <w:t>0.010</w:t>
            </w:r>
          </w:p>
        </w:tc>
        <w:tc>
          <w:tcPr>
            <w:tcW w:w="1680" w:type="dxa"/>
            <w:tcBorders>
              <w:top w:val="nil"/>
              <w:left w:val="nil"/>
              <w:bottom w:val="nil"/>
              <w:right w:val="nil"/>
            </w:tcBorders>
            <w:shd w:val="clear" w:color="auto" w:fill="auto"/>
            <w:noWrap/>
            <w:vAlign w:val="bottom"/>
          </w:tcPr>
          <w:p w14:paraId="64197885" w14:textId="77777777" w:rsidR="00B22915" w:rsidRPr="000D48AE" w:rsidRDefault="00B22915" w:rsidP="00B22915">
            <w:pPr>
              <w:jc w:val="center"/>
              <w:rPr>
                <w:sz w:val="20"/>
                <w:szCs w:val="20"/>
              </w:rPr>
            </w:pPr>
            <w:r w:rsidRPr="000D48AE">
              <w:rPr>
                <w:sz w:val="20"/>
                <w:szCs w:val="20"/>
              </w:rPr>
              <w:t>0.012</w:t>
            </w:r>
          </w:p>
        </w:tc>
        <w:tc>
          <w:tcPr>
            <w:tcW w:w="3270" w:type="dxa"/>
            <w:tcBorders>
              <w:top w:val="nil"/>
              <w:left w:val="nil"/>
              <w:bottom w:val="nil"/>
              <w:right w:val="nil"/>
            </w:tcBorders>
            <w:shd w:val="clear" w:color="auto" w:fill="auto"/>
            <w:noWrap/>
            <w:vAlign w:val="bottom"/>
          </w:tcPr>
          <w:p w14:paraId="40317F7A" w14:textId="77777777" w:rsidR="00B22915" w:rsidRPr="000D48AE" w:rsidRDefault="00B22915" w:rsidP="00B22915">
            <w:pPr>
              <w:jc w:val="center"/>
              <w:rPr>
                <w:sz w:val="20"/>
                <w:szCs w:val="20"/>
              </w:rPr>
            </w:pPr>
            <w:r w:rsidRPr="000D48AE">
              <w:rPr>
                <w:sz w:val="20"/>
                <w:szCs w:val="20"/>
              </w:rPr>
              <w:t>-0.005</w:t>
            </w:r>
          </w:p>
        </w:tc>
      </w:tr>
      <w:tr w:rsidR="00B22915" w:rsidRPr="000D48AE" w14:paraId="6641C28B" w14:textId="77777777" w:rsidTr="00B22915">
        <w:trPr>
          <w:trHeight w:val="255"/>
        </w:trPr>
        <w:tc>
          <w:tcPr>
            <w:tcW w:w="2160" w:type="dxa"/>
            <w:tcBorders>
              <w:top w:val="nil"/>
              <w:left w:val="nil"/>
              <w:bottom w:val="nil"/>
              <w:right w:val="nil"/>
            </w:tcBorders>
            <w:shd w:val="clear" w:color="auto" w:fill="auto"/>
            <w:noWrap/>
            <w:vAlign w:val="bottom"/>
            <w:hideMark/>
          </w:tcPr>
          <w:p w14:paraId="45677A94" w14:textId="77777777" w:rsidR="00B22915" w:rsidRPr="000D48AE" w:rsidRDefault="00B22915" w:rsidP="00B22915">
            <w:pPr>
              <w:jc w:val="center"/>
              <w:rPr>
                <w:sz w:val="20"/>
                <w:szCs w:val="20"/>
              </w:rPr>
            </w:pPr>
          </w:p>
        </w:tc>
        <w:tc>
          <w:tcPr>
            <w:tcW w:w="2140" w:type="dxa"/>
            <w:tcBorders>
              <w:top w:val="nil"/>
              <w:left w:val="nil"/>
              <w:bottom w:val="nil"/>
              <w:right w:val="nil"/>
            </w:tcBorders>
            <w:shd w:val="clear" w:color="auto" w:fill="auto"/>
            <w:noWrap/>
            <w:vAlign w:val="bottom"/>
            <w:hideMark/>
          </w:tcPr>
          <w:p w14:paraId="2DD65124" w14:textId="77777777" w:rsidR="00B22915" w:rsidRPr="000D48AE" w:rsidRDefault="00B22915" w:rsidP="00B22915">
            <w:pPr>
              <w:jc w:val="center"/>
              <w:rPr>
                <w:sz w:val="20"/>
                <w:szCs w:val="20"/>
              </w:rPr>
            </w:pPr>
            <w:r w:rsidRPr="000D48AE">
              <w:rPr>
                <w:sz w:val="20"/>
                <w:szCs w:val="20"/>
              </w:rPr>
              <w:t>(0.484)</w:t>
            </w:r>
          </w:p>
        </w:tc>
        <w:tc>
          <w:tcPr>
            <w:tcW w:w="1640" w:type="dxa"/>
            <w:tcBorders>
              <w:top w:val="nil"/>
              <w:left w:val="nil"/>
              <w:bottom w:val="nil"/>
              <w:right w:val="nil"/>
            </w:tcBorders>
            <w:shd w:val="clear" w:color="auto" w:fill="auto"/>
            <w:noWrap/>
            <w:vAlign w:val="bottom"/>
          </w:tcPr>
          <w:p w14:paraId="11F38F99" w14:textId="77777777" w:rsidR="00B22915" w:rsidRPr="000D48AE" w:rsidRDefault="00B22915" w:rsidP="00B22915">
            <w:pPr>
              <w:jc w:val="center"/>
              <w:rPr>
                <w:sz w:val="20"/>
                <w:szCs w:val="20"/>
              </w:rPr>
            </w:pPr>
            <w:r w:rsidRPr="000D48AE">
              <w:rPr>
                <w:sz w:val="20"/>
                <w:szCs w:val="20"/>
              </w:rPr>
              <w:t>(0.038)</w:t>
            </w:r>
          </w:p>
        </w:tc>
        <w:tc>
          <w:tcPr>
            <w:tcW w:w="1680" w:type="dxa"/>
            <w:tcBorders>
              <w:top w:val="nil"/>
              <w:left w:val="nil"/>
              <w:bottom w:val="nil"/>
              <w:right w:val="nil"/>
            </w:tcBorders>
            <w:shd w:val="clear" w:color="auto" w:fill="auto"/>
            <w:noWrap/>
            <w:vAlign w:val="bottom"/>
          </w:tcPr>
          <w:p w14:paraId="47D898EE" w14:textId="77777777" w:rsidR="00B22915" w:rsidRPr="000D48AE" w:rsidRDefault="00B22915" w:rsidP="00B22915">
            <w:pPr>
              <w:jc w:val="center"/>
              <w:rPr>
                <w:sz w:val="20"/>
                <w:szCs w:val="20"/>
              </w:rPr>
            </w:pPr>
            <w:r w:rsidRPr="000D48AE">
              <w:rPr>
                <w:sz w:val="20"/>
                <w:szCs w:val="20"/>
              </w:rPr>
              <w:t>(0.040)</w:t>
            </w:r>
          </w:p>
        </w:tc>
        <w:tc>
          <w:tcPr>
            <w:tcW w:w="3270" w:type="dxa"/>
            <w:tcBorders>
              <w:top w:val="nil"/>
              <w:left w:val="nil"/>
              <w:bottom w:val="nil"/>
              <w:right w:val="nil"/>
            </w:tcBorders>
            <w:shd w:val="clear" w:color="auto" w:fill="auto"/>
            <w:noWrap/>
            <w:vAlign w:val="bottom"/>
          </w:tcPr>
          <w:p w14:paraId="5B6FACB7" w14:textId="77777777" w:rsidR="00B22915" w:rsidRPr="000D48AE" w:rsidRDefault="00B22915" w:rsidP="00B22915">
            <w:pPr>
              <w:jc w:val="center"/>
              <w:rPr>
                <w:sz w:val="20"/>
                <w:szCs w:val="20"/>
              </w:rPr>
            </w:pPr>
            <w:r w:rsidRPr="000D48AE">
              <w:rPr>
                <w:sz w:val="20"/>
                <w:szCs w:val="20"/>
              </w:rPr>
              <w:t>(0.030)</w:t>
            </w:r>
          </w:p>
        </w:tc>
      </w:tr>
      <w:tr w:rsidR="00B22915" w:rsidRPr="000D48AE" w14:paraId="53F9E2B7" w14:textId="77777777" w:rsidTr="00B22915">
        <w:trPr>
          <w:trHeight w:val="255"/>
        </w:trPr>
        <w:tc>
          <w:tcPr>
            <w:tcW w:w="2160" w:type="dxa"/>
            <w:tcBorders>
              <w:top w:val="nil"/>
              <w:left w:val="nil"/>
              <w:bottom w:val="nil"/>
              <w:right w:val="nil"/>
            </w:tcBorders>
            <w:shd w:val="clear" w:color="auto" w:fill="auto"/>
            <w:noWrap/>
            <w:vAlign w:val="bottom"/>
            <w:hideMark/>
          </w:tcPr>
          <w:p w14:paraId="03D13514" w14:textId="77777777" w:rsidR="00B22915" w:rsidRPr="000D48AE" w:rsidRDefault="00B22915" w:rsidP="00B22915">
            <w:pPr>
              <w:rPr>
                <w:sz w:val="20"/>
                <w:szCs w:val="20"/>
              </w:rPr>
            </w:pPr>
            <w:r w:rsidRPr="000D48AE">
              <w:rPr>
                <w:sz w:val="20"/>
                <w:szCs w:val="20"/>
              </w:rPr>
              <w:t>lead1</w:t>
            </w:r>
          </w:p>
        </w:tc>
        <w:tc>
          <w:tcPr>
            <w:tcW w:w="2140" w:type="dxa"/>
            <w:tcBorders>
              <w:top w:val="nil"/>
              <w:left w:val="nil"/>
              <w:bottom w:val="nil"/>
              <w:right w:val="nil"/>
            </w:tcBorders>
            <w:shd w:val="clear" w:color="auto" w:fill="auto"/>
            <w:noWrap/>
            <w:vAlign w:val="bottom"/>
            <w:hideMark/>
          </w:tcPr>
          <w:p w14:paraId="0BEDE6EF" w14:textId="77777777" w:rsidR="00B22915" w:rsidRPr="000D48AE" w:rsidRDefault="00B22915" w:rsidP="00B22915">
            <w:pPr>
              <w:jc w:val="center"/>
              <w:rPr>
                <w:sz w:val="20"/>
                <w:szCs w:val="20"/>
              </w:rPr>
            </w:pPr>
            <w:r w:rsidRPr="000D48AE">
              <w:rPr>
                <w:sz w:val="20"/>
                <w:szCs w:val="20"/>
              </w:rPr>
              <w:t>0.062</w:t>
            </w:r>
          </w:p>
        </w:tc>
        <w:tc>
          <w:tcPr>
            <w:tcW w:w="1640" w:type="dxa"/>
            <w:tcBorders>
              <w:top w:val="nil"/>
              <w:left w:val="nil"/>
              <w:bottom w:val="nil"/>
              <w:right w:val="nil"/>
            </w:tcBorders>
            <w:shd w:val="clear" w:color="auto" w:fill="auto"/>
            <w:noWrap/>
            <w:vAlign w:val="bottom"/>
          </w:tcPr>
          <w:p w14:paraId="40C107CF" w14:textId="77777777" w:rsidR="00B22915" w:rsidRPr="000D48AE" w:rsidRDefault="00B22915" w:rsidP="00B22915">
            <w:pPr>
              <w:jc w:val="center"/>
              <w:rPr>
                <w:sz w:val="20"/>
                <w:szCs w:val="20"/>
              </w:rPr>
            </w:pPr>
            <w:r w:rsidRPr="000D48AE">
              <w:rPr>
                <w:sz w:val="20"/>
                <w:szCs w:val="20"/>
              </w:rPr>
              <w:t>-0.017</w:t>
            </w:r>
          </w:p>
        </w:tc>
        <w:tc>
          <w:tcPr>
            <w:tcW w:w="1680" w:type="dxa"/>
            <w:tcBorders>
              <w:top w:val="nil"/>
              <w:left w:val="nil"/>
              <w:bottom w:val="nil"/>
              <w:right w:val="nil"/>
            </w:tcBorders>
            <w:shd w:val="clear" w:color="auto" w:fill="auto"/>
            <w:noWrap/>
            <w:vAlign w:val="bottom"/>
          </w:tcPr>
          <w:p w14:paraId="485577C0" w14:textId="77777777" w:rsidR="00B22915" w:rsidRPr="000D48AE" w:rsidRDefault="00B22915" w:rsidP="00B22915">
            <w:pPr>
              <w:jc w:val="center"/>
              <w:rPr>
                <w:sz w:val="20"/>
                <w:szCs w:val="20"/>
              </w:rPr>
            </w:pPr>
            <w:r w:rsidRPr="000D48AE">
              <w:rPr>
                <w:sz w:val="20"/>
                <w:szCs w:val="20"/>
              </w:rPr>
              <w:t>-0.001</w:t>
            </w:r>
          </w:p>
        </w:tc>
        <w:tc>
          <w:tcPr>
            <w:tcW w:w="3270" w:type="dxa"/>
            <w:tcBorders>
              <w:top w:val="nil"/>
              <w:left w:val="nil"/>
              <w:bottom w:val="nil"/>
              <w:right w:val="nil"/>
            </w:tcBorders>
            <w:shd w:val="clear" w:color="auto" w:fill="auto"/>
            <w:noWrap/>
            <w:vAlign w:val="bottom"/>
          </w:tcPr>
          <w:p w14:paraId="11DFDBA4" w14:textId="77777777" w:rsidR="00B22915" w:rsidRPr="000D48AE" w:rsidRDefault="00B22915" w:rsidP="00B22915">
            <w:pPr>
              <w:jc w:val="center"/>
              <w:rPr>
                <w:sz w:val="20"/>
                <w:szCs w:val="20"/>
              </w:rPr>
            </w:pPr>
            <w:r w:rsidRPr="000D48AE">
              <w:rPr>
                <w:sz w:val="20"/>
                <w:szCs w:val="20"/>
              </w:rPr>
              <w:t>-0.043</w:t>
            </w:r>
          </w:p>
        </w:tc>
      </w:tr>
      <w:tr w:rsidR="00B22915" w:rsidRPr="000D48AE" w14:paraId="6966737A" w14:textId="77777777" w:rsidTr="00B22915">
        <w:trPr>
          <w:trHeight w:val="255"/>
        </w:trPr>
        <w:tc>
          <w:tcPr>
            <w:tcW w:w="2160" w:type="dxa"/>
            <w:tcBorders>
              <w:top w:val="nil"/>
              <w:left w:val="nil"/>
              <w:bottom w:val="nil"/>
              <w:right w:val="nil"/>
            </w:tcBorders>
            <w:shd w:val="clear" w:color="auto" w:fill="auto"/>
            <w:noWrap/>
            <w:vAlign w:val="bottom"/>
            <w:hideMark/>
          </w:tcPr>
          <w:p w14:paraId="347B72E7" w14:textId="77777777" w:rsidR="00B22915" w:rsidRPr="000D48AE" w:rsidRDefault="00B22915" w:rsidP="00B22915">
            <w:pPr>
              <w:jc w:val="center"/>
              <w:rPr>
                <w:sz w:val="20"/>
                <w:szCs w:val="20"/>
              </w:rPr>
            </w:pPr>
          </w:p>
        </w:tc>
        <w:tc>
          <w:tcPr>
            <w:tcW w:w="2140" w:type="dxa"/>
            <w:tcBorders>
              <w:top w:val="nil"/>
              <w:left w:val="nil"/>
              <w:bottom w:val="nil"/>
              <w:right w:val="nil"/>
            </w:tcBorders>
            <w:shd w:val="clear" w:color="auto" w:fill="auto"/>
            <w:noWrap/>
            <w:vAlign w:val="bottom"/>
            <w:hideMark/>
          </w:tcPr>
          <w:p w14:paraId="7EF3DB62" w14:textId="77777777" w:rsidR="00B22915" w:rsidRPr="000D48AE" w:rsidRDefault="00B22915" w:rsidP="00B22915">
            <w:pPr>
              <w:jc w:val="center"/>
              <w:rPr>
                <w:sz w:val="20"/>
                <w:szCs w:val="20"/>
              </w:rPr>
            </w:pPr>
            <w:r w:rsidRPr="000D48AE">
              <w:rPr>
                <w:sz w:val="20"/>
                <w:szCs w:val="20"/>
              </w:rPr>
              <w:t>(0.504)</w:t>
            </w:r>
          </w:p>
        </w:tc>
        <w:tc>
          <w:tcPr>
            <w:tcW w:w="1640" w:type="dxa"/>
            <w:tcBorders>
              <w:top w:val="nil"/>
              <w:left w:val="nil"/>
              <w:bottom w:val="nil"/>
              <w:right w:val="nil"/>
            </w:tcBorders>
            <w:shd w:val="clear" w:color="auto" w:fill="auto"/>
            <w:noWrap/>
            <w:vAlign w:val="bottom"/>
          </w:tcPr>
          <w:p w14:paraId="6C344C24" w14:textId="77777777" w:rsidR="00B22915" w:rsidRPr="000D48AE" w:rsidRDefault="00B22915" w:rsidP="00B22915">
            <w:pPr>
              <w:jc w:val="center"/>
              <w:rPr>
                <w:sz w:val="20"/>
                <w:szCs w:val="20"/>
              </w:rPr>
            </w:pPr>
            <w:r w:rsidRPr="000D48AE">
              <w:rPr>
                <w:sz w:val="20"/>
                <w:szCs w:val="20"/>
              </w:rPr>
              <w:t>(0.040)</w:t>
            </w:r>
          </w:p>
        </w:tc>
        <w:tc>
          <w:tcPr>
            <w:tcW w:w="1680" w:type="dxa"/>
            <w:tcBorders>
              <w:top w:val="nil"/>
              <w:left w:val="nil"/>
              <w:bottom w:val="nil"/>
              <w:right w:val="nil"/>
            </w:tcBorders>
            <w:shd w:val="clear" w:color="auto" w:fill="auto"/>
            <w:noWrap/>
            <w:vAlign w:val="bottom"/>
          </w:tcPr>
          <w:p w14:paraId="2D59DF90" w14:textId="77777777" w:rsidR="00B22915" w:rsidRPr="000D48AE" w:rsidRDefault="00B22915" w:rsidP="00B22915">
            <w:pPr>
              <w:jc w:val="center"/>
              <w:rPr>
                <w:sz w:val="20"/>
                <w:szCs w:val="20"/>
              </w:rPr>
            </w:pPr>
            <w:r w:rsidRPr="000D48AE">
              <w:rPr>
                <w:sz w:val="20"/>
                <w:szCs w:val="20"/>
              </w:rPr>
              <w:t>(0.042)</w:t>
            </w:r>
          </w:p>
        </w:tc>
        <w:tc>
          <w:tcPr>
            <w:tcW w:w="3270" w:type="dxa"/>
            <w:tcBorders>
              <w:top w:val="nil"/>
              <w:left w:val="nil"/>
              <w:bottom w:val="nil"/>
              <w:right w:val="nil"/>
            </w:tcBorders>
            <w:shd w:val="clear" w:color="auto" w:fill="auto"/>
            <w:noWrap/>
            <w:vAlign w:val="bottom"/>
          </w:tcPr>
          <w:p w14:paraId="6BE27319" w14:textId="77777777" w:rsidR="00B22915" w:rsidRPr="000D48AE" w:rsidRDefault="00B22915" w:rsidP="00B22915">
            <w:pPr>
              <w:jc w:val="center"/>
              <w:rPr>
                <w:sz w:val="20"/>
                <w:szCs w:val="20"/>
              </w:rPr>
            </w:pPr>
            <w:r w:rsidRPr="000D48AE">
              <w:rPr>
                <w:sz w:val="20"/>
                <w:szCs w:val="20"/>
              </w:rPr>
              <w:t>(0.031)</w:t>
            </w:r>
          </w:p>
        </w:tc>
      </w:tr>
      <w:tr w:rsidR="00B22915" w:rsidRPr="000D48AE" w14:paraId="06860E9C" w14:textId="77777777" w:rsidTr="00B22915">
        <w:trPr>
          <w:trHeight w:val="255"/>
        </w:trPr>
        <w:tc>
          <w:tcPr>
            <w:tcW w:w="2160" w:type="dxa"/>
            <w:tcBorders>
              <w:top w:val="nil"/>
              <w:left w:val="nil"/>
              <w:bottom w:val="nil"/>
              <w:right w:val="nil"/>
            </w:tcBorders>
            <w:shd w:val="clear" w:color="auto" w:fill="auto"/>
            <w:noWrap/>
            <w:vAlign w:val="bottom"/>
            <w:hideMark/>
          </w:tcPr>
          <w:p w14:paraId="1A68F0A8" w14:textId="77777777" w:rsidR="00B22915" w:rsidRPr="000D48AE" w:rsidRDefault="00B22915" w:rsidP="00B22915">
            <w:pPr>
              <w:rPr>
                <w:sz w:val="20"/>
                <w:szCs w:val="20"/>
              </w:rPr>
            </w:pPr>
            <w:r w:rsidRPr="000D48AE">
              <w:rPr>
                <w:sz w:val="20"/>
                <w:szCs w:val="20"/>
              </w:rPr>
              <w:t>base (program start)</w:t>
            </w:r>
          </w:p>
        </w:tc>
        <w:tc>
          <w:tcPr>
            <w:tcW w:w="2140" w:type="dxa"/>
            <w:tcBorders>
              <w:top w:val="nil"/>
              <w:left w:val="nil"/>
              <w:bottom w:val="nil"/>
              <w:right w:val="nil"/>
            </w:tcBorders>
            <w:shd w:val="clear" w:color="auto" w:fill="auto"/>
            <w:noWrap/>
            <w:vAlign w:val="bottom"/>
            <w:hideMark/>
          </w:tcPr>
          <w:p w14:paraId="46E50EA2" w14:textId="77777777" w:rsidR="00B22915" w:rsidRPr="000D48AE" w:rsidRDefault="00B22915" w:rsidP="00B22915">
            <w:pPr>
              <w:jc w:val="center"/>
              <w:rPr>
                <w:sz w:val="20"/>
                <w:szCs w:val="20"/>
              </w:rPr>
            </w:pPr>
            <w:r w:rsidRPr="000D48AE">
              <w:rPr>
                <w:sz w:val="20"/>
                <w:szCs w:val="20"/>
              </w:rPr>
              <w:t>9.793***</w:t>
            </w:r>
          </w:p>
        </w:tc>
        <w:tc>
          <w:tcPr>
            <w:tcW w:w="1640" w:type="dxa"/>
            <w:tcBorders>
              <w:top w:val="nil"/>
              <w:left w:val="nil"/>
              <w:bottom w:val="nil"/>
              <w:right w:val="nil"/>
            </w:tcBorders>
            <w:shd w:val="clear" w:color="auto" w:fill="auto"/>
            <w:noWrap/>
            <w:vAlign w:val="bottom"/>
          </w:tcPr>
          <w:p w14:paraId="5C6F4021" w14:textId="77777777" w:rsidR="00B22915" w:rsidRPr="000D48AE" w:rsidRDefault="00B22915" w:rsidP="00B22915">
            <w:pPr>
              <w:jc w:val="center"/>
              <w:rPr>
                <w:sz w:val="20"/>
                <w:szCs w:val="20"/>
              </w:rPr>
            </w:pPr>
            <w:r w:rsidRPr="000D48AE">
              <w:rPr>
                <w:sz w:val="20"/>
                <w:szCs w:val="20"/>
              </w:rPr>
              <w:t>-0.018</w:t>
            </w:r>
          </w:p>
        </w:tc>
        <w:tc>
          <w:tcPr>
            <w:tcW w:w="1680" w:type="dxa"/>
            <w:tcBorders>
              <w:top w:val="nil"/>
              <w:left w:val="nil"/>
              <w:bottom w:val="nil"/>
              <w:right w:val="nil"/>
            </w:tcBorders>
            <w:shd w:val="clear" w:color="auto" w:fill="auto"/>
            <w:noWrap/>
            <w:vAlign w:val="bottom"/>
          </w:tcPr>
          <w:p w14:paraId="32FC25AE" w14:textId="77777777" w:rsidR="00B22915" w:rsidRPr="000D48AE" w:rsidRDefault="00B22915" w:rsidP="00B22915">
            <w:pPr>
              <w:jc w:val="center"/>
              <w:rPr>
                <w:sz w:val="20"/>
                <w:szCs w:val="20"/>
              </w:rPr>
            </w:pPr>
            <w:r w:rsidRPr="000D48AE">
              <w:rPr>
                <w:sz w:val="20"/>
                <w:szCs w:val="20"/>
              </w:rPr>
              <w:t>-0.102**</w:t>
            </w:r>
          </w:p>
        </w:tc>
        <w:tc>
          <w:tcPr>
            <w:tcW w:w="3270" w:type="dxa"/>
            <w:tcBorders>
              <w:top w:val="nil"/>
              <w:left w:val="nil"/>
              <w:bottom w:val="nil"/>
              <w:right w:val="nil"/>
            </w:tcBorders>
            <w:shd w:val="clear" w:color="auto" w:fill="auto"/>
            <w:noWrap/>
            <w:vAlign w:val="bottom"/>
          </w:tcPr>
          <w:p w14:paraId="0E3E4913" w14:textId="77777777" w:rsidR="00B22915" w:rsidRPr="000D48AE" w:rsidRDefault="00B22915" w:rsidP="00B22915">
            <w:pPr>
              <w:jc w:val="center"/>
              <w:rPr>
                <w:sz w:val="20"/>
                <w:szCs w:val="20"/>
              </w:rPr>
            </w:pPr>
            <w:r w:rsidRPr="000D48AE">
              <w:rPr>
                <w:sz w:val="20"/>
                <w:szCs w:val="20"/>
              </w:rPr>
              <w:t>0.013</w:t>
            </w:r>
          </w:p>
        </w:tc>
      </w:tr>
      <w:tr w:rsidR="00B22915" w:rsidRPr="000D48AE" w14:paraId="466EC501" w14:textId="77777777" w:rsidTr="00B22915">
        <w:trPr>
          <w:trHeight w:val="255"/>
        </w:trPr>
        <w:tc>
          <w:tcPr>
            <w:tcW w:w="2160" w:type="dxa"/>
            <w:tcBorders>
              <w:top w:val="nil"/>
              <w:left w:val="nil"/>
              <w:bottom w:val="nil"/>
              <w:right w:val="nil"/>
            </w:tcBorders>
            <w:shd w:val="clear" w:color="auto" w:fill="auto"/>
            <w:noWrap/>
            <w:vAlign w:val="bottom"/>
            <w:hideMark/>
          </w:tcPr>
          <w:p w14:paraId="5FEB2CB2" w14:textId="77777777" w:rsidR="00B22915" w:rsidRPr="000D48AE" w:rsidRDefault="00B22915" w:rsidP="00B22915">
            <w:pPr>
              <w:jc w:val="center"/>
              <w:rPr>
                <w:sz w:val="20"/>
                <w:szCs w:val="20"/>
              </w:rPr>
            </w:pPr>
          </w:p>
        </w:tc>
        <w:tc>
          <w:tcPr>
            <w:tcW w:w="2140" w:type="dxa"/>
            <w:tcBorders>
              <w:top w:val="nil"/>
              <w:left w:val="nil"/>
              <w:bottom w:val="nil"/>
              <w:right w:val="nil"/>
            </w:tcBorders>
            <w:shd w:val="clear" w:color="auto" w:fill="auto"/>
            <w:noWrap/>
            <w:vAlign w:val="bottom"/>
            <w:hideMark/>
          </w:tcPr>
          <w:p w14:paraId="5C1E8114" w14:textId="77777777" w:rsidR="00B22915" w:rsidRPr="000D48AE" w:rsidRDefault="00B22915" w:rsidP="00B22915">
            <w:pPr>
              <w:jc w:val="center"/>
              <w:rPr>
                <w:sz w:val="20"/>
                <w:szCs w:val="20"/>
              </w:rPr>
            </w:pPr>
            <w:r w:rsidRPr="000D48AE">
              <w:rPr>
                <w:sz w:val="20"/>
                <w:szCs w:val="20"/>
              </w:rPr>
              <w:t>(0.500)</w:t>
            </w:r>
          </w:p>
        </w:tc>
        <w:tc>
          <w:tcPr>
            <w:tcW w:w="1640" w:type="dxa"/>
            <w:tcBorders>
              <w:top w:val="nil"/>
              <w:left w:val="nil"/>
              <w:bottom w:val="nil"/>
              <w:right w:val="nil"/>
            </w:tcBorders>
            <w:shd w:val="clear" w:color="auto" w:fill="auto"/>
            <w:noWrap/>
            <w:vAlign w:val="bottom"/>
          </w:tcPr>
          <w:p w14:paraId="194AC2FF" w14:textId="77777777" w:rsidR="00B22915" w:rsidRPr="000D48AE" w:rsidRDefault="00B22915" w:rsidP="00B22915">
            <w:pPr>
              <w:jc w:val="center"/>
              <w:rPr>
                <w:sz w:val="20"/>
                <w:szCs w:val="20"/>
              </w:rPr>
            </w:pPr>
            <w:r w:rsidRPr="000D48AE">
              <w:rPr>
                <w:sz w:val="20"/>
                <w:szCs w:val="20"/>
              </w:rPr>
              <w:t>(0.040)</w:t>
            </w:r>
          </w:p>
        </w:tc>
        <w:tc>
          <w:tcPr>
            <w:tcW w:w="1680" w:type="dxa"/>
            <w:tcBorders>
              <w:top w:val="nil"/>
              <w:left w:val="nil"/>
              <w:bottom w:val="nil"/>
              <w:right w:val="nil"/>
            </w:tcBorders>
            <w:shd w:val="clear" w:color="auto" w:fill="auto"/>
            <w:noWrap/>
            <w:vAlign w:val="bottom"/>
          </w:tcPr>
          <w:p w14:paraId="6427653C" w14:textId="77777777" w:rsidR="00B22915" w:rsidRPr="000D48AE" w:rsidRDefault="00B22915" w:rsidP="00B22915">
            <w:pPr>
              <w:jc w:val="center"/>
              <w:rPr>
                <w:sz w:val="20"/>
                <w:szCs w:val="20"/>
              </w:rPr>
            </w:pPr>
            <w:r w:rsidRPr="000D48AE">
              <w:rPr>
                <w:sz w:val="20"/>
                <w:szCs w:val="20"/>
              </w:rPr>
              <w:t>(0.042)</w:t>
            </w:r>
          </w:p>
        </w:tc>
        <w:tc>
          <w:tcPr>
            <w:tcW w:w="3270" w:type="dxa"/>
            <w:tcBorders>
              <w:top w:val="nil"/>
              <w:left w:val="nil"/>
              <w:bottom w:val="nil"/>
              <w:right w:val="nil"/>
            </w:tcBorders>
            <w:shd w:val="clear" w:color="auto" w:fill="auto"/>
            <w:noWrap/>
            <w:vAlign w:val="bottom"/>
          </w:tcPr>
          <w:p w14:paraId="56639C44" w14:textId="77777777" w:rsidR="00B22915" w:rsidRPr="000D48AE" w:rsidRDefault="00B22915" w:rsidP="00B22915">
            <w:pPr>
              <w:jc w:val="center"/>
              <w:rPr>
                <w:sz w:val="20"/>
                <w:szCs w:val="20"/>
              </w:rPr>
            </w:pPr>
            <w:r w:rsidRPr="000D48AE">
              <w:rPr>
                <w:sz w:val="20"/>
                <w:szCs w:val="20"/>
              </w:rPr>
              <w:t>(0.031)</w:t>
            </w:r>
          </w:p>
        </w:tc>
      </w:tr>
      <w:tr w:rsidR="00B22915" w:rsidRPr="000D48AE" w14:paraId="54161385" w14:textId="77777777" w:rsidTr="00B22915">
        <w:trPr>
          <w:trHeight w:val="255"/>
        </w:trPr>
        <w:tc>
          <w:tcPr>
            <w:tcW w:w="2160" w:type="dxa"/>
            <w:tcBorders>
              <w:top w:val="nil"/>
              <w:left w:val="nil"/>
              <w:bottom w:val="nil"/>
              <w:right w:val="nil"/>
            </w:tcBorders>
            <w:shd w:val="clear" w:color="auto" w:fill="auto"/>
            <w:noWrap/>
            <w:vAlign w:val="bottom"/>
            <w:hideMark/>
          </w:tcPr>
          <w:p w14:paraId="22888B36" w14:textId="77777777" w:rsidR="00B22915" w:rsidRPr="000D48AE" w:rsidRDefault="00B22915" w:rsidP="00B22915">
            <w:pPr>
              <w:rPr>
                <w:sz w:val="20"/>
                <w:szCs w:val="20"/>
              </w:rPr>
            </w:pPr>
            <w:r w:rsidRPr="000D48AE">
              <w:rPr>
                <w:sz w:val="20"/>
                <w:szCs w:val="20"/>
              </w:rPr>
              <w:t>lag1</w:t>
            </w:r>
          </w:p>
        </w:tc>
        <w:tc>
          <w:tcPr>
            <w:tcW w:w="2140" w:type="dxa"/>
            <w:tcBorders>
              <w:top w:val="nil"/>
              <w:left w:val="nil"/>
              <w:bottom w:val="nil"/>
              <w:right w:val="nil"/>
            </w:tcBorders>
            <w:shd w:val="clear" w:color="auto" w:fill="auto"/>
            <w:noWrap/>
            <w:vAlign w:val="bottom"/>
            <w:hideMark/>
          </w:tcPr>
          <w:p w14:paraId="6B5153E8" w14:textId="77777777" w:rsidR="00B22915" w:rsidRPr="000D48AE" w:rsidRDefault="00B22915" w:rsidP="00B22915">
            <w:pPr>
              <w:jc w:val="center"/>
              <w:rPr>
                <w:sz w:val="20"/>
                <w:szCs w:val="20"/>
              </w:rPr>
            </w:pPr>
            <w:r w:rsidRPr="000D48AE">
              <w:rPr>
                <w:sz w:val="20"/>
                <w:szCs w:val="20"/>
              </w:rPr>
              <w:t>12.080***</w:t>
            </w:r>
          </w:p>
        </w:tc>
        <w:tc>
          <w:tcPr>
            <w:tcW w:w="1640" w:type="dxa"/>
            <w:tcBorders>
              <w:top w:val="nil"/>
              <w:left w:val="nil"/>
              <w:bottom w:val="nil"/>
              <w:right w:val="nil"/>
            </w:tcBorders>
            <w:shd w:val="clear" w:color="auto" w:fill="auto"/>
            <w:noWrap/>
            <w:vAlign w:val="bottom"/>
          </w:tcPr>
          <w:p w14:paraId="2A0CDB73" w14:textId="77777777" w:rsidR="00B22915" w:rsidRPr="000D48AE" w:rsidRDefault="00B22915" w:rsidP="00B22915">
            <w:pPr>
              <w:jc w:val="center"/>
              <w:rPr>
                <w:sz w:val="20"/>
                <w:szCs w:val="20"/>
              </w:rPr>
            </w:pPr>
            <w:r w:rsidRPr="000D48AE">
              <w:rPr>
                <w:sz w:val="20"/>
                <w:szCs w:val="20"/>
              </w:rPr>
              <w:t>-0.044</w:t>
            </w:r>
          </w:p>
        </w:tc>
        <w:tc>
          <w:tcPr>
            <w:tcW w:w="1680" w:type="dxa"/>
            <w:tcBorders>
              <w:top w:val="nil"/>
              <w:left w:val="nil"/>
              <w:bottom w:val="nil"/>
              <w:right w:val="nil"/>
            </w:tcBorders>
            <w:shd w:val="clear" w:color="auto" w:fill="auto"/>
            <w:noWrap/>
            <w:vAlign w:val="bottom"/>
          </w:tcPr>
          <w:p w14:paraId="4A4BA178" w14:textId="77777777" w:rsidR="00B22915" w:rsidRPr="000D48AE" w:rsidRDefault="00B22915" w:rsidP="00B22915">
            <w:pPr>
              <w:jc w:val="center"/>
              <w:rPr>
                <w:sz w:val="20"/>
                <w:szCs w:val="20"/>
              </w:rPr>
            </w:pPr>
            <w:r w:rsidRPr="000D48AE">
              <w:rPr>
                <w:sz w:val="20"/>
                <w:szCs w:val="20"/>
              </w:rPr>
              <w:t>-0.080</w:t>
            </w:r>
          </w:p>
        </w:tc>
        <w:tc>
          <w:tcPr>
            <w:tcW w:w="3270" w:type="dxa"/>
            <w:tcBorders>
              <w:top w:val="nil"/>
              <w:left w:val="nil"/>
              <w:bottom w:val="nil"/>
              <w:right w:val="nil"/>
            </w:tcBorders>
            <w:shd w:val="clear" w:color="auto" w:fill="auto"/>
            <w:noWrap/>
            <w:vAlign w:val="bottom"/>
          </w:tcPr>
          <w:p w14:paraId="527E5880" w14:textId="77777777" w:rsidR="00B22915" w:rsidRPr="000D48AE" w:rsidRDefault="00B22915" w:rsidP="00B22915">
            <w:pPr>
              <w:jc w:val="center"/>
              <w:rPr>
                <w:sz w:val="20"/>
                <w:szCs w:val="20"/>
              </w:rPr>
            </w:pPr>
            <w:r w:rsidRPr="000D48AE">
              <w:rPr>
                <w:sz w:val="20"/>
                <w:szCs w:val="20"/>
              </w:rPr>
              <w:t>0.037</w:t>
            </w:r>
          </w:p>
        </w:tc>
      </w:tr>
      <w:tr w:rsidR="00B22915" w:rsidRPr="000D48AE" w14:paraId="5B7F387C" w14:textId="77777777" w:rsidTr="00B22915">
        <w:trPr>
          <w:trHeight w:val="255"/>
        </w:trPr>
        <w:tc>
          <w:tcPr>
            <w:tcW w:w="2160" w:type="dxa"/>
            <w:tcBorders>
              <w:top w:val="nil"/>
              <w:left w:val="nil"/>
              <w:bottom w:val="nil"/>
              <w:right w:val="nil"/>
            </w:tcBorders>
            <w:shd w:val="clear" w:color="auto" w:fill="auto"/>
            <w:noWrap/>
            <w:vAlign w:val="bottom"/>
            <w:hideMark/>
          </w:tcPr>
          <w:p w14:paraId="6DF7BA2B" w14:textId="77777777" w:rsidR="00B22915" w:rsidRPr="000D48AE" w:rsidRDefault="00B22915" w:rsidP="00B22915">
            <w:pPr>
              <w:jc w:val="center"/>
              <w:rPr>
                <w:sz w:val="20"/>
                <w:szCs w:val="20"/>
              </w:rPr>
            </w:pPr>
          </w:p>
        </w:tc>
        <w:tc>
          <w:tcPr>
            <w:tcW w:w="2140" w:type="dxa"/>
            <w:tcBorders>
              <w:top w:val="nil"/>
              <w:left w:val="nil"/>
              <w:bottom w:val="nil"/>
              <w:right w:val="nil"/>
            </w:tcBorders>
            <w:shd w:val="clear" w:color="auto" w:fill="auto"/>
            <w:noWrap/>
            <w:vAlign w:val="bottom"/>
            <w:hideMark/>
          </w:tcPr>
          <w:p w14:paraId="53ADF031" w14:textId="77777777" w:rsidR="00B22915" w:rsidRPr="000D48AE" w:rsidRDefault="00B22915" w:rsidP="00B22915">
            <w:pPr>
              <w:jc w:val="center"/>
              <w:rPr>
                <w:sz w:val="20"/>
                <w:szCs w:val="20"/>
              </w:rPr>
            </w:pPr>
            <w:r w:rsidRPr="000D48AE">
              <w:rPr>
                <w:sz w:val="20"/>
                <w:szCs w:val="20"/>
              </w:rPr>
              <w:t>(0.632)</w:t>
            </w:r>
          </w:p>
        </w:tc>
        <w:tc>
          <w:tcPr>
            <w:tcW w:w="1640" w:type="dxa"/>
            <w:tcBorders>
              <w:top w:val="nil"/>
              <w:left w:val="nil"/>
              <w:bottom w:val="nil"/>
              <w:right w:val="nil"/>
            </w:tcBorders>
            <w:shd w:val="clear" w:color="auto" w:fill="auto"/>
            <w:noWrap/>
            <w:vAlign w:val="bottom"/>
          </w:tcPr>
          <w:p w14:paraId="52E46948" w14:textId="77777777" w:rsidR="00B22915" w:rsidRPr="000D48AE" w:rsidRDefault="00B22915" w:rsidP="00B22915">
            <w:pPr>
              <w:jc w:val="center"/>
              <w:rPr>
                <w:sz w:val="20"/>
                <w:szCs w:val="20"/>
              </w:rPr>
            </w:pPr>
            <w:r w:rsidRPr="000D48AE">
              <w:rPr>
                <w:sz w:val="20"/>
                <w:szCs w:val="20"/>
              </w:rPr>
              <w:t>(0.050)</w:t>
            </w:r>
          </w:p>
        </w:tc>
        <w:tc>
          <w:tcPr>
            <w:tcW w:w="1680" w:type="dxa"/>
            <w:tcBorders>
              <w:top w:val="nil"/>
              <w:left w:val="nil"/>
              <w:bottom w:val="nil"/>
              <w:right w:val="nil"/>
            </w:tcBorders>
            <w:shd w:val="clear" w:color="auto" w:fill="auto"/>
            <w:noWrap/>
            <w:vAlign w:val="bottom"/>
          </w:tcPr>
          <w:p w14:paraId="1FA7D510" w14:textId="77777777" w:rsidR="00B22915" w:rsidRPr="000D48AE" w:rsidRDefault="00B22915" w:rsidP="00B22915">
            <w:pPr>
              <w:jc w:val="center"/>
              <w:rPr>
                <w:sz w:val="20"/>
                <w:szCs w:val="20"/>
              </w:rPr>
            </w:pPr>
            <w:r w:rsidRPr="000D48AE">
              <w:rPr>
                <w:sz w:val="20"/>
                <w:szCs w:val="20"/>
              </w:rPr>
              <w:t>(0.053)</w:t>
            </w:r>
          </w:p>
        </w:tc>
        <w:tc>
          <w:tcPr>
            <w:tcW w:w="3270" w:type="dxa"/>
            <w:tcBorders>
              <w:top w:val="nil"/>
              <w:left w:val="nil"/>
              <w:bottom w:val="nil"/>
              <w:right w:val="nil"/>
            </w:tcBorders>
            <w:shd w:val="clear" w:color="auto" w:fill="auto"/>
            <w:noWrap/>
            <w:vAlign w:val="bottom"/>
          </w:tcPr>
          <w:p w14:paraId="04A57B7E" w14:textId="77777777" w:rsidR="00B22915" w:rsidRPr="000D48AE" w:rsidRDefault="00B22915" w:rsidP="00B22915">
            <w:pPr>
              <w:jc w:val="center"/>
              <w:rPr>
                <w:sz w:val="20"/>
                <w:szCs w:val="20"/>
              </w:rPr>
            </w:pPr>
            <w:r w:rsidRPr="000D48AE">
              <w:rPr>
                <w:sz w:val="20"/>
                <w:szCs w:val="20"/>
              </w:rPr>
              <w:t>(0.039)</w:t>
            </w:r>
          </w:p>
        </w:tc>
      </w:tr>
      <w:tr w:rsidR="00B22915" w:rsidRPr="000D48AE" w14:paraId="7C3ADA3E" w14:textId="77777777" w:rsidTr="00B22915">
        <w:trPr>
          <w:trHeight w:val="255"/>
        </w:trPr>
        <w:tc>
          <w:tcPr>
            <w:tcW w:w="2160" w:type="dxa"/>
            <w:tcBorders>
              <w:top w:val="nil"/>
              <w:left w:val="nil"/>
              <w:bottom w:val="nil"/>
              <w:right w:val="nil"/>
            </w:tcBorders>
            <w:shd w:val="clear" w:color="auto" w:fill="auto"/>
            <w:noWrap/>
            <w:vAlign w:val="bottom"/>
            <w:hideMark/>
          </w:tcPr>
          <w:p w14:paraId="3AA6D13A" w14:textId="77777777" w:rsidR="00B22915" w:rsidRPr="000D48AE" w:rsidRDefault="00B22915" w:rsidP="00B22915">
            <w:pPr>
              <w:rPr>
                <w:sz w:val="20"/>
                <w:szCs w:val="20"/>
              </w:rPr>
            </w:pPr>
            <w:r w:rsidRPr="000D48AE">
              <w:rPr>
                <w:sz w:val="20"/>
                <w:szCs w:val="20"/>
              </w:rPr>
              <w:t>lag2</w:t>
            </w:r>
          </w:p>
        </w:tc>
        <w:tc>
          <w:tcPr>
            <w:tcW w:w="2140" w:type="dxa"/>
            <w:tcBorders>
              <w:top w:val="nil"/>
              <w:left w:val="nil"/>
              <w:bottom w:val="nil"/>
              <w:right w:val="nil"/>
            </w:tcBorders>
            <w:shd w:val="clear" w:color="auto" w:fill="auto"/>
            <w:noWrap/>
            <w:vAlign w:val="bottom"/>
            <w:hideMark/>
          </w:tcPr>
          <w:p w14:paraId="2CB5724B" w14:textId="77777777" w:rsidR="00B22915" w:rsidRPr="000D48AE" w:rsidRDefault="00B22915" w:rsidP="00B22915">
            <w:pPr>
              <w:jc w:val="center"/>
              <w:rPr>
                <w:sz w:val="20"/>
                <w:szCs w:val="20"/>
              </w:rPr>
            </w:pPr>
            <w:r w:rsidRPr="000D48AE">
              <w:rPr>
                <w:sz w:val="20"/>
                <w:szCs w:val="20"/>
              </w:rPr>
              <w:t>11.647***</w:t>
            </w:r>
          </w:p>
        </w:tc>
        <w:tc>
          <w:tcPr>
            <w:tcW w:w="1640" w:type="dxa"/>
            <w:tcBorders>
              <w:top w:val="nil"/>
              <w:left w:val="nil"/>
              <w:bottom w:val="nil"/>
              <w:right w:val="nil"/>
            </w:tcBorders>
            <w:shd w:val="clear" w:color="auto" w:fill="auto"/>
            <w:noWrap/>
            <w:vAlign w:val="bottom"/>
          </w:tcPr>
          <w:p w14:paraId="47EE6104" w14:textId="77777777" w:rsidR="00B22915" w:rsidRPr="000D48AE" w:rsidRDefault="00B22915" w:rsidP="00B22915">
            <w:pPr>
              <w:jc w:val="center"/>
              <w:rPr>
                <w:sz w:val="20"/>
                <w:szCs w:val="20"/>
              </w:rPr>
            </w:pPr>
            <w:r w:rsidRPr="000D48AE">
              <w:rPr>
                <w:sz w:val="20"/>
                <w:szCs w:val="20"/>
              </w:rPr>
              <w:t>0.039</w:t>
            </w:r>
          </w:p>
        </w:tc>
        <w:tc>
          <w:tcPr>
            <w:tcW w:w="1680" w:type="dxa"/>
            <w:tcBorders>
              <w:top w:val="nil"/>
              <w:left w:val="nil"/>
              <w:bottom w:val="nil"/>
              <w:right w:val="nil"/>
            </w:tcBorders>
            <w:shd w:val="clear" w:color="auto" w:fill="auto"/>
            <w:noWrap/>
            <w:vAlign w:val="bottom"/>
          </w:tcPr>
          <w:p w14:paraId="1F0CB205" w14:textId="77777777" w:rsidR="00B22915" w:rsidRPr="000D48AE" w:rsidRDefault="00B22915" w:rsidP="00B22915">
            <w:pPr>
              <w:jc w:val="center"/>
              <w:rPr>
                <w:sz w:val="20"/>
                <w:szCs w:val="20"/>
              </w:rPr>
            </w:pPr>
            <w:r w:rsidRPr="000D48AE">
              <w:rPr>
                <w:sz w:val="20"/>
                <w:szCs w:val="20"/>
              </w:rPr>
              <w:t>-0.046</w:t>
            </w:r>
          </w:p>
        </w:tc>
        <w:tc>
          <w:tcPr>
            <w:tcW w:w="3270" w:type="dxa"/>
            <w:tcBorders>
              <w:top w:val="nil"/>
              <w:left w:val="nil"/>
              <w:bottom w:val="nil"/>
              <w:right w:val="nil"/>
            </w:tcBorders>
            <w:shd w:val="clear" w:color="auto" w:fill="auto"/>
            <w:noWrap/>
            <w:vAlign w:val="bottom"/>
          </w:tcPr>
          <w:p w14:paraId="45161BF2" w14:textId="77777777" w:rsidR="00B22915" w:rsidRPr="000D48AE" w:rsidRDefault="00B22915" w:rsidP="00B22915">
            <w:pPr>
              <w:jc w:val="center"/>
              <w:rPr>
                <w:sz w:val="20"/>
                <w:szCs w:val="20"/>
              </w:rPr>
            </w:pPr>
            <w:r w:rsidRPr="000D48AE">
              <w:rPr>
                <w:sz w:val="20"/>
                <w:szCs w:val="20"/>
              </w:rPr>
              <w:t>0.177***</w:t>
            </w:r>
          </w:p>
        </w:tc>
      </w:tr>
      <w:tr w:rsidR="00B22915" w:rsidRPr="000D48AE" w14:paraId="431DB884" w14:textId="77777777" w:rsidTr="00B22915">
        <w:trPr>
          <w:trHeight w:val="255"/>
        </w:trPr>
        <w:tc>
          <w:tcPr>
            <w:tcW w:w="2160" w:type="dxa"/>
            <w:tcBorders>
              <w:top w:val="nil"/>
              <w:left w:val="nil"/>
              <w:bottom w:val="nil"/>
              <w:right w:val="nil"/>
            </w:tcBorders>
            <w:shd w:val="clear" w:color="auto" w:fill="auto"/>
            <w:noWrap/>
            <w:vAlign w:val="bottom"/>
            <w:hideMark/>
          </w:tcPr>
          <w:p w14:paraId="78D379BA" w14:textId="77777777" w:rsidR="00B22915" w:rsidRPr="000D48AE" w:rsidRDefault="00B22915" w:rsidP="00B22915">
            <w:pPr>
              <w:jc w:val="center"/>
              <w:rPr>
                <w:sz w:val="20"/>
                <w:szCs w:val="20"/>
              </w:rPr>
            </w:pPr>
          </w:p>
        </w:tc>
        <w:tc>
          <w:tcPr>
            <w:tcW w:w="2140" w:type="dxa"/>
            <w:tcBorders>
              <w:top w:val="nil"/>
              <w:left w:val="nil"/>
              <w:bottom w:val="nil"/>
              <w:right w:val="nil"/>
            </w:tcBorders>
            <w:shd w:val="clear" w:color="auto" w:fill="auto"/>
            <w:noWrap/>
            <w:vAlign w:val="bottom"/>
            <w:hideMark/>
          </w:tcPr>
          <w:p w14:paraId="63F1C27D" w14:textId="77777777" w:rsidR="00B22915" w:rsidRPr="000D48AE" w:rsidRDefault="00B22915" w:rsidP="00B22915">
            <w:pPr>
              <w:jc w:val="center"/>
              <w:rPr>
                <w:sz w:val="20"/>
                <w:szCs w:val="20"/>
              </w:rPr>
            </w:pPr>
            <w:r w:rsidRPr="000D48AE">
              <w:rPr>
                <w:sz w:val="20"/>
                <w:szCs w:val="20"/>
              </w:rPr>
              <w:t>(0.703)</w:t>
            </w:r>
          </w:p>
        </w:tc>
        <w:tc>
          <w:tcPr>
            <w:tcW w:w="1640" w:type="dxa"/>
            <w:tcBorders>
              <w:top w:val="nil"/>
              <w:left w:val="nil"/>
              <w:bottom w:val="nil"/>
              <w:right w:val="nil"/>
            </w:tcBorders>
            <w:shd w:val="clear" w:color="auto" w:fill="auto"/>
            <w:noWrap/>
            <w:vAlign w:val="bottom"/>
          </w:tcPr>
          <w:p w14:paraId="4CBF213B" w14:textId="77777777" w:rsidR="00B22915" w:rsidRPr="000D48AE" w:rsidRDefault="00B22915" w:rsidP="00B22915">
            <w:pPr>
              <w:jc w:val="center"/>
              <w:rPr>
                <w:sz w:val="20"/>
                <w:szCs w:val="20"/>
              </w:rPr>
            </w:pPr>
            <w:r w:rsidRPr="000D48AE">
              <w:rPr>
                <w:sz w:val="20"/>
                <w:szCs w:val="20"/>
              </w:rPr>
              <w:t>(0.056)</w:t>
            </w:r>
          </w:p>
        </w:tc>
        <w:tc>
          <w:tcPr>
            <w:tcW w:w="1680" w:type="dxa"/>
            <w:tcBorders>
              <w:top w:val="nil"/>
              <w:left w:val="nil"/>
              <w:bottom w:val="nil"/>
              <w:right w:val="nil"/>
            </w:tcBorders>
            <w:shd w:val="clear" w:color="auto" w:fill="auto"/>
            <w:noWrap/>
            <w:vAlign w:val="bottom"/>
          </w:tcPr>
          <w:p w14:paraId="5B6ABCE2" w14:textId="77777777" w:rsidR="00B22915" w:rsidRPr="000D48AE" w:rsidRDefault="00B22915" w:rsidP="00B22915">
            <w:pPr>
              <w:jc w:val="center"/>
              <w:rPr>
                <w:sz w:val="20"/>
                <w:szCs w:val="20"/>
              </w:rPr>
            </w:pPr>
            <w:r w:rsidRPr="000D48AE">
              <w:rPr>
                <w:sz w:val="20"/>
                <w:szCs w:val="20"/>
              </w:rPr>
              <w:t>(0.059)</w:t>
            </w:r>
          </w:p>
        </w:tc>
        <w:tc>
          <w:tcPr>
            <w:tcW w:w="3270" w:type="dxa"/>
            <w:tcBorders>
              <w:top w:val="nil"/>
              <w:left w:val="nil"/>
              <w:bottom w:val="nil"/>
              <w:right w:val="nil"/>
            </w:tcBorders>
            <w:shd w:val="clear" w:color="auto" w:fill="auto"/>
            <w:noWrap/>
            <w:vAlign w:val="bottom"/>
          </w:tcPr>
          <w:p w14:paraId="28DD0BE2" w14:textId="77777777" w:rsidR="00B22915" w:rsidRPr="000D48AE" w:rsidRDefault="00B22915" w:rsidP="00B22915">
            <w:pPr>
              <w:jc w:val="center"/>
              <w:rPr>
                <w:sz w:val="20"/>
                <w:szCs w:val="20"/>
              </w:rPr>
            </w:pPr>
            <w:r w:rsidRPr="000D48AE">
              <w:rPr>
                <w:sz w:val="20"/>
                <w:szCs w:val="20"/>
              </w:rPr>
              <w:t>(0.044)</w:t>
            </w:r>
          </w:p>
        </w:tc>
      </w:tr>
      <w:tr w:rsidR="00B22915" w:rsidRPr="000D48AE" w14:paraId="0E467907" w14:textId="77777777" w:rsidTr="00B22915">
        <w:trPr>
          <w:trHeight w:val="255"/>
        </w:trPr>
        <w:tc>
          <w:tcPr>
            <w:tcW w:w="2160" w:type="dxa"/>
            <w:tcBorders>
              <w:top w:val="nil"/>
              <w:left w:val="nil"/>
              <w:bottom w:val="nil"/>
              <w:right w:val="nil"/>
            </w:tcBorders>
            <w:shd w:val="clear" w:color="auto" w:fill="auto"/>
            <w:noWrap/>
            <w:vAlign w:val="bottom"/>
            <w:hideMark/>
          </w:tcPr>
          <w:p w14:paraId="663C6A81" w14:textId="77777777" w:rsidR="00B22915" w:rsidRPr="000D48AE" w:rsidRDefault="00B22915" w:rsidP="00B22915">
            <w:pPr>
              <w:rPr>
                <w:sz w:val="20"/>
                <w:szCs w:val="20"/>
              </w:rPr>
            </w:pPr>
            <w:r w:rsidRPr="000D48AE">
              <w:rPr>
                <w:sz w:val="20"/>
                <w:szCs w:val="20"/>
              </w:rPr>
              <w:t>Observations</w:t>
            </w:r>
          </w:p>
        </w:tc>
        <w:tc>
          <w:tcPr>
            <w:tcW w:w="2140" w:type="dxa"/>
            <w:tcBorders>
              <w:top w:val="nil"/>
              <w:left w:val="nil"/>
              <w:bottom w:val="nil"/>
              <w:right w:val="nil"/>
            </w:tcBorders>
            <w:shd w:val="clear" w:color="auto" w:fill="auto"/>
            <w:noWrap/>
            <w:vAlign w:val="bottom"/>
            <w:hideMark/>
          </w:tcPr>
          <w:p w14:paraId="36CECCCD" w14:textId="77777777" w:rsidR="00B22915" w:rsidRPr="000D48AE" w:rsidRDefault="00B22915" w:rsidP="00B22915">
            <w:pPr>
              <w:jc w:val="center"/>
              <w:rPr>
                <w:sz w:val="20"/>
                <w:szCs w:val="20"/>
              </w:rPr>
            </w:pPr>
            <w:r w:rsidRPr="000D48AE">
              <w:rPr>
                <w:sz w:val="20"/>
                <w:szCs w:val="20"/>
              </w:rPr>
              <w:t>15,090</w:t>
            </w:r>
          </w:p>
        </w:tc>
        <w:tc>
          <w:tcPr>
            <w:tcW w:w="1640" w:type="dxa"/>
            <w:tcBorders>
              <w:top w:val="nil"/>
              <w:left w:val="nil"/>
              <w:bottom w:val="nil"/>
              <w:right w:val="nil"/>
            </w:tcBorders>
            <w:shd w:val="clear" w:color="auto" w:fill="auto"/>
            <w:noWrap/>
            <w:vAlign w:val="bottom"/>
          </w:tcPr>
          <w:p w14:paraId="3693AA91" w14:textId="77777777" w:rsidR="00B22915" w:rsidRPr="000D48AE" w:rsidRDefault="00B22915" w:rsidP="00B22915">
            <w:pPr>
              <w:jc w:val="center"/>
              <w:rPr>
                <w:sz w:val="20"/>
                <w:szCs w:val="20"/>
              </w:rPr>
            </w:pPr>
            <w:r w:rsidRPr="000D48AE">
              <w:rPr>
                <w:sz w:val="20"/>
                <w:szCs w:val="20"/>
              </w:rPr>
              <w:t>15,090</w:t>
            </w:r>
          </w:p>
        </w:tc>
        <w:tc>
          <w:tcPr>
            <w:tcW w:w="1680" w:type="dxa"/>
            <w:tcBorders>
              <w:top w:val="nil"/>
              <w:left w:val="nil"/>
              <w:bottom w:val="nil"/>
              <w:right w:val="nil"/>
            </w:tcBorders>
            <w:shd w:val="clear" w:color="auto" w:fill="auto"/>
            <w:noWrap/>
            <w:vAlign w:val="bottom"/>
          </w:tcPr>
          <w:p w14:paraId="5A034B33" w14:textId="77777777" w:rsidR="00B22915" w:rsidRPr="000D48AE" w:rsidRDefault="00B22915" w:rsidP="00B22915">
            <w:pPr>
              <w:jc w:val="center"/>
              <w:rPr>
                <w:sz w:val="20"/>
                <w:szCs w:val="20"/>
              </w:rPr>
            </w:pPr>
            <w:r w:rsidRPr="000D48AE">
              <w:rPr>
                <w:sz w:val="20"/>
                <w:szCs w:val="20"/>
              </w:rPr>
              <w:t>15,090</w:t>
            </w:r>
          </w:p>
        </w:tc>
        <w:tc>
          <w:tcPr>
            <w:tcW w:w="3270" w:type="dxa"/>
            <w:tcBorders>
              <w:top w:val="nil"/>
              <w:left w:val="nil"/>
              <w:bottom w:val="nil"/>
              <w:right w:val="nil"/>
            </w:tcBorders>
            <w:shd w:val="clear" w:color="auto" w:fill="auto"/>
            <w:noWrap/>
            <w:vAlign w:val="bottom"/>
          </w:tcPr>
          <w:p w14:paraId="4B68CB27" w14:textId="77777777" w:rsidR="00B22915" w:rsidRPr="000D48AE" w:rsidRDefault="00B22915" w:rsidP="00B22915">
            <w:pPr>
              <w:jc w:val="center"/>
              <w:rPr>
                <w:sz w:val="20"/>
                <w:szCs w:val="20"/>
              </w:rPr>
            </w:pPr>
            <w:r w:rsidRPr="000D48AE">
              <w:rPr>
                <w:sz w:val="20"/>
                <w:szCs w:val="20"/>
              </w:rPr>
              <w:t>15,090</w:t>
            </w:r>
          </w:p>
        </w:tc>
      </w:tr>
      <w:tr w:rsidR="00B22915" w:rsidRPr="000D48AE" w14:paraId="7A826BDB" w14:textId="77777777" w:rsidTr="00B22915">
        <w:trPr>
          <w:trHeight w:val="255"/>
        </w:trPr>
        <w:tc>
          <w:tcPr>
            <w:tcW w:w="2160" w:type="dxa"/>
            <w:tcBorders>
              <w:top w:val="nil"/>
              <w:left w:val="nil"/>
              <w:bottom w:val="single" w:sz="4" w:space="0" w:color="auto"/>
              <w:right w:val="nil"/>
            </w:tcBorders>
            <w:shd w:val="clear" w:color="auto" w:fill="auto"/>
            <w:noWrap/>
            <w:vAlign w:val="bottom"/>
            <w:hideMark/>
          </w:tcPr>
          <w:p w14:paraId="409DBD90" w14:textId="77777777" w:rsidR="00B22915" w:rsidRPr="000D48AE" w:rsidRDefault="00B22915" w:rsidP="00B22915">
            <w:pPr>
              <w:rPr>
                <w:sz w:val="20"/>
                <w:szCs w:val="20"/>
              </w:rPr>
            </w:pPr>
            <w:r w:rsidRPr="000D48AE">
              <w:rPr>
                <w:sz w:val="20"/>
                <w:szCs w:val="20"/>
              </w:rPr>
              <w:t>R-squared</w:t>
            </w:r>
          </w:p>
        </w:tc>
        <w:tc>
          <w:tcPr>
            <w:tcW w:w="2140" w:type="dxa"/>
            <w:tcBorders>
              <w:top w:val="nil"/>
              <w:left w:val="nil"/>
              <w:bottom w:val="single" w:sz="4" w:space="0" w:color="auto"/>
              <w:right w:val="nil"/>
            </w:tcBorders>
            <w:shd w:val="clear" w:color="auto" w:fill="auto"/>
            <w:noWrap/>
            <w:vAlign w:val="bottom"/>
            <w:hideMark/>
          </w:tcPr>
          <w:p w14:paraId="7E7E03BE" w14:textId="77777777" w:rsidR="00B22915" w:rsidRPr="000D48AE" w:rsidRDefault="00B22915" w:rsidP="00B22915">
            <w:pPr>
              <w:jc w:val="center"/>
              <w:rPr>
                <w:sz w:val="20"/>
                <w:szCs w:val="20"/>
              </w:rPr>
            </w:pPr>
            <w:r w:rsidRPr="000D48AE">
              <w:rPr>
                <w:sz w:val="20"/>
                <w:szCs w:val="20"/>
              </w:rPr>
              <w:t>0.148</w:t>
            </w:r>
          </w:p>
        </w:tc>
        <w:tc>
          <w:tcPr>
            <w:tcW w:w="1640" w:type="dxa"/>
            <w:tcBorders>
              <w:top w:val="nil"/>
              <w:left w:val="nil"/>
              <w:bottom w:val="single" w:sz="4" w:space="0" w:color="auto"/>
              <w:right w:val="nil"/>
            </w:tcBorders>
            <w:shd w:val="clear" w:color="auto" w:fill="auto"/>
            <w:noWrap/>
            <w:vAlign w:val="bottom"/>
          </w:tcPr>
          <w:p w14:paraId="43628656" w14:textId="77777777" w:rsidR="00B22915" w:rsidRPr="000D48AE" w:rsidRDefault="00B22915" w:rsidP="00B22915">
            <w:pPr>
              <w:jc w:val="center"/>
              <w:rPr>
                <w:sz w:val="20"/>
                <w:szCs w:val="20"/>
              </w:rPr>
            </w:pPr>
            <w:r w:rsidRPr="000D48AE">
              <w:rPr>
                <w:sz w:val="20"/>
                <w:szCs w:val="20"/>
              </w:rPr>
              <w:t>0.230</w:t>
            </w:r>
          </w:p>
        </w:tc>
        <w:tc>
          <w:tcPr>
            <w:tcW w:w="1680" w:type="dxa"/>
            <w:tcBorders>
              <w:top w:val="nil"/>
              <w:left w:val="nil"/>
              <w:bottom w:val="single" w:sz="4" w:space="0" w:color="auto"/>
              <w:right w:val="nil"/>
            </w:tcBorders>
            <w:shd w:val="clear" w:color="auto" w:fill="auto"/>
            <w:noWrap/>
            <w:vAlign w:val="bottom"/>
          </w:tcPr>
          <w:p w14:paraId="35C863E4" w14:textId="77777777" w:rsidR="00B22915" w:rsidRPr="000D48AE" w:rsidRDefault="00B22915" w:rsidP="00B22915">
            <w:pPr>
              <w:jc w:val="center"/>
              <w:rPr>
                <w:sz w:val="20"/>
                <w:szCs w:val="20"/>
              </w:rPr>
            </w:pPr>
            <w:r w:rsidRPr="000D48AE">
              <w:rPr>
                <w:sz w:val="20"/>
                <w:szCs w:val="20"/>
              </w:rPr>
              <w:t>0.222</w:t>
            </w:r>
          </w:p>
        </w:tc>
        <w:tc>
          <w:tcPr>
            <w:tcW w:w="3270" w:type="dxa"/>
            <w:tcBorders>
              <w:top w:val="nil"/>
              <w:left w:val="nil"/>
              <w:bottom w:val="single" w:sz="4" w:space="0" w:color="auto"/>
              <w:right w:val="nil"/>
            </w:tcBorders>
            <w:shd w:val="clear" w:color="auto" w:fill="auto"/>
            <w:noWrap/>
            <w:vAlign w:val="bottom"/>
          </w:tcPr>
          <w:p w14:paraId="63ACE2B7" w14:textId="77777777" w:rsidR="00B22915" w:rsidRPr="000D48AE" w:rsidRDefault="00B22915" w:rsidP="00B22915">
            <w:pPr>
              <w:jc w:val="center"/>
              <w:rPr>
                <w:sz w:val="20"/>
                <w:szCs w:val="20"/>
              </w:rPr>
            </w:pPr>
            <w:r w:rsidRPr="000D48AE">
              <w:rPr>
                <w:sz w:val="20"/>
                <w:szCs w:val="20"/>
              </w:rPr>
              <w:t>0.291</w:t>
            </w:r>
          </w:p>
        </w:tc>
      </w:tr>
      <w:tr w:rsidR="00B22915" w:rsidRPr="000D48AE" w14:paraId="4D776C81" w14:textId="77777777" w:rsidTr="00B22915">
        <w:trPr>
          <w:trHeight w:val="255"/>
        </w:trPr>
        <w:tc>
          <w:tcPr>
            <w:tcW w:w="10890" w:type="dxa"/>
            <w:gridSpan w:val="5"/>
            <w:tcBorders>
              <w:top w:val="nil"/>
              <w:left w:val="nil"/>
              <w:bottom w:val="nil"/>
              <w:right w:val="nil"/>
            </w:tcBorders>
            <w:shd w:val="clear" w:color="auto" w:fill="auto"/>
            <w:noWrap/>
            <w:vAlign w:val="bottom"/>
            <w:hideMark/>
          </w:tcPr>
          <w:p w14:paraId="7870A78B" w14:textId="77777777" w:rsidR="00B22915" w:rsidRPr="000D48AE" w:rsidRDefault="00B22915" w:rsidP="00B22915">
            <w:pPr>
              <w:rPr>
                <w:sz w:val="20"/>
                <w:szCs w:val="20"/>
              </w:rPr>
            </w:pPr>
            <w:r w:rsidRPr="000D48AE">
              <w:rPr>
                <w:sz w:val="20"/>
                <w:szCs w:val="20"/>
              </w:rPr>
              <w:t>Standard errors in parentheses. *** p&lt;0.01, ** p&lt;0.05, * p&lt;0.1. Estimates were obtained using model (2). Sample includes students who have ever been classified as English Learners in grades K-12. Each column represents a separate linear or linear probability regression. “lead3” represents three years before program implementation. “base” represents the year program was implemented. “lag1” represents the first year after program implementation. Column (1) reports the number of college credits earned in 12</w:t>
            </w:r>
            <w:r w:rsidRPr="000D48AE">
              <w:rPr>
                <w:sz w:val="20"/>
                <w:szCs w:val="20"/>
                <w:vertAlign w:val="superscript"/>
              </w:rPr>
              <w:t>th</w:t>
            </w:r>
            <w:r w:rsidRPr="000D48AE">
              <w:rPr>
                <w:sz w:val="20"/>
                <w:szCs w:val="20"/>
              </w:rPr>
              <w:t xml:space="preserve"> grade. College credits from different colleges have been converted to a common scale. Ten credits are the equivalent of 2 semester-long courses or 1 year-long course.  Columns (2)-(4) report </w:t>
            </w:r>
            <w:r>
              <w:rPr>
                <w:sz w:val="20"/>
                <w:szCs w:val="20"/>
              </w:rPr>
              <w:t xml:space="preserve">linear probability estimates for </w:t>
            </w:r>
            <w:r w:rsidRPr="000D48AE">
              <w:rPr>
                <w:sz w:val="20"/>
                <w:szCs w:val="20"/>
              </w:rPr>
              <w:t>binary dependent variables. “</w:t>
            </w:r>
            <w:r>
              <w:rPr>
                <w:sz w:val="20"/>
                <w:szCs w:val="20"/>
              </w:rPr>
              <w:t>I</w:t>
            </w:r>
            <w:r w:rsidRPr="000D48AE">
              <w:rPr>
                <w:sz w:val="20"/>
                <w:szCs w:val="20"/>
              </w:rPr>
              <w:t xml:space="preserve">mmediate </w:t>
            </w:r>
            <w:r>
              <w:rPr>
                <w:sz w:val="20"/>
                <w:szCs w:val="20"/>
              </w:rPr>
              <w:t>C</w:t>
            </w:r>
            <w:r w:rsidRPr="000D48AE">
              <w:rPr>
                <w:sz w:val="20"/>
                <w:szCs w:val="20"/>
              </w:rPr>
              <w:t>ollege” represents enrolling in college the fall after high school exit. “</w:t>
            </w:r>
            <w:r>
              <w:rPr>
                <w:sz w:val="20"/>
                <w:szCs w:val="20"/>
              </w:rPr>
              <w:t>4</w:t>
            </w:r>
            <w:r w:rsidRPr="000D48AE">
              <w:rPr>
                <w:sz w:val="20"/>
                <w:szCs w:val="20"/>
              </w:rPr>
              <w:t>-year college” represents directly enrolling in a 4-year college after high school. “</w:t>
            </w:r>
            <w:r>
              <w:rPr>
                <w:sz w:val="20"/>
                <w:szCs w:val="20"/>
              </w:rPr>
              <w:t>On-Time HS G</w:t>
            </w:r>
            <w:r w:rsidRPr="000D48AE">
              <w:rPr>
                <w:sz w:val="20"/>
                <w:szCs w:val="20"/>
              </w:rPr>
              <w:t xml:space="preserve">raduation” represents having graduated from high school within 4 years of attendance. Model includes student covariates (female, ethnicity, home language, mother’s education, father’s education, special education </w:t>
            </w:r>
            <w:r>
              <w:rPr>
                <w:sz w:val="20"/>
                <w:szCs w:val="20"/>
              </w:rPr>
              <w:t>participation</w:t>
            </w:r>
            <w:r w:rsidRPr="000D48AE">
              <w:rPr>
                <w:sz w:val="20"/>
                <w:szCs w:val="20"/>
              </w:rPr>
              <w:t>, 10th grade school suspensions, AP tests taken prior to the end of 10</w:t>
            </w:r>
            <w:r w:rsidRPr="000D48AE">
              <w:rPr>
                <w:sz w:val="20"/>
                <w:szCs w:val="20"/>
                <w:vertAlign w:val="superscript"/>
              </w:rPr>
              <w:t>th</w:t>
            </w:r>
            <w:r w:rsidRPr="000D48AE">
              <w:rPr>
                <w:sz w:val="20"/>
                <w:szCs w:val="20"/>
              </w:rPr>
              <w:t xml:space="preserve"> grade</w:t>
            </w:r>
            <w:r>
              <w:rPr>
                <w:sz w:val="20"/>
                <w:szCs w:val="20"/>
              </w:rPr>
              <w:t>, grade level of initial EL identification for current ELs, and an indicator for having reclassified</w:t>
            </w:r>
            <w:r w:rsidRPr="000D48AE">
              <w:rPr>
                <w:sz w:val="20"/>
                <w:szCs w:val="20"/>
              </w:rPr>
              <w:t xml:space="preserve">. </w:t>
            </w:r>
          </w:p>
          <w:p w14:paraId="14D86A6C" w14:textId="77777777" w:rsidR="00B22915" w:rsidRPr="000D48AE" w:rsidRDefault="00B22915" w:rsidP="00B22915">
            <w:pPr>
              <w:rPr>
                <w:sz w:val="20"/>
                <w:szCs w:val="20"/>
              </w:rPr>
            </w:pPr>
          </w:p>
        </w:tc>
      </w:tr>
    </w:tbl>
    <w:p w14:paraId="798A5E56" w14:textId="77777777" w:rsidR="00B22915" w:rsidRDefault="00B22915" w:rsidP="00B22915"/>
    <w:p w14:paraId="4C520267" w14:textId="77777777" w:rsidR="00B22915" w:rsidRDefault="00B22915" w:rsidP="00B22915">
      <w:r>
        <w:br w:type="page"/>
      </w:r>
    </w:p>
    <w:p w14:paraId="0132F852" w14:textId="5A247CD2" w:rsidR="00B22915" w:rsidRDefault="00B22915" w:rsidP="00B22915">
      <w:r>
        <w:lastRenderedPageBreak/>
        <w:t xml:space="preserve">Table 6. DDD Estimates of Early College Program </w:t>
      </w:r>
      <w:r w:rsidR="006E109A">
        <w:t>Effects</w:t>
      </w:r>
      <w:r>
        <w:t xml:space="preserve"> on </w:t>
      </w:r>
      <w:r w:rsidR="00141418">
        <w:t>Ever-</w:t>
      </w:r>
      <w:r>
        <w:t>EL Academic Outcomes</w:t>
      </w:r>
    </w:p>
    <w:tbl>
      <w:tblPr>
        <w:tblW w:w="9060" w:type="dxa"/>
        <w:tblLook w:val="04A0" w:firstRow="1" w:lastRow="0" w:firstColumn="1" w:lastColumn="0" w:noHBand="0" w:noVBand="1"/>
      </w:tblPr>
      <w:tblGrid>
        <w:gridCol w:w="2790"/>
        <w:gridCol w:w="1530"/>
        <w:gridCol w:w="1600"/>
        <w:gridCol w:w="1620"/>
        <w:gridCol w:w="1520"/>
      </w:tblGrid>
      <w:tr w:rsidR="00B22915" w:rsidRPr="00501B0C" w14:paraId="57074552" w14:textId="77777777" w:rsidTr="00B22915">
        <w:trPr>
          <w:trHeight w:val="255"/>
        </w:trPr>
        <w:tc>
          <w:tcPr>
            <w:tcW w:w="2790" w:type="dxa"/>
            <w:tcBorders>
              <w:top w:val="single" w:sz="4" w:space="0" w:color="000000"/>
              <w:left w:val="nil"/>
              <w:bottom w:val="nil"/>
              <w:right w:val="nil"/>
            </w:tcBorders>
            <w:shd w:val="clear" w:color="auto" w:fill="auto"/>
            <w:noWrap/>
            <w:vAlign w:val="bottom"/>
            <w:hideMark/>
          </w:tcPr>
          <w:p w14:paraId="1B6D1F88" w14:textId="77777777" w:rsidR="00B22915" w:rsidRPr="00501B0C" w:rsidRDefault="00B22915" w:rsidP="00B22915">
            <w:pPr>
              <w:rPr>
                <w:sz w:val="20"/>
                <w:szCs w:val="20"/>
              </w:rPr>
            </w:pPr>
            <w:r w:rsidRPr="00501B0C">
              <w:rPr>
                <w:sz w:val="20"/>
                <w:szCs w:val="20"/>
              </w:rPr>
              <w:t> </w:t>
            </w:r>
          </w:p>
        </w:tc>
        <w:tc>
          <w:tcPr>
            <w:tcW w:w="1530" w:type="dxa"/>
            <w:tcBorders>
              <w:top w:val="single" w:sz="4" w:space="0" w:color="000000"/>
              <w:left w:val="nil"/>
              <w:bottom w:val="nil"/>
              <w:right w:val="nil"/>
            </w:tcBorders>
            <w:shd w:val="clear" w:color="auto" w:fill="auto"/>
            <w:noWrap/>
            <w:vAlign w:val="bottom"/>
            <w:hideMark/>
          </w:tcPr>
          <w:p w14:paraId="445F71A9" w14:textId="77777777" w:rsidR="00B22915" w:rsidRPr="00501B0C" w:rsidRDefault="00B22915" w:rsidP="00B22915">
            <w:pPr>
              <w:jc w:val="center"/>
              <w:rPr>
                <w:sz w:val="20"/>
                <w:szCs w:val="20"/>
              </w:rPr>
            </w:pPr>
            <w:r w:rsidRPr="00501B0C">
              <w:rPr>
                <w:sz w:val="20"/>
                <w:szCs w:val="20"/>
              </w:rPr>
              <w:t>(1)</w:t>
            </w:r>
          </w:p>
        </w:tc>
        <w:tc>
          <w:tcPr>
            <w:tcW w:w="1600" w:type="dxa"/>
            <w:tcBorders>
              <w:top w:val="single" w:sz="4" w:space="0" w:color="000000"/>
              <w:left w:val="nil"/>
              <w:bottom w:val="nil"/>
              <w:right w:val="nil"/>
            </w:tcBorders>
            <w:shd w:val="clear" w:color="auto" w:fill="auto"/>
            <w:noWrap/>
            <w:vAlign w:val="bottom"/>
          </w:tcPr>
          <w:p w14:paraId="1C9829CA" w14:textId="77777777" w:rsidR="00B22915" w:rsidRPr="00501B0C" w:rsidRDefault="00B22915" w:rsidP="00B22915">
            <w:pPr>
              <w:jc w:val="center"/>
              <w:rPr>
                <w:sz w:val="20"/>
                <w:szCs w:val="20"/>
              </w:rPr>
            </w:pPr>
            <w:r w:rsidRPr="00501B0C">
              <w:rPr>
                <w:sz w:val="20"/>
                <w:szCs w:val="20"/>
              </w:rPr>
              <w:t>(</w:t>
            </w:r>
            <w:r>
              <w:rPr>
                <w:sz w:val="20"/>
                <w:szCs w:val="20"/>
              </w:rPr>
              <w:t>2</w:t>
            </w:r>
            <w:r w:rsidRPr="00501B0C">
              <w:rPr>
                <w:sz w:val="20"/>
                <w:szCs w:val="20"/>
              </w:rPr>
              <w:t>)</w:t>
            </w:r>
          </w:p>
        </w:tc>
        <w:tc>
          <w:tcPr>
            <w:tcW w:w="1620" w:type="dxa"/>
            <w:tcBorders>
              <w:top w:val="single" w:sz="4" w:space="0" w:color="000000"/>
              <w:left w:val="nil"/>
              <w:bottom w:val="nil"/>
              <w:right w:val="nil"/>
            </w:tcBorders>
            <w:shd w:val="clear" w:color="auto" w:fill="auto"/>
            <w:noWrap/>
            <w:vAlign w:val="bottom"/>
          </w:tcPr>
          <w:p w14:paraId="1487EDD2" w14:textId="77777777" w:rsidR="00B22915" w:rsidRPr="00501B0C" w:rsidRDefault="00B22915" w:rsidP="00B22915">
            <w:pPr>
              <w:jc w:val="center"/>
              <w:rPr>
                <w:sz w:val="20"/>
                <w:szCs w:val="20"/>
              </w:rPr>
            </w:pPr>
            <w:r w:rsidRPr="00501B0C">
              <w:rPr>
                <w:sz w:val="20"/>
                <w:szCs w:val="20"/>
              </w:rPr>
              <w:t>(</w:t>
            </w:r>
            <w:r>
              <w:rPr>
                <w:sz w:val="20"/>
                <w:szCs w:val="20"/>
              </w:rPr>
              <w:t>3</w:t>
            </w:r>
            <w:r w:rsidRPr="00501B0C">
              <w:rPr>
                <w:sz w:val="20"/>
                <w:szCs w:val="20"/>
              </w:rPr>
              <w:t>)</w:t>
            </w:r>
          </w:p>
        </w:tc>
        <w:tc>
          <w:tcPr>
            <w:tcW w:w="1520" w:type="dxa"/>
            <w:tcBorders>
              <w:top w:val="single" w:sz="4" w:space="0" w:color="000000"/>
              <w:left w:val="nil"/>
              <w:bottom w:val="nil"/>
              <w:right w:val="nil"/>
            </w:tcBorders>
            <w:shd w:val="clear" w:color="auto" w:fill="auto"/>
            <w:noWrap/>
            <w:vAlign w:val="bottom"/>
          </w:tcPr>
          <w:p w14:paraId="3DBB570C" w14:textId="77777777" w:rsidR="00B22915" w:rsidRPr="00501B0C" w:rsidRDefault="00B22915" w:rsidP="00B22915">
            <w:pPr>
              <w:jc w:val="center"/>
              <w:rPr>
                <w:sz w:val="20"/>
                <w:szCs w:val="20"/>
              </w:rPr>
            </w:pPr>
            <w:r w:rsidRPr="00501B0C">
              <w:rPr>
                <w:sz w:val="20"/>
                <w:szCs w:val="20"/>
              </w:rPr>
              <w:t>(</w:t>
            </w:r>
            <w:r>
              <w:rPr>
                <w:sz w:val="20"/>
                <w:szCs w:val="20"/>
              </w:rPr>
              <w:t>4</w:t>
            </w:r>
            <w:r w:rsidRPr="00501B0C">
              <w:rPr>
                <w:sz w:val="20"/>
                <w:szCs w:val="20"/>
              </w:rPr>
              <w:t>)</w:t>
            </w:r>
          </w:p>
        </w:tc>
      </w:tr>
      <w:tr w:rsidR="00B22915" w:rsidRPr="00501B0C" w14:paraId="05761EBA" w14:textId="77777777" w:rsidTr="00B22915">
        <w:trPr>
          <w:trHeight w:val="255"/>
        </w:trPr>
        <w:tc>
          <w:tcPr>
            <w:tcW w:w="2790" w:type="dxa"/>
            <w:tcBorders>
              <w:top w:val="nil"/>
              <w:left w:val="nil"/>
              <w:bottom w:val="nil"/>
              <w:right w:val="nil"/>
            </w:tcBorders>
            <w:shd w:val="clear" w:color="auto" w:fill="auto"/>
            <w:noWrap/>
            <w:vAlign w:val="bottom"/>
            <w:hideMark/>
          </w:tcPr>
          <w:p w14:paraId="4CFB2C16" w14:textId="77777777" w:rsidR="00B22915" w:rsidRPr="00501B0C" w:rsidRDefault="00B22915" w:rsidP="00B22915">
            <w:pPr>
              <w:rPr>
                <w:sz w:val="20"/>
                <w:szCs w:val="20"/>
              </w:rPr>
            </w:pPr>
          </w:p>
        </w:tc>
        <w:tc>
          <w:tcPr>
            <w:tcW w:w="1530" w:type="dxa"/>
            <w:tcBorders>
              <w:top w:val="nil"/>
              <w:left w:val="nil"/>
              <w:bottom w:val="nil"/>
              <w:right w:val="nil"/>
            </w:tcBorders>
            <w:shd w:val="clear" w:color="auto" w:fill="auto"/>
            <w:noWrap/>
            <w:vAlign w:val="bottom"/>
            <w:hideMark/>
          </w:tcPr>
          <w:p w14:paraId="5AD724E7" w14:textId="77777777" w:rsidR="00B22915" w:rsidRPr="00501B0C" w:rsidRDefault="00B22915" w:rsidP="00B22915">
            <w:pPr>
              <w:jc w:val="center"/>
              <w:rPr>
                <w:sz w:val="20"/>
                <w:szCs w:val="20"/>
              </w:rPr>
            </w:pPr>
            <w:r w:rsidRPr="00501B0C">
              <w:rPr>
                <w:sz w:val="20"/>
                <w:szCs w:val="20"/>
              </w:rPr>
              <w:t xml:space="preserve">12th </w:t>
            </w:r>
            <w:r>
              <w:rPr>
                <w:sz w:val="20"/>
                <w:szCs w:val="20"/>
              </w:rPr>
              <w:t>G</w:t>
            </w:r>
            <w:r w:rsidRPr="00501B0C">
              <w:rPr>
                <w:sz w:val="20"/>
                <w:szCs w:val="20"/>
              </w:rPr>
              <w:t xml:space="preserve">rade </w:t>
            </w:r>
            <w:r>
              <w:rPr>
                <w:sz w:val="20"/>
                <w:szCs w:val="20"/>
              </w:rPr>
              <w:t>C</w:t>
            </w:r>
            <w:r w:rsidRPr="00501B0C">
              <w:rPr>
                <w:sz w:val="20"/>
                <w:szCs w:val="20"/>
              </w:rPr>
              <w:t xml:space="preserve">ollege </w:t>
            </w:r>
            <w:r>
              <w:rPr>
                <w:sz w:val="20"/>
                <w:szCs w:val="20"/>
              </w:rPr>
              <w:t>C</w:t>
            </w:r>
            <w:r w:rsidRPr="00501B0C">
              <w:rPr>
                <w:sz w:val="20"/>
                <w:szCs w:val="20"/>
              </w:rPr>
              <w:t>redits</w:t>
            </w:r>
          </w:p>
        </w:tc>
        <w:tc>
          <w:tcPr>
            <w:tcW w:w="1600" w:type="dxa"/>
            <w:tcBorders>
              <w:top w:val="nil"/>
              <w:left w:val="nil"/>
              <w:bottom w:val="nil"/>
              <w:right w:val="nil"/>
            </w:tcBorders>
            <w:shd w:val="clear" w:color="auto" w:fill="auto"/>
            <w:noWrap/>
            <w:vAlign w:val="bottom"/>
          </w:tcPr>
          <w:p w14:paraId="0AAF94C1" w14:textId="77777777" w:rsidR="00B22915" w:rsidRPr="00501B0C" w:rsidRDefault="00B22915" w:rsidP="00B22915">
            <w:pPr>
              <w:jc w:val="center"/>
              <w:rPr>
                <w:sz w:val="20"/>
                <w:szCs w:val="20"/>
              </w:rPr>
            </w:pPr>
            <w:r w:rsidRPr="004B040D">
              <w:rPr>
                <w:color w:val="000000"/>
                <w:sz w:val="20"/>
                <w:szCs w:val="20"/>
              </w:rPr>
              <w:t>Immediate College</w:t>
            </w:r>
          </w:p>
        </w:tc>
        <w:tc>
          <w:tcPr>
            <w:tcW w:w="1620" w:type="dxa"/>
            <w:tcBorders>
              <w:top w:val="nil"/>
              <w:left w:val="nil"/>
              <w:bottom w:val="nil"/>
              <w:right w:val="nil"/>
            </w:tcBorders>
            <w:shd w:val="clear" w:color="auto" w:fill="auto"/>
            <w:noWrap/>
            <w:vAlign w:val="bottom"/>
          </w:tcPr>
          <w:p w14:paraId="0CEA53A2" w14:textId="77777777" w:rsidR="00B22915" w:rsidRPr="00501B0C" w:rsidRDefault="00B22915" w:rsidP="00B22915">
            <w:pPr>
              <w:jc w:val="center"/>
              <w:rPr>
                <w:sz w:val="20"/>
                <w:szCs w:val="20"/>
              </w:rPr>
            </w:pPr>
            <w:r w:rsidRPr="004B040D">
              <w:rPr>
                <w:color w:val="000000"/>
                <w:sz w:val="20"/>
                <w:szCs w:val="20"/>
              </w:rPr>
              <w:t>4-Year College</w:t>
            </w:r>
          </w:p>
        </w:tc>
        <w:tc>
          <w:tcPr>
            <w:tcW w:w="1520" w:type="dxa"/>
            <w:tcBorders>
              <w:top w:val="nil"/>
              <w:left w:val="nil"/>
              <w:bottom w:val="nil"/>
              <w:right w:val="nil"/>
            </w:tcBorders>
            <w:shd w:val="clear" w:color="auto" w:fill="auto"/>
            <w:noWrap/>
            <w:vAlign w:val="bottom"/>
          </w:tcPr>
          <w:p w14:paraId="14972514" w14:textId="77777777" w:rsidR="00B22915" w:rsidRPr="00501B0C" w:rsidRDefault="00B22915" w:rsidP="00B22915">
            <w:pPr>
              <w:jc w:val="center"/>
              <w:rPr>
                <w:sz w:val="20"/>
                <w:szCs w:val="20"/>
              </w:rPr>
            </w:pPr>
            <w:r w:rsidRPr="004B040D">
              <w:rPr>
                <w:color w:val="000000"/>
                <w:sz w:val="20"/>
                <w:szCs w:val="20"/>
              </w:rPr>
              <w:t>On-Time HS Graduation</w:t>
            </w:r>
          </w:p>
        </w:tc>
      </w:tr>
      <w:tr w:rsidR="00B22915" w:rsidRPr="00501B0C" w14:paraId="74AE9B73" w14:textId="77777777" w:rsidTr="00B22915">
        <w:trPr>
          <w:trHeight w:val="255"/>
        </w:trPr>
        <w:tc>
          <w:tcPr>
            <w:tcW w:w="2790" w:type="dxa"/>
            <w:tcBorders>
              <w:top w:val="single" w:sz="4" w:space="0" w:color="000000"/>
              <w:left w:val="nil"/>
              <w:bottom w:val="nil"/>
              <w:right w:val="nil"/>
            </w:tcBorders>
            <w:shd w:val="clear" w:color="auto" w:fill="auto"/>
            <w:noWrap/>
            <w:vAlign w:val="bottom"/>
            <w:hideMark/>
          </w:tcPr>
          <w:p w14:paraId="1F856A5D" w14:textId="77777777" w:rsidR="00B22915" w:rsidRPr="00501B0C" w:rsidRDefault="00B22915" w:rsidP="00B22915">
            <w:pPr>
              <w:rPr>
                <w:sz w:val="20"/>
                <w:szCs w:val="20"/>
              </w:rPr>
            </w:pPr>
            <w:r w:rsidRPr="00501B0C">
              <w:rPr>
                <w:sz w:val="20"/>
                <w:szCs w:val="20"/>
              </w:rPr>
              <w:t> </w:t>
            </w:r>
          </w:p>
        </w:tc>
        <w:tc>
          <w:tcPr>
            <w:tcW w:w="1530" w:type="dxa"/>
            <w:tcBorders>
              <w:top w:val="single" w:sz="4" w:space="0" w:color="000000"/>
              <w:left w:val="nil"/>
              <w:bottom w:val="nil"/>
              <w:right w:val="nil"/>
            </w:tcBorders>
            <w:shd w:val="clear" w:color="auto" w:fill="auto"/>
            <w:noWrap/>
            <w:vAlign w:val="bottom"/>
            <w:hideMark/>
          </w:tcPr>
          <w:p w14:paraId="5C4E2C61" w14:textId="77777777" w:rsidR="00B22915" w:rsidRPr="00501B0C" w:rsidRDefault="00B22915" w:rsidP="00B22915">
            <w:pPr>
              <w:jc w:val="center"/>
              <w:rPr>
                <w:sz w:val="20"/>
                <w:szCs w:val="20"/>
              </w:rPr>
            </w:pPr>
            <w:r w:rsidRPr="00501B0C">
              <w:rPr>
                <w:sz w:val="20"/>
                <w:szCs w:val="20"/>
              </w:rPr>
              <w:t> </w:t>
            </w:r>
          </w:p>
        </w:tc>
        <w:tc>
          <w:tcPr>
            <w:tcW w:w="1600" w:type="dxa"/>
            <w:tcBorders>
              <w:top w:val="single" w:sz="4" w:space="0" w:color="000000"/>
              <w:left w:val="nil"/>
              <w:bottom w:val="nil"/>
              <w:right w:val="nil"/>
            </w:tcBorders>
            <w:shd w:val="clear" w:color="auto" w:fill="auto"/>
            <w:noWrap/>
            <w:vAlign w:val="bottom"/>
          </w:tcPr>
          <w:p w14:paraId="3E0960BA" w14:textId="77777777" w:rsidR="00B22915" w:rsidRPr="00501B0C" w:rsidRDefault="00B22915" w:rsidP="00B22915">
            <w:pPr>
              <w:jc w:val="center"/>
              <w:rPr>
                <w:sz w:val="20"/>
                <w:szCs w:val="20"/>
              </w:rPr>
            </w:pPr>
            <w:r w:rsidRPr="00501B0C">
              <w:rPr>
                <w:sz w:val="20"/>
                <w:szCs w:val="20"/>
              </w:rPr>
              <w:t> </w:t>
            </w:r>
          </w:p>
        </w:tc>
        <w:tc>
          <w:tcPr>
            <w:tcW w:w="1620" w:type="dxa"/>
            <w:tcBorders>
              <w:top w:val="single" w:sz="4" w:space="0" w:color="000000"/>
              <w:left w:val="nil"/>
              <w:bottom w:val="nil"/>
              <w:right w:val="nil"/>
            </w:tcBorders>
            <w:shd w:val="clear" w:color="auto" w:fill="auto"/>
            <w:noWrap/>
            <w:vAlign w:val="bottom"/>
          </w:tcPr>
          <w:p w14:paraId="08D09119" w14:textId="77777777" w:rsidR="00B22915" w:rsidRPr="00501B0C" w:rsidRDefault="00B22915" w:rsidP="00B22915">
            <w:pPr>
              <w:jc w:val="center"/>
              <w:rPr>
                <w:sz w:val="20"/>
                <w:szCs w:val="20"/>
              </w:rPr>
            </w:pPr>
            <w:r w:rsidRPr="00501B0C">
              <w:rPr>
                <w:sz w:val="20"/>
                <w:szCs w:val="20"/>
              </w:rPr>
              <w:t> </w:t>
            </w:r>
          </w:p>
        </w:tc>
        <w:tc>
          <w:tcPr>
            <w:tcW w:w="1520" w:type="dxa"/>
            <w:tcBorders>
              <w:top w:val="single" w:sz="4" w:space="0" w:color="000000"/>
              <w:left w:val="nil"/>
              <w:bottom w:val="nil"/>
              <w:right w:val="nil"/>
            </w:tcBorders>
            <w:shd w:val="clear" w:color="auto" w:fill="auto"/>
            <w:noWrap/>
            <w:vAlign w:val="bottom"/>
          </w:tcPr>
          <w:p w14:paraId="445B112C" w14:textId="77777777" w:rsidR="00B22915" w:rsidRPr="00501B0C" w:rsidRDefault="00B22915" w:rsidP="00B22915">
            <w:pPr>
              <w:jc w:val="center"/>
              <w:rPr>
                <w:sz w:val="20"/>
                <w:szCs w:val="20"/>
              </w:rPr>
            </w:pPr>
            <w:r w:rsidRPr="00501B0C">
              <w:rPr>
                <w:sz w:val="20"/>
                <w:szCs w:val="20"/>
              </w:rPr>
              <w:t> </w:t>
            </w:r>
          </w:p>
        </w:tc>
      </w:tr>
      <w:tr w:rsidR="00B22915" w:rsidRPr="00501B0C" w14:paraId="7D860B6A" w14:textId="77777777" w:rsidTr="00B22915">
        <w:trPr>
          <w:trHeight w:val="255"/>
        </w:trPr>
        <w:tc>
          <w:tcPr>
            <w:tcW w:w="2790" w:type="dxa"/>
            <w:tcBorders>
              <w:top w:val="nil"/>
              <w:left w:val="nil"/>
              <w:bottom w:val="nil"/>
              <w:right w:val="nil"/>
            </w:tcBorders>
            <w:shd w:val="clear" w:color="auto" w:fill="auto"/>
            <w:noWrap/>
            <w:vAlign w:val="bottom"/>
            <w:hideMark/>
          </w:tcPr>
          <w:p w14:paraId="698E7C24" w14:textId="77777777" w:rsidR="00B22915" w:rsidRPr="00501B0C" w:rsidRDefault="00B22915" w:rsidP="00B22915">
            <w:pPr>
              <w:rPr>
                <w:sz w:val="20"/>
                <w:szCs w:val="20"/>
              </w:rPr>
            </w:pPr>
            <w:r w:rsidRPr="00501B0C">
              <w:rPr>
                <w:sz w:val="20"/>
                <w:szCs w:val="20"/>
              </w:rPr>
              <w:t>EL X Post X Treated</w:t>
            </w:r>
          </w:p>
        </w:tc>
        <w:tc>
          <w:tcPr>
            <w:tcW w:w="1530" w:type="dxa"/>
            <w:tcBorders>
              <w:top w:val="nil"/>
              <w:left w:val="nil"/>
              <w:bottom w:val="nil"/>
              <w:right w:val="nil"/>
            </w:tcBorders>
            <w:shd w:val="clear" w:color="auto" w:fill="auto"/>
            <w:noWrap/>
            <w:vAlign w:val="bottom"/>
            <w:hideMark/>
          </w:tcPr>
          <w:p w14:paraId="1A3D6A8A" w14:textId="77777777" w:rsidR="00B22915" w:rsidRPr="00501B0C" w:rsidRDefault="00B22915" w:rsidP="00B22915">
            <w:pPr>
              <w:jc w:val="center"/>
              <w:rPr>
                <w:b/>
                <w:bCs/>
                <w:sz w:val="20"/>
                <w:szCs w:val="20"/>
              </w:rPr>
            </w:pPr>
            <w:r w:rsidRPr="00501B0C">
              <w:rPr>
                <w:sz w:val="20"/>
                <w:szCs w:val="20"/>
              </w:rPr>
              <w:t>0.767</w:t>
            </w:r>
          </w:p>
        </w:tc>
        <w:tc>
          <w:tcPr>
            <w:tcW w:w="1600" w:type="dxa"/>
            <w:tcBorders>
              <w:top w:val="nil"/>
              <w:left w:val="nil"/>
              <w:bottom w:val="nil"/>
              <w:right w:val="nil"/>
            </w:tcBorders>
            <w:shd w:val="clear" w:color="auto" w:fill="auto"/>
            <w:noWrap/>
            <w:vAlign w:val="bottom"/>
          </w:tcPr>
          <w:p w14:paraId="412CF478" w14:textId="77777777" w:rsidR="00B22915" w:rsidRPr="00501B0C" w:rsidRDefault="00B22915" w:rsidP="00B22915">
            <w:pPr>
              <w:jc w:val="center"/>
              <w:rPr>
                <w:b/>
                <w:bCs/>
                <w:sz w:val="20"/>
                <w:szCs w:val="20"/>
              </w:rPr>
            </w:pPr>
            <w:r w:rsidRPr="00501B0C">
              <w:rPr>
                <w:sz w:val="20"/>
                <w:szCs w:val="20"/>
              </w:rPr>
              <w:t>-0.017</w:t>
            </w:r>
          </w:p>
        </w:tc>
        <w:tc>
          <w:tcPr>
            <w:tcW w:w="1620" w:type="dxa"/>
            <w:tcBorders>
              <w:top w:val="nil"/>
              <w:left w:val="nil"/>
              <w:bottom w:val="nil"/>
              <w:right w:val="nil"/>
            </w:tcBorders>
            <w:shd w:val="clear" w:color="auto" w:fill="auto"/>
            <w:noWrap/>
            <w:vAlign w:val="bottom"/>
          </w:tcPr>
          <w:p w14:paraId="74AB6C3E" w14:textId="77777777" w:rsidR="00B22915" w:rsidRPr="00501B0C" w:rsidRDefault="00B22915" w:rsidP="00B22915">
            <w:pPr>
              <w:jc w:val="center"/>
              <w:rPr>
                <w:b/>
                <w:bCs/>
                <w:sz w:val="20"/>
                <w:szCs w:val="20"/>
              </w:rPr>
            </w:pPr>
            <w:r w:rsidRPr="00501B0C">
              <w:rPr>
                <w:sz w:val="20"/>
                <w:szCs w:val="20"/>
              </w:rPr>
              <w:t>-0.095*</w:t>
            </w:r>
          </w:p>
        </w:tc>
        <w:tc>
          <w:tcPr>
            <w:tcW w:w="1520" w:type="dxa"/>
            <w:tcBorders>
              <w:top w:val="nil"/>
              <w:left w:val="nil"/>
              <w:bottom w:val="nil"/>
              <w:right w:val="nil"/>
            </w:tcBorders>
            <w:shd w:val="clear" w:color="auto" w:fill="auto"/>
            <w:noWrap/>
            <w:vAlign w:val="bottom"/>
          </w:tcPr>
          <w:p w14:paraId="6F647FC1" w14:textId="77777777" w:rsidR="00B22915" w:rsidRPr="00501B0C" w:rsidRDefault="00B22915" w:rsidP="00B22915">
            <w:pPr>
              <w:jc w:val="center"/>
              <w:rPr>
                <w:b/>
                <w:bCs/>
                <w:sz w:val="20"/>
                <w:szCs w:val="20"/>
              </w:rPr>
            </w:pPr>
            <w:r w:rsidRPr="00501B0C">
              <w:rPr>
                <w:sz w:val="20"/>
                <w:szCs w:val="20"/>
              </w:rPr>
              <w:t>0.009</w:t>
            </w:r>
          </w:p>
        </w:tc>
      </w:tr>
      <w:tr w:rsidR="00B22915" w:rsidRPr="00501B0C" w14:paraId="06CE3D2F" w14:textId="77777777" w:rsidTr="00B22915">
        <w:trPr>
          <w:trHeight w:val="255"/>
        </w:trPr>
        <w:tc>
          <w:tcPr>
            <w:tcW w:w="2790" w:type="dxa"/>
            <w:tcBorders>
              <w:top w:val="nil"/>
              <w:left w:val="nil"/>
              <w:bottom w:val="nil"/>
              <w:right w:val="nil"/>
            </w:tcBorders>
            <w:shd w:val="clear" w:color="auto" w:fill="auto"/>
            <w:noWrap/>
            <w:vAlign w:val="bottom"/>
            <w:hideMark/>
          </w:tcPr>
          <w:p w14:paraId="1A70EEE6" w14:textId="77777777" w:rsidR="00B22915" w:rsidRPr="00501B0C" w:rsidRDefault="00B22915" w:rsidP="00B22915">
            <w:pPr>
              <w:jc w:val="center"/>
              <w:rPr>
                <w:b/>
                <w:bCs/>
                <w:sz w:val="20"/>
                <w:szCs w:val="20"/>
              </w:rPr>
            </w:pPr>
          </w:p>
        </w:tc>
        <w:tc>
          <w:tcPr>
            <w:tcW w:w="1530" w:type="dxa"/>
            <w:tcBorders>
              <w:top w:val="nil"/>
              <w:left w:val="nil"/>
              <w:bottom w:val="nil"/>
              <w:right w:val="nil"/>
            </w:tcBorders>
            <w:shd w:val="clear" w:color="auto" w:fill="auto"/>
            <w:noWrap/>
            <w:vAlign w:val="bottom"/>
            <w:hideMark/>
          </w:tcPr>
          <w:p w14:paraId="7989BE19" w14:textId="77777777" w:rsidR="00B22915" w:rsidRPr="00501B0C" w:rsidRDefault="00B22915" w:rsidP="00B22915">
            <w:pPr>
              <w:jc w:val="center"/>
              <w:rPr>
                <w:sz w:val="20"/>
                <w:szCs w:val="20"/>
              </w:rPr>
            </w:pPr>
            <w:r w:rsidRPr="00501B0C">
              <w:rPr>
                <w:sz w:val="20"/>
                <w:szCs w:val="20"/>
              </w:rPr>
              <w:t>(0.596)</w:t>
            </w:r>
          </w:p>
        </w:tc>
        <w:tc>
          <w:tcPr>
            <w:tcW w:w="1600" w:type="dxa"/>
            <w:tcBorders>
              <w:top w:val="nil"/>
              <w:left w:val="nil"/>
              <w:bottom w:val="nil"/>
              <w:right w:val="nil"/>
            </w:tcBorders>
            <w:shd w:val="clear" w:color="auto" w:fill="auto"/>
            <w:noWrap/>
            <w:vAlign w:val="bottom"/>
          </w:tcPr>
          <w:p w14:paraId="344ECF67" w14:textId="77777777" w:rsidR="00B22915" w:rsidRPr="00501B0C" w:rsidRDefault="00B22915" w:rsidP="00B22915">
            <w:pPr>
              <w:jc w:val="center"/>
              <w:rPr>
                <w:sz w:val="20"/>
                <w:szCs w:val="20"/>
              </w:rPr>
            </w:pPr>
            <w:r w:rsidRPr="00501B0C">
              <w:rPr>
                <w:sz w:val="20"/>
                <w:szCs w:val="20"/>
              </w:rPr>
              <w:t>(0.052)</w:t>
            </w:r>
          </w:p>
        </w:tc>
        <w:tc>
          <w:tcPr>
            <w:tcW w:w="1620" w:type="dxa"/>
            <w:tcBorders>
              <w:top w:val="nil"/>
              <w:left w:val="nil"/>
              <w:bottom w:val="nil"/>
              <w:right w:val="nil"/>
            </w:tcBorders>
            <w:shd w:val="clear" w:color="auto" w:fill="auto"/>
            <w:noWrap/>
            <w:vAlign w:val="bottom"/>
          </w:tcPr>
          <w:p w14:paraId="4E7761E2" w14:textId="77777777" w:rsidR="00B22915" w:rsidRPr="00501B0C" w:rsidRDefault="00B22915" w:rsidP="00B22915">
            <w:pPr>
              <w:jc w:val="center"/>
              <w:rPr>
                <w:sz w:val="20"/>
                <w:szCs w:val="20"/>
              </w:rPr>
            </w:pPr>
            <w:r w:rsidRPr="00501B0C">
              <w:rPr>
                <w:sz w:val="20"/>
                <w:szCs w:val="20"/>
              </w:rPr>
              <w:t>(0.054)</w:t>
            </w:r>
          </w:p>
        </w:tc>
        <w:tc>
          <w:tcPr>
            <w:tcW w:w="1520" w:type="dxa"/>
            <w:tcBorders>
              <w:top w:val="nil"/>
              <w:left w:val="nil"/>
              <w:bottom w:val="nil"/>
              <w:right w:val="nil"/>
            </w:tcBorders>
            <w:shd w:val="clear" w:color="auto" w:fill="auto"/>
            <w:noWrap/>
            <w:vAlign w:val="bottom"/>
          </w:tcPr>
          <w:p w14:paraId="54F2EF2C" w14:textId="77777777" w:rsidR="00B22915" w:rsidRPr="00501B0C" w:rsidRDefault="00B22915" w:rsidP="00B22915">
            <w:pPr>
              <w:jc w:val="center"/>
              <w:rPr>
                <w:sz w:val="20"/>
                <w:szCs w:val="20"/>
              </w:rPr>
            </w:pPr>
            <w:r w:rsidRPr="00501B0C">
              <w:rPr>
                <w:sz w:val="20"/>
                <w:szCs w:val="20"/>
              </w:rPr>
              <w:t>(0.042)</w:t>
            </w:r>
          </w:p>
        </w:tc>
      </w:tr>
      <w:tr w:rsidR="00B22915" w:rsidRPr="00501B0C" w14:paraId="25CD54C0" w14:textId="77777777" w:rsidTr="00B22915">
        <w:trPr>
          <w:trHeight w:val="255"/>
        </w:trPr>
        <w:tc>
          <w:tcPr>
            <w:tcW w:w="2790" w:type="dxa"/>
            <w:tcBorders>
              <w:top w:val="nil"/>
              <w:left w:val="nil"/>
              <w:bottom w:val="nil"/>
              <w:right w:val="nil"/>
            </w:tcBorders>
            <w:shd w:val="clear" w:color="auto" w:fill="auto"/>
            <w:noWrap/>
            <w:vAlign w:val="bottom"/>
            <w:hideMark/>
          </w:tcPr>
          <w:p w14:paraId="310DF184" w14:textId="77777777" w:rsidR="00B22915" w:rsidRPr="00501B0C" w:rsidRDefault="00B22915" w:rsidP="00B22915">
            <w:pPr>
              <w:rPr>
                <w:sz w:val="20"/>
                <w:szCs w:val="20"/>
              </w:rPr>
            </w:pPr>
            <w:r w:rsidRPr="00501B0C">
              <w:rPr>
                <w:sz w:val="20"/>
                <w:szCs w:val="20"/>
              </w:rPr>
              <w:t>Observations</w:t>
            </w:r>
          </w:p>
        </w:tc>
        <w:tc>
          <w:tcPr>
            <w:tcW w:w="1530" w:type="dxa"/>
            <w:tcBorders>
              <w:top w:val="nil"/>
              <w:left w:val="nil"/>
              <w:bottom w:val="nil"/>
              <w:right w:val="nil"/>
            </w:tcBorders>
            <w:shd w:val="clear" w:color="auto" w:fill="auto"/>
            <w:noWrap/>
            <w:vAlign w:val="bottom"/>
            <w:hideMark/>
          </w:tcPr>
          <w:p w14:paraId="7EF72CB1" w14:textId="77777777" w:rsidR="00B22915" w:rsidRPr="00501B0C" w:rsidRDefault="00B22915" w:rsidP="00B22915">
            <w:pPr>
              <w:jc w:val="center"/>
              <w:rPr>
                <w:sz w:val="20"/>
                <w:szCs w:val="20"/>
              </w:rPr>
            </w:pPr>
            <w:r w:rsidRPr="00501B0C">
              <w:rPr>
                <w:sz w:val="20"/>
                <w:szCs w:val="20"/>
              </w:rPr>
              <w:t>26,311</w:t>
            </w:r>
          </w:p>
        </w:tc>
        <w:tc>
          <w:tcPr>
            <w:tcW w:w="1600" w:type="dxa"/>
            <w:tcBorders>
              <w:top w:val="nil"/>
              <w:left w:val="nil"/>
              <w:bottom w:val="nil"/>
              <w:right w:val="nil"/>
            </w:tcBorders>
            <w:shd w:val="clear" w:color="auto" w:fill="auto"/>
            <w:noWrap/>
            <w:vAlign w:val="bottom"/>
          </w:tcPr>
          <w:p w14:paraId="6B7A7709" w14:textId="77777777" w:rsidR="00B22915" w:rsidRPr="00501B0C" w:rsidRDefault="00B22915" w:rsidP="00B22915">
            <w:pPr>
              <w:jc w:val="center"/>
              <w:rPr>
                <w:sz w:val="20"/>
                <w:szCs w:val="20"/>
              </w:rPr>
            </w:pPr>
            <w:r w:rsidRPr="00501B0C">
              <w:rPr>
                <w:sz w:val="20"/>
                <w:szCs w:val="20"/>
              </w:rPr>
              <w:t>26,311</w:t>
            </w:r>
          </w:p>
        </w:tc>
        <w:tc>
          <w:tcPr>
            <w:tcW w:w="1620" w:type="dxa"/>
            <w:tcBorders>
              <w:top w:val="nil"/>
              <w:left w:val="nil"/>
              <w:bottom w:val="nil"/>
              <w:right w:val="nil"/>
            </w:tcBorders>
            <w:shd w:val="clear" w:color="auto" w:fill="auto"/>
            <w:noWrap/>
            <w:vAlign w:val="bottom"/>
          </w:tcPr>
          <w:p w14:paraId="54359479" w14:textId="77777777" w:rsidR="00B22915" w:rsidRPr="00501B0C" w:rsidRDefault="00B22915" w:rsidP="00B22915">
            <w:pPr>
              <w:jc w:val="center"/>
              <w:rPr>
                <w:sz w:val="20"/>
                <w:szCs w:val="20"/>
              </w:rPr>
            </w:pPr>
            <w:r w:rsidRPr="00501B0C">
              <w:rPr>
                <w:sz w:val="20"/>
                <w:szCs w:val="20"/>
              </w:rPr>
              <w:t>26,311</w:t>
            </w:r>
          </w:p>
        </w:tc>
        <w:tc>
          <w:tcPr>
            <w:tcW w:w="1520" w:type="dxa"/>
            <w:tcBorders>
              <w:top w:val="nil"/>
              <w:left w:val="nil"/>
              <w:bottom w:val="nil"/>
              <w:right w:val="nil"/>
            </w:tcBorders>
            <w:shd w:val="clear" w:color="auto" w:fill="auto"/>
            <w:noWrap/>
            <w:vAlign w:val="bottom"/>
          </w:tcPr>
          <w:p w14:paraId="268DB7B5" w14:textId="77777777" w:rsidR="00B22915" w:rsidRPr="00501B0C" w:rsidRDefault="00B22915" w:rsidP="00B22915">
            <w:pPr>
              <w:jc w:val="center"/>
              <w:rPr>
                <w:sz w:val="20"/>
                <w:szCs w:val="20"/>
              </w:rPr>
            </w:pPr>
            <w:r w:rsidRPr="00501B0C">
              <w:rPr>
                <w:sz w:val="20"/>
                <w:szCs w:val="20"/>
              </w:rPr>
              <w:t>26,311</w:t>
            </w:r>
          </w:p>
        </w:tc>
      </w:tr>
      <w:tr w:rsidR="00B22915" w:rsidRPr="00501B0C" w14:paraId="2923E972" w14:textId="77777777" w:rsidTr="00B22915">
        <w:trPr>
          <w:trHeight w:val="255"/>
        </w:trPr>
        <w:tc>
          <w:tcPr>
            <w:tcW w:w="2790" w:type="dxa"/>
            <w:tcBorders>
              <w:top w:val="nil"/>
              <w:left w:val="nil"/>
              <w:bottom w:val="single" w:sz="4" w:space="0" w:color="000000"/>
              <w:right w:val="nil"/>
            </w:tcBorders>
            <w:shd w:val="clear" w:color="auto" w:fill="auto"/>
            <w:noWrap/>
            <w:vAlign w:val="bottom"/>
            <w:hideMark/>
          </w:tcPr>
          <w:p w14:paraId="513913DA" w14:textId="77777777" w:rsidR="00B22915" w:rsidRPr="00501B0C" w:rsidRDefault="00B22915" w:rsidP="00B22915">
            <w:pPr>
              <w:rPr>
                <w:sz w:val="20"/>
                <w:szCs w:val="20"/>
              </w:rPr>
            </w:pPr>
            <w:r w:rsidRPr="00501B0C">
              <w:rPr>
                <w:sz w:val="20"/>
                <w:szCs w:val="20"/>
              </w:rPr>
              <w:t>R-squared</w:t>
            </w:r>
          </w:p>
        </w:tc>
        <w:tc>
          <w:tcPr>
            <w:tcW w:w="1530" w:type="dxa"/>
            <w:tcBorders>
              <w:top w:val="nil"/>
              <w:left w:val="nil"/>
              <w:bottom w:val="single" w:sz="4" w:space="0" w:color="000000"/>
              <w:right w:val="nil"/>
            </w:tcBorders>
            <w:shd w:val="clear" w:color="auto" w:fill="auto"/>
            <w:noWrap/>
            <w:vAlign w:val="bottom"/>
            <w:hideMark/>
          </w:tcPr>
          <w:p w14:paraId="15BB84B0" w14:textId="77777777" w:rsidR="00B22915" w:rsidRPr="00501B0C" w:rsidRDefault="00B22915" w:rsidP="00B22915">
            <w:pPr>
              <w:jc w:val="center"/>
              <w:rPr>
                <w:sz w:val="20"/>
                <w:szCs w:val="20"/>
              </w:rPr>
            </w:pPr>
            <w:r w:rsidRPr="00501B0C">
              <w:rPr>
                <w:sz w:val="20"/>
                <w:szCs w:val="20"/>
              </w:rPr>
              <w:t>0.129</w:t>
            </w:r>
          </w:p>
        </w:tc>
        <w:tc>
          <w:tcPr>
            <w:tcW w:w="1600" w:type="dxa"/>
            <w:tcBorders>
              <w:top w:val="nil"/>
              <w:left w:val="nil"/>
              <w:bottom w:val="single" w:sz="4" w:space="0" w:color="000000"/>
              <w:right w:val="nil"/>
            </w:tcBorders>
            <w:shd w:val="clear" w:color="auto" w:fill="auto"/>
            <w:noWrap/>
            <w:vAlign w:val="bottom"/>
          </w:tcPr>
          <w:p w14:paraId="55DE1C64" w14:textId="77777777" w:rsidR="00B22915" w:rsidRPr="00501B0C" w:rsidRDefault="00B22915" w:rsidP="00B22915">
            <w:pPr>
              <w:jc w:val="center"/>
              <w:rPr>
                <w:sz w:val="20"/>
                <w:szCs w:val="20"/>
              </w:rPr>
            </w:pPr>
            <w:r w:rsidRPr="00501B0C">
              <w:rPr>
                <w:sz w:val="20"/>
                <w:szCs w:val="20"/>
              </w:rPr>
              <w:t>0.195</w:t>
            </w:r>
          </w:p>
        </w:tc>
        <w:tc>
          <w:tcPr>
            <w:tcW w:w="1620" w:type="dxa"/>
            <w:tcBorders>
              <w:top w:val="nil"/>
              <w:left w:val="nil"/>
              <w:bottom w:val="single" w:sz="4" w:space="0" w:color="000000"/>
              <w:right w:val="nil"/>
            </w:tcBorders>
            <w:shd w:val="clear" w:color="auto" w:fill="auto"/>
            <w:noWrap/>
            <w:vAlign w:val="bottom"/>
          </w:tcPr>
          <w:p w14:paraId="44F41AF8" w14:textId="77777777" w:rsidR="00B22915" w:rsidRPr="00501B0C" w:rsidRDefault="00B22915" w:rsidP="00B22915">
            <w:pPr>
              <w:jc w:val="center"/>
              <w:rPr>
                <w:sz w:val="20"/>
                <w:szCs w:val="20"/>
              </w:rPr>
            </w:pPr>
            <w:r w:rsidRPr="00501B0C">
              <w:rPr>
                <w:sz w:val="20"/>
                <w:szCs w:val="20"/>
              </w:rPr>
              <w:t>0.214</w:t>
            </w:r>
          </w:p>
        </w:tc>
        <w:tc>
          <w:tcPr>
            <w:tcW w:w="1520" w:type="dxa"/>
            <w:tcBorders>
              <w:top w:val="nil"/>
              <w:left w:val="nil"/>
              <w:bottom w:val="single" w:sz="4" w:space="0" w:color="000000"/>
              <w:right w:val="nil"/>
            </w:tcBorders>
            <w:shd w:val="clear" w:color="auto" w:fill="auto"/>
            <w:noWrap/>
            <w:vAlign w:val="bottom"/>
          </w:tcPr>
          <w:p w14:paraId="63BB727C" w14:textId="77777777" w:rsidR="00B22915" w:rsidRPr="00501B0C" w:rsidRDefault="00B22915" w:rsidP="00B22915">
            <w:pPr>
              <w:jc w:val="center"/>
              <w:rPr>
                <w:sz w:val="20"/>
                <w:szCs w:val="20"/>
              </w:rPr>
            </w:pPr>
            <w:r w:rsidRPr="00501B0C">
              <w:rPr>
                <w:sz w:val="20"/>
                <w:szCs w:val="20"/>
              </w:rPr>
              <w:t>0.245</w:t>
            </w:r>
          </w:p>
        </w:tc>
      </w:tr>
      <w:tr w:rsidR="00B22915" w:rsidRPr="00501B0C" w14:paraId="654C0CD8" w14:textId="77777777" w:rsidTr="00B22915">
        <w:trPr>
          <w:trHeight w:val="255"/>
        </w:trPr>
        <w:tc>
          <w:tcPr>
            <w:tcW w:w="9060" w:type="dxa"/>
            <w:gridSpan w:val="5"/>
            <w:tcBorders>
              <w:top w:val="nil"/>
              <w:left w:val="nil"/>
              <w:bottom w:val="nil"/>
              <w:right w:val="nil"/>
            </w:tcBorders>
            <w:shd w:val="clear" w:color="auto" w:fill="auto"/>
            <w:noWrap/>
            <w:vAlign w:val="bottom"/>
            <w:hideMark/>
          </w:tcPr>
          <w:p w14:paraId="61BF918E" w14:textId="77777777" w:rsidR="00B22915" w:rsidRPr="00501B0C" w:rsidRDefault="00B22915" w:rsidP="00B22915">
            <w:pPr>
              <w:rPr>
                <w:sz w:val="20"/>
                <w:szCs w:val="20"/>
              </w:rPr>
            </w:pPr>
            <w:r w:rsidRPr="00501B0C">
              <w:rPr>
                <w:sz w:val="20"/>
                <w:szCs w:val="20"/>
              </w:rPr>
              <w:t xml:space="preserve">Robust standard errors in parentheses. *** p&lt;0.01, ** p&lt;0.05, * p&lt;0.1. Estimates were obtained using a DDD model. Sample includes students with non-missing data in high school graduation cohorts 2013 to 2019. </w:t>
            </w:r>
            <w:r w:rsidRPr="0095387F">
              <w:rPr>
                <w:sz w:val="20"/>
                <w:szCs w:val="20"/>
              </w:rPr>
              <w:t xml:space="preserve">Each column represents a separate regression. </w:t>
            </w:r>
            <w:r>
              <w:rPr>
                <w:sz w:val="20"/>
                <w:szCs w:val="20"/>
              </w:rPr>
              <w:t>Column (1) reports the number of college credits earned in 12</w:t>
            </w:r>
            <w:r w:rsidRPr="00942168">
              <w:rPr>
                <w:sz w:val="20"/>
                <w:szCs w:val="20"/>
                <w:vertAlign w:val="superscript"/>
              </w:rPr>
              <w:t>th</w:t>
            </w:r>
            <w:r>
              <w:rPr>
                <w:sz w:val="20"/>
                <w:szCs w:val="20"/>
              </w:rPr>
              <w:t xml:space="preserve"> grade. </w:t>
            </w:r>
            <w:r w:rsidRPr="0095387F">
              <w:rPr>
                <w:sz w:val="20"/>
                <w:szCs w:val="20"/>
              </w:rPr>
              <w:t xml:space="preserve">College credits from different colleges have been converted to a common scale. </w:t>
            </w:r>
            <w:r>
              <w:rPr>
                <w:sz w:val="20"/>
                <w:szCs w:val="20"/>
              </w:rPr>
              <w:t>Ten</w:t>
            </w:r>
            <w:r w:rsidRPr="0095387F">
              <w:rPr>
                <w:sz w:val="20"/>
                <w:szCs w:val="20"/>
              </w:rPr>
              <w:t xml:space="preserve"> credits are the equivalent of 2 semester-long courses or 1 year-long course.  Columns (2)-(4) report </w:t>
            </w:r>
            <w:r>
              <w:rPr>
                <w:sz w:val="20"/>
                <w:szCs w:val="20"/>
              </w:rPr>
              <w:t xml:space="preserve">linear probability estimates for </w:t>
            </w:r>
            <w:r w:rsidRPr="0095387F">
              <w:rPr>
                <w:sz w:val="20"/>
                <w:szCs w:val="20"/>
              </w:rPr>
              <w:t>binary dependent variables. “</w:t>
            </w:r>
            <w:r>
              <w:rPr>
                <w:sz w:val="20"/>
                <w:szCs w:val="20"/>
              </w:rPr>
              <w:t>I</w:t>
            </w:r>
            <w:r w:rsidRPr="0095387F">
              <w:rPr>
                <w:sz w:val="20"/>
                <w:szCs w:val="20"/>
              </w:rPr>
              <w:t xml:space="preserve">mmediate </w:t>
            </w:r>
            <w:r>
              <w:rPr>
                <w:sz w:val="20"/>
                <w:szCs w:val="20"/>
              </w:rPr>
              <w:t>C</w:t>
            </w:r>
            <w:r w:rsidRPr="0095387F">
              <w:rPr>
                <w:sz w:val="20"/>
                <w:szCs w:val="20"/>
              </w:rPr>
              <w:t>ollege” represents enrolling in college the fall after high school exit. “</w:t>
            </w:r>
            <w:r>
              <w:rPr>
                <w:sz w:val="20"/>
                <w:szCs w:val="20"/>
              </w:rPr>
              <w:t>4</w:t>
            </w:r>
            <w:r w:rsidRPr="0095387F">
              <w:rPr>
                <w:sz w:val="20"/>
                <w:szCs w:val="20"/>
              </w:rPr>
              <w:t>-</w:t>
            </w:r>
            <w:r>
              <w:rPr>
                <w:sz w:val="20"/>
                <w:szCs w:val="20"/>
              </w:rPr>
              <w:t>Y</w:t>
            </w:r>
            <w:r w:rsidRPr="0095387F">
              <w:rPr>
                <w:sz w:val="20"/>
                <w:szCs w:val="20"/>
              </w:rPr>
              <w:t xml:space="preserve">ear </w:t>
            </w:r>
            <w:r>
              <w:rPr>
                <w:sz w:val="20"/>
                <w:szCs w:val="20"/>
              </w:rPr>
              <w:t>C</w:t>
            </w:r>
            <w:r w:rsidRPr="0095387F">
              <w:rPr>
                <w:sz w:val="20"/>
                <w:szCs w:val="20"/>
              </w:rPr>
              <w:t>ollege” represents directly enrolling in a 4-year college after high school.</w:t>
            </w:r>
            <w:r>
              <w:rPr>
                <w:sz w:val="20"/>
                <w:szCs w:val="20"/>
              </w:rPr>
              <w:t xml:space="preserve"> </w:t>
            </w:r>
            <w:r w:rsidRPr="0095387F">
              <w:rPr>
                <w:sz w:val="20"/>
                <w:szCs w:val="20"/>
              </w:rPr>
              <w:t>“</w:t>
            </w:r>
            <w:r>
              <w:rPr>
                <w:sz w:val="20"/>
                <w:szCs w:val="20"/>
              </w:rPr>
              <w:t>On-Time HS G</w:t>
            </w:r>
            <w:r w:rsidRPr="0095387F">
              <w:rPr>
                <w:sz w:val="20"/>
                <w:szCs w:val="20"/>
              </w:rPr>
              <w:t xml:space="preserve">raduation” represents having graduated from high school within 4 years of attendance. </w:t>
            </w:r>
            <w:r>
              <w:rPr>
                <w:sz w:val="20"/>
                <w:szCs w:val="20"/>
              </w:rPr>
              <w:t xml:space="preserve">EL=English Learner. </w:t>
            </w:r>
            <w:r w:rsidRPr="00501B0C">
              <w:rPr>
                <w:sz w:val="20"/>
                <w:szCs w:val="20"/>
              </w:rPr>
              <w:t xml:space="preserve">Model includes student covariates (female, ethnicity, home language, mother’s education, father’s education, special education </w:t>
            </w:r>
            <w:r>
              <w:rPr>
                <w:sz w:val="20"/>
                <w:szCs w:val="20"/>
              </w:rPr>
              <w:t>participation</w:t>
            </w:r>
            <w:r w:rsidRPr="00501B0C">
              <w:rPr>
                <w:sz w:val="20"/>
                <w:szCs w:val="20"/>
              </w:rPr>
              <w:t>, 10th grade school suspensions, and AP tests taken prior to the end of 10</w:t>
            </w:r>
            <w:r w:rsidRPr="00501B0C">
              <w:rPr>
                <w:sz w:val="20"/>
                <w:szCs w:val="20"/>
                <w:vertAlign w:val="superscript"/>
              </w:rPr>
              <w:t>th</w:t>
            </w:r>
            <w:r w:rsidRPr="00501B0C">
              <w:rPr>
                <w:sz w:val="20"/>
                <w:szCs w:val="20"/>
              </w:rPr>
              <w:t xml:space="preserve"> grade</w:t>
            </w:r>
            <w:r>
              <w:rPr>
                <w:sz w:val="20"/>
                <w:szCs w:val="20"/>
              </w:rPr>
              <w:t>, grade level of initial EL identification for current ELs, and an indicator for having reclassified</w:t>
            </w:r>
            <w:r w:rsidRPr="00501B0C">
              <w:rPr>
                <w:sz w:val="20"/>
                <w:szCs w:val="20"/>
              </w:rPr>
              <w:t xml:space="preserve">. </w:t>
            </w:r>
          </w:p>
          <w:p w14:paraId="0D3FD7F2" w14:textId="77777777" w:rsidR="00B22915" w:rsidRPr="00501B0C" w:rsidRDefault="00B22915" w:rsidP="00B22915">
            <w:pPr>
              <w:rPr>
                <w:sz w:val="20"/>
                <w:szCs w:val="20"/>
              </w:rPr>
            </w:pPr>
          </w:p>
        </w:tc>
      </w:tr>
    </w:tbl>
    <w:p w14:paraId="3195A192" w14:textId="77777777" w:rsidR="00B22915" w:rsidRDefault="00B22915" w:rsidP="00B22915"/>
    <w:p w14:paraId="5464357B" w14:textId="77777777" w:rsidR="00B22915" w:rsidRDefault="00B22915" w:rsidP="00B22915">
      <w:r>
        <w:t xml:space="preserve"> </w:t>
      </w:r>
    </w:p>
    <w:p w14:paraId="2364888D" w14:textId="77777777" w:rsidR="00B22915" w:rsidRDefault="00B22915" w:rsidP="00B22915"/>
    <w:p w14:paraId="62D74D08" w14:textId="77777777" w:rsidR="00B22915" w:rsidRDefault="00B22915" w:rsidP="00B22915">
      <w:pPr>
        <w:sectPr w:rsidR="00B22915" w:rsidSect="00B22915">
          <w:footerReference w:type="default" r:id="rId21"/>
          <w:pgSz w:w="15840" w:h="12240" w:orient="landscape"/>
          <w:pgMar w:top="1440" w:right="1440" w:bottom="1440" w:left="1440" w:header="720" w:footer="720" w:gutter="0"/>
          <w:cols w:space="720"/>
          <w:docGrid w:linePitch="360"/>
        </w:sectPr>
      </w:pPr>
    </w:p>
    <w:p w14:paraId="78B31481" w14:textId="77777777" w:rsidR="00B22915" w:rsidRDefault="00B22915" w:rsidP="00B22915">
      <w:r>
        <w:lastRenderedPageBreak/>
        <w:t>Figure 1. Unconditional Outcome Trends for Treated and Control High Schools</w:t>
      </w:r>
    </w:p>
    <w:p w14:paraId="09268896" w14:textId="0AD97038" w:rsidR="00B22915" w:rsidRDefault="00FB0851" w:rsidP="00B22915">
      <w:r w:rsidRPr="00FB0851">
        <w:rPr>
          <w:noProof/>
        </w:rPr>
        <w:drawing>
          <wp:inline distT="0" distB="0" distL="0" distR="0" wp14:anchorId="52B2CC50" wp14:editId="30550D34">
            <wp:extent cx="7020905" cy="505848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20905" cy="5058481"/>
                    </a:xfrm>
                    <a:prstGeom prst="rect">
                      <a:avLst/>
                    </a:prstGeom>
                  </pic:spPr>
                </pic:pic>
              </a:graphicData>
            </a:graphic>
          </wp:inline>
        </w:drawing>
      </w:r>
    </w:p>
    <w:p w14:paraId="26528F60" w14:textId="77777777" w:rsidR="00B22915" w:rsidRDefault="00B22915" w:rsidP="00B22915">
      <w:r>
        <w:br w:type="page"/>
      </w:r>
    </w:p>
    <w:p w14:paraId="48532825" w14:textId="77777777" w:rsidR="00B22915" w:rsidRDefault="00B22915" w:rsidP="00B22915">
      <w:pPr>
        <w:jc w:val="center"/>
        <w:rPr>
          <w:b/>
          <w:bCs/>
        </w:rPr>
      </w:pPr>
      <w:r>
        <w:rPr>
          <w:b/>
          <w:bCs/>
        </w:rPr>
        <w:lastRenderedPageBreak/>
        <w:t>Appendix</w:t>
      </w:r>
    </w:p>
    <w:p w14:paraId="3937FE37" w14:textId="77777777" w:rsidR="00B22915" w:rsidRDefault="00B22915" w:rsidP="00B22915">
      <w:r>
        <w:t xml:space="preserve">Table A1. </w:t>
      </w:r>
      <w:r w:rsidRPr="006829F7">
        <w:rPr>
          <w:color w:val="000000"/>
          <w:sz w:val="22"/>
        </w:rPr>
        <w:t>Post-Program Outcomes</w:t>
      </w:r>
    </w:p>
    <w:tbl>
      <w:tblPr>
        <w:tblW w:w="12960" w:type="dxa"/>
        <w:tblCellMar>
          <w:left w:w="0" w:type="dxa"/>
          <w:right w:w="0" w:type="dxa"/>
        </w:tblCellMar>
        <w:tblLook w:val="04A0" w:firstRow="1" w:lastRow="0" w:firstColumn="1" w:lastColumn="0" w:noHBand="0" w:noVBand="1"/>
      </w:tblPr>
      <w:tblGrid>
        <w:gridCol w:w="3320"/>
        <w:gridCol w:w="820"/>
        <w:gridCol w:w="900"/>
        <w:gridCol w:w="720"/>
        <w:gridCol w:w="810"/>
        <w:gridCol w:w="720"/>
        <w:gridCol w:w="810"/>
        <w:gridCol w:w="900"/>
        <w:gridCol w:w="810"/>
        <w:gridCol w:w="720"/>
        <w:gridCol w:w="900"/>
        <w:gridCol w:w="720"/>
        <w:gridCol w:w="810"/>
      </w:tblGrid>
      <w:tr w:rsidR="00B22915" w:rsidRPr="006829F7" w14:paraId="01CD62A7" w14:textId="77777777" w:rsidTr="00B22915">
        <w:trPr>
          <w:trHeight w:val="300"/>
        </w:trPr>
        <w:tc>
          <w:tcPr>
            <w:tcW w:w="3320" w:type="dxa"/>
            <w:tcBorders>
              <w:top w:val="nil"/>
              <w:left w:val="nil"/>
              <w:bottom w:val="nil"/>
              <w:right w:val="nil"/>
            </w:tcBorders>
            <w:shd w:val="clear" w:color="auto" w:fill="auto"/>
            <w:noWrap/>
            <w:tcMar>
              <w:top w:w="15" w:type="dxa"/>
              <w:left w:w="15" w:type="dxa"/>
              <w:bottom w:w="0" w:type="dxa"/>
              <w:right w:w="15" w:type="dxa"/>
            </w:tcMar>
            <w:vAlign w:val="bottom"/>
            <w:hideMark/>
          </w:tcPr>
          <w:p w14:paraId="3420579A" w14:textId="77777777" w:rsidR="00B22915" w:rsidRPr="001A7004" w:rsidRDefault="00B22915" w:rsidP="00B22915">
            <w:pPr>
              <w:rPr>
                <w:b/>
                <w:bCs/>
                <w:sz w:val="20"/>
                <w:szCs w:val="20"/>
              </w:rPr>
            </w:pPr>
            <w:r w:rsidRPr="001A7004">
              <w:rPr>
                <w:b/>
                <w:bCs/>
                <w:sz w:val="20"/>
                <w:szCs w:val="20"/>
              </w:rPr>
              <w:t>Panel A: Means by High School</w:t>
            </w:r>
          </w:p>
        </w:tc>
        <w:tc>
          <w:tcPr>
            <w:tcW w:w="2440" w:type="dxa"/>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7CD7DB2" w14:textId="77777777" w:rsidR="00B22915" w:rsidRPr="00D053C8" w:rsidRDefault="00B22915" w:rsidP="00B22915">
            <w:pPr>
              <w:jc w:val="center"/>
              <w:rPr>
                <w:color w:val="000000"/>
                <w:sz w:val="20"/>
                <w:szCs w:val="20"/>
              </w:rPr>
            </w:pPr>
            <w:r w:rsidRPr="00D053C8">
              <w:rPr>
                <w:color w:val="000000"/>
                <w:sz w:val="20"/>
                <w:szCs w:val="20"/>
              </w:rPr>
              <w:t>HS1</w:t>
            </w:r>
          </w:p>
        </w:tc>
        <w:tc>
          <w:tcPr>
            <w:tcW w:w="2340" w:type="dxa"/>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5BEBD6" w14:textId="77777777" w:rsidR="00B22915" w:rsidRPr="00D053C8" w:rsidRDefault="00B22915" w:rsidP="00B22915">
            <w:pPr>
              <w:jc w:val="center"/>
              <w:rPr>
                <w:color w:val="000000"/>
                <w:sz w:val="20"/>
                <w:szCs w:val="20"/>
              </w:rPr>
            </w:pPr>
            <w:r w:rsidRPr="00D053C8">
              <w:rPr>
                <w:color w:val="000000"/>
                <w:sz w:val="20"/>
                <w:szCs w:val="20"/>
              </w:rPr>
              <w:t>HS2</w:t>
            </w:r>
          </w:p>
        </w:tc>
        <w:tc>
          <w:tcPr>
            <w:tcW w:w="2430" w:type="dxa"/>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E731FDF" w14:textId="77777777" w:rsidR="00B22915" w:rsidRPr="00D053C8" w:rsidRDefault="00B22915" w:rsidP="00B22915">
            <w:pPr>
              <w:jc w:val="center"/>
              <w:rPr>
                <w:color w:val="000000"/>
                <w:sz w:val="20"/>
                <w:szCs w:val="20"/>
              </w:rPr>
            </w:pPr>
            <w:r w:rsidRPr="00D053C8">
              <w:rPr>
                <w:color w:val="000000"/>
                <w:sz w:val="20"/>
                <w:szCs w:val="20"/>
              </w:rPr>
              <w:t>HS3</w:t>
            </w:r>
          </w:p>
        </w:tc>
        <w:tc>
          <w:tcPr>
            <w:tcW w:w="2430" w:type="dxa"/>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19A9184" w14:textId="77777777" w:rsidR="00B22915" w:rsidRPr="00D053C8" w:rsidRDefault="00B22915" w:rsidP="00B22915">
            <w:pPr>
              <w:jc w:val="center"/>
              <w:rPr>
                <w:color w:val="000000"/>
                <w:sz w:val="20"/>
                <w:szCs w:val="20"/>
              </w:rPr>
            </w:pPr>
            <w:r w:rsidRPr="00D053C8">
              <w:rPr>
                <w:color w:val="000000"/>
                <w:sz w:val="20"/>
                <w:szCs w:val="20"/>
              </w:rPr>
              <w:t>Control</w:t>
            </w:r>
          </w:p>
        </w:tc>
      </w:tr>
      <w:tr w:rsidR="00B22915" w:rsidRPr="006829F7" w14:paraId="4CA0D15F" w14:textId="77777777" w:rsidTr="00B22915">
        <w:trPr>
          <w:trHeight w:val="255"/>
        </w:trPr>
        <w:tc>
          <w:tcPr>
            <w:tcW w:w="33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F4E5126" w14:textId="77777777" w:rsidR="00B22915" w:rsidRPr="00D053C8" w:rsidRDefault="00B22915" w:rsidP="00B22915">
            <w:pPr>
              <w:rPr>
                <w:color w:val="000000"/>
                <w:sz w:val="20"/>
                <w:szCs w:val="20"/>
              </w:rPr>
            </w:pPr>
            <w:r w:rsidRPr="00D053C8">
              <w:rPr>
                <w:color w:val="000000"/>
                <w:sz w:val="20"/>
                <w:szCs w:val="20"/>
              </w:rPr>
              <w:t> </w:t>
            </w:r>
          </w:p>
        </w:tc>
        <w:tc>
          <w:tcPr>
            <w:tcW w:w="8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BE64A" w14:textId="77777777" w:rsidR="00B22915" w:rsidRPr="00D053C8" w:rsidRDefault="00B22915" w:rsidP="00B22915">
            <w:pPr>
              <w:jc w:val="center"/>
              <w:rPr>
                <w:color w:val="000000"/>
                <w:sz w:val="20"/>
                <w:szCs w:val="20"/>
              </w:rPr>
            </w:pPr>
            <w:r w:rsidRPr="00D053C8">
              <w:rPr>
                <w:color w:val="000000"/>
                <w:sz w:val="20"/>
                <w:szCs w:val="20"/>
              </w:rPr>
              <w:t>mean</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40E7A4E" w14:textId="77777777" w:rsidR="00B22915" w:rsidRPr="00D053C8" w:rsidRDefault="00B22915" w:rsidP="00B22915">
            <w:pPr>
              <w:jc w:val="center"/>
              <w:rPr>
                <w:color w:val="000000"/>
                <w:sz w:val="20"/>
                <w:szCs w:val="20"/>
              </w:rPr>
            </w:pPr>
            <w:r w:rsidRPr="00D053C8">
              <w:rPr>
                <w:color w:val="000000"/>
                <w:sz w:val="20"/>
                <w:szCs w:val="20"/>
              </w:rPr>
              <w:t>SD</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76B882" w14:textId="77777777" w:rsidR="00B22915" w:rsidRPr="00D053C8" w:rsidRDefault="00B22915" w:rsidP="00B22915">
            <w:pPr>
              <w:jc w:val="center"/>
              <w:rPr>
                <w:color w:val="000000"/>
                <w:sz w:val="20"/>
                <w:szCs w:val="20"/>
              </w:rPr>
            </w:pPr>
            <w:r w:rsidRPr="00D053C8">
              <w:rPr>
                <w:color w:val="000000"/>
                <w:sz w:val="20"/>
                <w:szCs w:val="20"/>
              </w:rPr>
              <w:t>N</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913995" w14:textId="77777777" w:rsidR="00B22915" w:rsidRPr="00D053C8" w:rsidRDefault="00B22915" w:rsidP="00B22915">
            <w:pPr>
              <w:jc w:val="center"/>
              <w:rPr>
                <w:color w:val="000000"/>
                <w:sz w:val="20"/>
                <w:szCs w:val="20"/>
              </w:rPr>
            </w:pPr>
            <w:r w:rsidRPr="00D053C8">
              <w:rPr>
                <w:color w:val="000000"/>
                <w:sz w:val="20"/>
                <w:szCs w:val="20"/>
              </w:rPr>
              <w:t>mean</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5AC140" w14:textId="77777777" w:rsidR="00B22915" w:rsidRPr="00D053C8" w:rsidRDefault="00B22915" w:rsidP="00B22915">
            <w:pPr>
              <w:jc w:val="center"/>
              <w:rPr>
                <w:color w:val="000000"/>
                <w:sz w:val="20"/>
                <w:szCs w:val="20"/>
              </w:rPr>
            </w:pPr>
            <w:r w:rsidRPr="00D053C8">
              <w:rPr>
                <w:color w:val="000000"/>
                <w:sz w:val="20"/>
                <w:szCs w:val="20"/>
              </w:rPr>
              <w:t>SD</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9B48FF6" w14:textId="77777777" w:rsidR="00B22915" w:rsidRPr="00D053C8" w:rsidRDefault="00B22915" w:rsidP="00B22915">
            <w:pPr>
              <w:jc w:val="center"/>
              <w:rPr>
                <w:color w:val="000000"/>
                <w:sz w:val="20"/>
                <w:szCs w:val="20"/>
              </w:rPr>
            </w:pPr>
            <w:r w:rsidRPr="00D053C8">
              <w:rPr>
                <w:color w:val="000000"/>
                <w:sz w:val="20"/>
                <w:szCs w:val="20"/>
              </w:rPr>
              <w:t>N</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03B6CB" w14:textId="77777777" w:rsidR="00B22915" w:rsidRPr="00D053C8" w:rsidRDefault="00B22915" w:rsidP="00B22915">
            <w:pPr>
              <w:jc w:val="center"/>
              <w:rPr>
                <w:color w:val="000000"/>
                <w:sz w:val="20"/>
                <w:szCs w:val="20"/>
              </w:rPr>
            </w:pPr>
            <w:r w:rsidRPr="00D053C8">
              <w:rPr>
                <w:color w:val="000000"/>
                <w:sz w:val="20"/>
                <w:szCs w:val="20"/>
              </w:rPr>
              <w:t>mean</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886F33" w14:textId="77777777" w:rsidR="00B22915" w:rsidRPr="00D053C8" w:rsidRDefault="00B22915" w:rsidP="00B22915">
            <w:pPr>
              <w:jc w:val="center"/>
              <w:rPr>
                <w:color w:val="000000"/>
                <w:sz w:val="20"/>
                <w:szCs w:val="20"/>
              </w:rPr>
            </w:pPr>
            <w:r w:rsidRPr="00D053C8">
              <w:rPr>
                <w:color w:val="000000"/>
                <w:sz w:val="20"/>
                <w:szCs w:val="20"/>
              </w:rPr>
              <w:t>SD</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91ECF1E" w14:textId="77777777" w:rsidR="00B22915" w:rsidRPr="00D053C8" w:rsidRDefault="00B22915" w:rsidP="00B22915">
            <w:pPr>
              <w:jc w:val="center"/>
              <w:rPr>
                <w:color w:val="000000"/>
                <w:sz w:val="20"/>
                <w:szCs w:val="20"/>
              </w:rPr>
            </w:pPr>
            <w:r w:rsidRPr="00D053C8">
              <w:rPr>
                <w:color w:val="000000"/>
                <w:sz w:val="20"/>
                <w:szCs w:val="20"/>
              </w:rPr>
              <w:t>N</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FC98B4" w14:textId="77777777" w:rsidR="00B22915" w:rsidRPr="00D053C8" w:rsidRDefault="00B22915" w:rsidP="00B22915">
            <w:pPr>
              <w:jc w:val="center"/>
              <w:rPr>
                <w:color w:val="000000"/>
                <w:sz w:val="20"/>
                <w:szCs w:val="20"/>
              </w:rPr>
            </w:pPr>
            <w:r w:rsidRPr="00D053C8">
              <w:rPr>
                <w:color w:val="000000"/>
                <w:sz w:val="20"/>
                <w:szCs w:val="20"/>
              </w:rPr>
              <w:t>mean</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7AECF5" w14:textId="77777777" w:rsidR="00B22915" w:rsidRPr="00D053C8" w:rsidRDefault="00B22915" w:rsidP="00B22915">
            <w:pPr>
              <w:jc w:val="center"/>
              <w:rPr>
                <w:color w:val="000000"/>
                <w:sz w:val="20"/>
                <w:szCs w:val="20"/>
              </w:rPr>
            </w:pPr>
            <w:r w:rsidRPr="00D053C8">
              <w:rPr>
                <w:color w:val="000000"/>
                <w:sz w:val="20"/>
                <w:szCs w:val="20"/>
              </w:rPr>
              <w:t>SD</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E15C5A" w14:textId="77777777" w:rsidR="00B22915" w:rsidRPr="00D053C8" w:rsidRDefault="00B22915" w:rsidP="00B22915">
            <w:pPr>
              <w:jc w:val="center"/>
              <w:rPr>
                <w:color w:val="000000"/>
                <w:sz w:val="20"/>
                <w:szCs w:val="20"/>
              </w:rPr>
            </w:pPr>
            <w:r w:rsidRPr="00D053C8">
              <w:rPr>
                <w:color w:val="000000"/>
                <w:sz w:val="20"/>
                <w:szCs w:val="20"/>
              </w:rPr>
              <w:t>N</w:t>
            </w:r>
          </w:p>
        </w:tc>
      </w:tr>
      <w:tr w:rsidR="00B22915" w:rsidRPr="006829F7" w14:paraId="0C5F265A" w14:textId="77777777" w:rsidTr="00B22915">
        <w:trPr>
          <w:trHeight w:val="300"/>
        </w:trPr>
        <w:tc>
          <w:tcPr>
            <w:tcW w:w="3320" w:type="dxa"/>
            <w:tcBorders>
              <w:top w:val="nil"/>
              <w:left w:val="nil"/>
              <w:bottom w:val="nil"/>
              <w:right w:val="nil"/>
            </w:tcBorders>
            <w:shd w:val="clear" w:color="auto" w:fill="auto"/>
            <w:noWrap/>
            <w:tcMar>
              <w:top w:w="15" w:type="dxa"/>
              <w:left w:w="15" w:type="dxa"/>
              <w:bottom w:w="0" w:type="dxa"/>
              <w:right w:w="15" w:type="dxa"/>
            </w:tcMar>
            <w:vAlign w:val="bottom"/>
          </w:tcPr>
          <w:p w14:paraId="508CF9D6" w14:textId="77777777" w:rsidR="00B22915" w:rsidRPr="00D053C8" w:rsidRDefault="00B22915" w:rsidP="00B22915">
            <w:pPr>
              <w:rPr>
                <w:color w:val="000000"/>
                <w:sz w:val="20"/>
                <w:szCs w:val="20"/>
              </w:rPr>
            </w:pPr>
            <w:r w:rsidRPr="00D053C8">
              <w:rPr>
                <w:color w:val="000000"/>
                <w:sz w:val="20"/>
                <w:szCs w:val="20"/>
              </w:rPr>
              <w:t>Any College Course</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tcPr>
          <w:p w14:paraId="4B5955CB" w14:textId="77777777" w:rsidR="00B22915" w:rsidRPr="00D053C8" w:rsidRDefault="00B22915" w:rsidP="00B22915">
            <w:pPr>
              <w:jc w:val="right"/>
              <w:rPr>
                <w:color w:val="000000"/>
                <w:sz w:val="20"/>
                <w:szCs w:val="20"/>
              </w:rPr>
            </w:pPr>
            <w:r w:rsidRPr="00D053C8">
              <w:rPr>
                <w:color w:val="000000"/>
                <w:sz w:val="20"/>
                <w:szCs w:val="20"/>
              </w:rPr>
              <w:t>.57</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3D3D186D" w14:textId="77777777" w:rsidR="00B22915" w:rsidRPr="00D053C8" w:rsidRDefault="00B22915" w:rsidP="00B22915">
            <w:pPr>
              <w:jc w:val="right"/>
              <w:rPr>
                <w:color w:val="000000"/>
                <w:sz w:val="20"/>
                <w:szCs w:val="20"/>
              </w:rPr>
            </w:pPr>
            <w:r w:rsidRPr="00D053C8">
              <w:rPr>
                <w:color w:val="000000"/>
                <w:sz w:val="20"/>
                <w:szCs w:val="20"/>
              </w:rPr>
              <w:t>.50</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6BDED29B" w14:textId="77777777" w:rsidR="00B22915" w:rsidRPr="00D053C8" w:rsidRDefault="00B22915" w:rsidP="00B22915">
            <w:pPr>
              <w:jc w:val="right"/>
              <w:rPr>
                <w:color w:val="000000"/>
                <w:sz w:val="20"/>
                <w:szCs w:val="20"/>
              </w:rPr>
            </w:pPr>
            <w:r w:rsidRPr="00D053C8">
              <w:rPr>
                <w:color w:val="000000"/>
                <w:sz w:val="20"/>
                <w:szCs w:val="20"/>
              </w:rPr>
              <w:t>243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5E42694F" w14:textId="77777777" w:rsidR="00B22915" w:rsidRPr="00D053C8" w:rsidRDefault="00B22915" w:rsidP="00B22915">
            <w:pPr>
              <w:jc w:val="right"/>
              <w:rPr>
                <w:color w:val="000000"/>
                <w:sz w:val="20"/>
                <w:szCs w:val="20"/>
              </w:rPr>
            </w:pPr>
            <w:r w:rsidRPr="00D053C8">
              <w:rPr>
                <w:color w:val="000000"/>
                <w:sz w:val="20"/>
                <w:szCs w:val="20"/>
              </w:rPr>
              <w:t>.88</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34CEF635" w14:textId="77777777" w:rsidR="00B22915" w:rsidRPr="00D053C8" w:rsidRDefault="00B22915" w:rsidP="00B22915">
            <w:pPr>
              <w:jc w:val="right"/>
              <w:rPr>
                <w:color w:val="000000"/>
                <w:sz w:val="20"/>
                <w:szCs w:val="20"/>
              </w:rPr>
            </w:pPr>
            <w:r w:rsidRPr="00D053C8">
              <w:rPr>
                <w:color w:val="000000"/>
                <w:sz w:val="20"/>
                <w:szCs w:val="20"/>
              </w:rPr>
              <w:t>.33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02C8286C" w14:textId="77777777" w:rsidR="00B22915" w:rsidRPr="00D053C8" w:rsidRDefault="00B22915" w:rsidP="00B22915">
            <w:pPr>
              <w:jc w:val="right"/>
              <w:rPr>
                <w:color w:val="000000"/>
                <w:sz w:val="20"/>
                <w:szCs w:val="20"/>
              </w:rPr>
            </w:pPr>
            <w:r w:rsidRPr="00D053C8">
              <w:rPr>
                <w:color w:val="000000"/>
                <w:sz w:val="20"/>
                <w:szCs w:val="20"/>
              </w:rPr>
              <w:t>58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53C3708E" w14:textId="77777777" w:rsidR="00B22915" w:rsidRPr="00D053C8" w:rsidRDefault="00B22915" w:rsidP="00B22915">
            <w:pPr>
              <w:jc w:val="right"/>
              <w:rPr>
                <w:color w:val="000000"/>
                <w:sz w:val="20"/>
                <w:szCs w:val="20"/>
              </w:rPr>
            </w:pPr>
            <w:r w:rsidRPr="00D053C8">
              <w:rPr>
                <w:color w:val="000000"/>
                <w:sz w:val="20"/>
                <w:szCs w:val="20"/>
              </w:rPr>
              <w:t>.49</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0BC1CFB5" w14:textId="77777777" w:rsidR="00B22915" w:rsidRPr="00D053C8" w:rsidRDefault="00B22915" w:rsidP="00B22915">
            <w:pPr>
              <w:jc w:val="right"/>
              <w:rPr>
                <w:color w:val="000000"/>
                <w:sz w:val="20"/>
                <w:szCs w:val="20"/>
              </w:rPr>
            </w:pPr>
            <w:r w:rsidRPr="00D053C8">
              <w:rPr>
                <w:color w:val="000000"/>
                <w:sz w:val="20"/>
                <w:szCs w:val="20"/>
              </w:rPr>
              <w:t>.50</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254A0E40" w14:textId="77777777" w:rsidR="00B22915" w:rsidRPr="00D053C8" w:rsidRDefault="00B22915" w:rsidP="00B22915">
            <w:pPr>
              <w:jc w:val="right"/>
              <w:rPr>
                <w:color w:val="000000"/>
                <w:sz w:val="20"/>
                <w:szCs w:val="20"/>
              </w:rPr>
            </w:pPr>
            <w:r w:rsidRPr="00D053C8">
              <w:rPr>
                <w:color w:val="000000"/>
                <w:sz w:val="20"/>
                <w:szCs w:val="20"/>
              </w:rPr>
              <w:t>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25116945" w14:textId="77777777" w:rsidR="00B22915" w:rsidRPr="00D053C8" w:rsidRDefault="00B22915" w:rsidP="00B22915">
            <w:pPr>
              <w:jc w:val="right"/>
              <w:rPr>
                <w:color w:val="000000"/>
                <w:sz w:val="20"/>
                <w:szCs w:val="20"/>
              </w:rPr>
            </w:pPr>
            <w:r w:rsidRPr="00D053C8">
              <w:rPr>
                <w:color w:val="000000"/>
                <w:sz w:val="20"/>
                <w:szCs w:val="20"/>
              </w:rPr>
              <w:t>.20</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28004280" w14:textId="77777777" w:rsidR="00B22915" w:rsidRPr="00D053C8" w:rsidRDefault="00B22915" w:rsidP="00B22915">
            <w:pPr>
              <w:jc w:val="right"/>
              <w:rPr>
                <w:color w:val="000000"/>
                <w:sz w:val="20"/>
                <w:szCs w:val="20"/>
              </w:rPr>
            </w:pPr>
            <w:r w:rsidRPr="00D053C8">
              <w:rPr>
                <w:color w:val="000000"/>
                <w:sz w:val="20"/>
                <w:szCs w:val="20"/>
              </w:rPr>
              <w:t>.40</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2D03F873" w14:textId="77777777" w:rsidR="00B22915" w:rsidRPr="00D053C8" w:rsidRDefault="00B22915" w:rsidP="00B22915">
            <w:pPr>
              <w:jc w:val="right"/>
              <w:rPr>
                <w:color w:val="000000"/>
                <w:sz w:val="20"/>
                <w:szCs w:val="20"/>
              </w:rPr>
            </w:pPr>
            <w:r w:rsidRPr="00D053C8">
              <w:rPr>
                <w:color w:val="000000"/>
                <w:sz w:val="20"/>
                <w:szCs w:val="20"/>
              </w:rPr>
              <w:t>5675</w:t>
            </w:r>
          </w:p>
        </w:tc>
      </w:tr>
      <w:tr w:rsidR="00B22915" w:rsidRPr="006829F7" w14:paraId="7685282D" w14:textId="77777777" w:rsidTr="00B22915">
        <w:trPr>
          <w:trHeight w:val="300"/>
        </w:trPr>
        <w:tc>
          <w:tcPr>
            <w:tcW w:w="3320" w:type="dxa"/>
            <w:tcBorders>
              <w:top w:val="nil"/>
              <w:left w:val="nil"/>
              <w:bottom w:val="nil"/>
              <w:right w:val="nil"/>
            </w:tcBorders>
            <w:shd w:val="clear" w:color="auto" w:fill="auto"/>
            <w:noWrap/>
            <w:tcMar>
              <w:top w:w="15" w:type="dxa"/>
              <w:left w:w="15" w:type="dxa"/>
              <w:bottom w:w="0" w:type="dxa"/>
              <w:right w:w="15" w:type="dxa"/>
            </w:tcMar>
            <w:vAlign w:val="bottom"/>
          </w:tcPr>
          <w:p w14:paraId="394F049E" w14:textId="77777777" w:rsidR="00B22915" w:rsidRPr="00D053C8" w:rsidRDefault="00B22915" w:rsidP="00B22915">
            <w:pPr>
              <w:rPr>
                <w:color w:val="000000"/>
                <w:sz w:val="20"/>
                <w:szCs w:val="20"/>
              </w:rPr>
            </w:pPr>
            <w:r w:rsidRPr="00D053C8">
              <w:rPr>
                <w:color w:val="000000"/>
                <w:sz w:val="20"/>
                <w:szCs w:val="20"/>
              </w:rPr>
              <w:t>College Credits Grade 11</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tcPr>
          <w:p w14:paraId="2770E489" w14:textId="77777777" w:rsidR="00B22915" w:rsidRPr="00D053C8" w:rsidRDefault="00B22915" w:rsidP="00B22915">
            <w:pPr>
              <w:jc w:val="right"/>
              <w:rPr>
                <w:color w:val="000000"/>
                <w:sz w:val="20"/>
                <w:szCs w:val="20"/>
              </w:rPr>
            </w:pPr>
            <w:r w:rsidRPr="00D053C8">
              <w:rPr>
                <w:color w:val="000000"/>
                <w:sz w:val="20"/>
                <w:szCs w:val="20"/>
              </w:rPr>
              <w:t>3.15</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30FC2C05" w14:textId="77777777" w:rsidR="00B22915" w:rsidRPr="00D053C8" w:rsidRDefault="00B22915" w:rsidP="00B22915">
            <w:pPr>
              <w:jc w:val="right"/>
              <w:rPr>
                <w:color w:val="000000"/>
                <w:sz w:val="20"/>
                <w:szCs w:val="20"/>
              </w:rPr>
            </w:pPr>
            <w:r w:rsidRPr="00D053C8">
              <w:rPr>
                <w:color w:val="000000"/>
                <w:sz w:val="20"/>
                <w:szCs w:val="20"/>
              </w:rPr>
              <w:t>6.19</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553183E5" w14:textId="77777777" w:rsidR="00B22915" w:rsidRPr="00D053C8" w:rsidRDefault="00B22915" w:rsidP="00B22915">
            <w:pPr>
              <w:jc w:val="right"/>
              <w:rPr>
                <w:color w:val="000000"/>
                <w:sz w:val="20"/>
                <w:szCs w:val="20"/>
              </w:rPr>
            </w:pPr>
            <w:r w:rsidRPr="00D053C8">
              <w:rPr>
                <w:color w:val="000000"/>
                <w:sz w:val="20"/>
                <w:szCs w:val="20"/>
              </w:rPr>
              <w:t>243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679DDE5A" w14:textId="77777777" w:rsidR="00B22915" w:rsidRPr="00D053C8" w:rsidRDefault="00B22915" w:rsidP="00B22915">
            <w:pPr>
              <w:jc w:val="right"/>
              <w:rPr>
                <w:color w:val="000000"/>
                <w:sz w:val="20"/>
                <w:szCs w:val="20"/>
              </w:rPr>
            </w:pPr>
            <w:r w:rsidRPr="00D053C8">
              <w:rPr>
                <w:color w:val="000000"/>
                <w:sz w:val="20"/>
                <w:szCs w:val="20"/>
              </w:rPr>
              <w:t>1.15</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2E680DB2" w14:textId="77777777" w:rsidR="00B22915" w:rsidRPr="00D053C8" w:rsidRDefault="00B22915" w:rsidP="00B22915">
            <w:pPr>
              <w:jc w:val="right"/>
              <w:rPr>
                <w:color w:val="000000"/>
                <w:sz w:val="20"/>
                <w:szCs w:val="20"/>
              </w:rPr>
            </w:pPr>
            <w:r w:rsidRPr="00D053C8">
              <w:rPr>
                <w:color w:val="000000"/>
                <w:sz w:val="20"/>
                <w:szCs w:val="20"/>
              </w:rPr>
              <w:t>4.77</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68E227D3" w14:textId="77777777" w:rsidR="00B22915" w:rsidRPr="00D053C8" w:rsidRDefault="00B22915" w:rsidP="00B22915">
            <w:pPr>
              <w:jc w:val="right"/>
              <w:rPr>
                <w:color w:val="000000"/>
                <w:sz w:val="20"/>
                <w:szCs w:val="20"/>
              </w:rPr>
            </w:pPr>
            <w:r w:rsidRPr="00D053C8">
              <w:rPr>
                <w:color w:val="000000"/>
                <w:sz w:val="20"/>
                <w:szCs w:val="20"/>
              </w:rPr>
              <w:t>58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471EB267" w14:textId="77777777" w:rsidR="00B22915" w:rsidRPr="00D053C8" w:rsidRDefault="00B22915" w:rsidP="00B22915">
            <w:pPr>
              <w:jc w:val="right"/>
              <w:rPr>
                <w:color w:val="000000"/>
                <w:sz w:val="20"/>
                <w:szCs w:val="20"/>
              </w:rPr>
            </w:pPr>
            <w:r w:rsidRPr="00D053C8">
              <w:rPr>
                <w:color w:val="000000"/>
                <w:sz w:val="20"/>
                <w:szCs w:val="20"/>
              </w:rPr>
              <w:t>0.10</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7FAEF0B5" w14:textId="77777777" w:rsidR="00B22915" w:rsidRPr="00D053C8" w:rsidRDefault="00B22915" w:rsidP="00B22915">
            <w:pPr>
              <w:jc w:val="right"/>
              <w:rPr>
                <w:color w:val="000000"/>
                <w:sz w:val="20"/>
                <w:szCs w:val="20"/>
              </w:rPr>
            </w:pPr>
            <w:r w:rsidRPr="00D053C8">
              <w:rPr>
                <w:color w:val="000000"/>
                <w:sz w:val="20"/>
                <w:szCs w:val="20"/>
              </w:rPr>
              <w:t>0.80</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7555410B" w14:textId="77777777" w:rsidR="00B22915" w:rsidRPr="00D053C8" w:rsidRDefault="00B22915" w:rsidP="00B22915">
            <w:pPr>
              <w:jc w:val="right"/>
              <w:rPr>
                <w:color w:val="000000"/>
                <w:sz w:val="20"/>
                <w:szCs w:val="20"/>
              </w:rPr>
            </w:pPr>
            <w:r w:rsidRPr="00D053C8">
              <w:rPr>
                <w:color w:val="000000"/>
                <w:sz w:val="20"/>
                <w:szCs w:val="20"/>
              </w:rPr>
              <w:t>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62AD3569" w14:textId="77777777" w:rsidR="00B22915" w:rsidRPr="00D053C8" w:rsidRDefault="00B22915" w:rsidP="00B22915">
            <w:pPr>
              <w:jc w:val="right"/>
              <w:rPr>
                <w:color w:val="000000"/>
                <w:sz w:val="20"/>
                <w:szCs w:val="20"/>
              </w:rPr>
            </w:pPr>
            <w:r w:rsidRPr="00D053C8">
              <w:rPr>
                <w:color w:val="000000"/>
                <w:sz w:val="20"/>
                <w:szCs w:val="20"/>
              </w:rPr>
              <w:t>1.25</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29E6E512" w14:textId="77777777" w:rsidR="00B22915" w:rsidRPr="00D053C8" w:rsidRDefault="00B22915" w:rsidP="00B22915">
            <w:pPr>
              <w:jc w:val="right"/>
              <w:rPr>
                <w:color w:val="000000"/>
                <w:sz w:val="20"/>
                <w:szCs w:val="20"/>
              </w:rPr>
            </w:pPr>
            <w:r w:rsidRPr="00D053C8">
              <w:rPr>
                <w:color w:val="000000"/>
                <w:sz w:val="20"/>
                <w:szCs w:val="20"/>
              </w:rPr>
              <w:t>4.32</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19EEBAE8" w14:textId="77777777" w:rsidR="00B22915" w:rsidRPr="00D053C8" w:rsidRDefault="00B22915" w:rsidP="00B22915">
            <w:pPr>
              <w:jc w:val="right"/>
              <w:rPr>
                <w:color w:val="000000"/>
                <w:sz w:val="20"/>
                <w:szCs w:val="20"/>
              </w:rPr>
            </w:pPr>
            <w:r w:rsidRPr="00D053C8">
              <w:rPr>
                <w:color w:val="000000"/>
                <w:sz w:val="20"/>
                <w:szCs w:val="20"/>
              </w:rPr>
              <w:t>5675</w:t>
            </w:r>
          </w:p>
        </w:tc>
      </w:tr>
      <w:tr w:rsidR="00B22915" w:rsidRPr="006829F7" w14:paraId="4F4A57DE" w14:textId="77777777" w:rsidTr="00B22915">
        <w:trPr>
          <w:trHeight w:val="300"/>
        </w:trPr>
        <w:tc>
          <w:tcPr>
            <w:tcW w:w="3320" w:type="dxa"/>
            <w:tcBorders>
              <w:top w:val="nil"/>
              <w:left w:val="nil"/>
              <w:bottom w:val="nil"/>
              <w:right w:val="nil"/>
            </w:tcBorders>
            <w:shd w:val="clear" w:color="auto" w:fill="auto"/>
            <w:noWrap/>
            <w:tcMar>
              <w:top w:w="15" w:type="dxa"/>
              <w:left w:w="15" w:type="dxa"/>
              <w:bottom w:w="0" w:type="dxa"/>
              <w:right w:w="15" w:type="dxa"/>
            </w:tcMar>
            <w:vAlign w:val="bottom"/>
          </w:tcPr>
          <w:p w14:paraId="6D6334A4" w14:textId="77777777" w:rsidR="00B22915" w:rsidRPr="00D053C8" w:rsidRDefault="00B22915" w:rsidP="00B22915">
            <w:pPr>
              <w:rPr>
                <w:color w:val="000000"/>
                <w:sz w:val="20"/>
                <w:szCs w:val="20"/>
              </w:rPr>
            </w:pPr>
            <w:r w:rsidRPr="00D053C8">
              <w:rPr>
                <w:color w:val="000000"/>
                <w:sz w:val="20"/>
                <w:szCs w:val="20"/>
              </w:rPr>
              <w:t>College Credits Grade 12</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tcPr>
          <w:p w14:paraId="11E75FCE" w14:textId="77777777" w:rsidR="00B22915" w:rsidRPr="00D053C8" w:rsidRDefault="00B22915" w:rsidP="00B22915">
            <w:pPr>
              <w:jc w:val="right"/>
              <w:rPr>
                <w:color w:val="000000"/>
                <w:sz w:val="20"/>
                <w:szCs w:val="20"/>
              </w:rPr>
            </w:pPr>
            <w:r w:rsidRPr="00D053C8">
              <w:rPr>
                <w:color w:val="000000"/>
                <w:sz w:val="20"/>
                <w:szCs w:val="20"/>
              </w:rPr>
              <w:t>10.83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74532EC9" w14:textId="77777777" w:rsidR="00B22915" w:rsidRPr="00D053C8" w:rsidRDefault="00B22915" w:rsidP="00B22915">
            <w:pPr>
              <w:jc w:val="right"/>
              <w:rPr>
                <w:color w:val="000000"/>
                <w:sz w:val="20"/>
                <w:szCs w:val="20"/>
              </w:rPr>
            </w:pPr>
            <w:r w:rsidRPr="00D053C8">
              <w:rPr>
                <w:color w:val="000000"/>
                <w:sz w:val="20"/>
                <w:szCs w:val="20"/>
              </w:rPr>
              <w:t>14.10</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3636C3C4" w14:textId="77777777" w:rsidR="00B22915" w:rsidRPr="00D053C8" w:rsidRDefault="00B22915" w:rsidP="00B22915">
            <w:pPr>
              <w:jc w:val="right"/>
              <w:rPr>
                <w:color w:val="000000"/>
                <w:sz w:val="20"/>
                <w:szCs w:val="20"/>
              </w:rPr>
            </w:pPr>
            <w:r w:rsidRPr="00D053C8">
              <w:rPr>
                <w:color w:val="000000"/>
                <w:sz w:val="20"/>
                <w:szCs w:val="20"/>
              </w:rPr>
              <w:t>243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6E00FBA9" w14:textId="77777777" w:rsidR="00B22915" w:rsidRPr="00D053C8" w:rsidRDefault="00B22915" w:rsidP="00B22915">
            <w:pPr>
              <w:jc w:val="right"/>
              <w:rPr>
                <w:color w:val="000000"/>
                <w:sz w:val="20"/>
                <w:szCs w:val="20"/>
              </w:rPr>
            </w:pPr>
            <w:r w:rsidRPr="00D053C8">
              <w:rPr>
                <w:color w:val="000000"/>
                <w:sz w:val="20"/>
                <w:szCs w:val="20"/>
              </w:rPr>
              <w:t>21.23</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36C36AD8" w14:textId="77777777" w:rsidR="00B22915" w:rsidRPr="00D053C8" w:rsidRDefault="00B22915" w:rsidP="00B22915">
            <w:pPr>
              <w:jc w:val="right"/>
              <w:rPr>
                <w:color w:val="000000"/>
                <w:sz w:val="20"/>
                <w:szCs w:val="20"/>
              </w:rPr>
            </w:pPr>
            <w:r w:rsidRPr="00D053C8">
              <w:rPr>
                <w:color w:val="000000"/>
                <w:sz w:val="20"/>
                <w:szCs w:val="20"/>
              </w:rPr>
              <w:t>18.08</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01E6C267" w14:textId="77777777" w:rsidR="00B22915" w:rsidRPr="00D053C8" w:rsidRDefault="00B22915" w:rsidP="00B22915">
            <w:pPr>
              <w:jc w:val="right"/>
              <w:rPr>
                <w:color w:val="000000"/>
                <w:sz w:val="20"/>
                <w:szCs w:val="20"/>
              </w:rPr>
            </w:pPr>
            <w:r w:rsidRPr="00D053C8">
              <w:rPr>
                <w:color w:val="000000"/>
                <w:sz w:val="20"/>
                <w:szCs w:val="20"/>
              </w:rPr>
              <w:t>58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0CBCAC68" w14:textId="77777777" w:rsidR="00B22915" w:rsidRPr="00D053C8" w:rsidRDefault="00B22915" w:rsidP="00B22915">
            <w:pPr>
              <w:jc w:val="right"/>
              <w:rPr>
                <w:color w:val="000000"/>
                <w:sz w:val="20"/>
                <w:szCs w:val="20"/>
              </w:rPr>
            </w:pPr>
            <w:r w:rsidRPr="00D053C8">
              <w:rPr>
                <w:color w:val="000000"/>
                <w:sz w:val="20"/>
                <w:szCs w:val="20"/>
              </w:rPr>
              <w:t>5.43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3D2ED418" w14:textId="77777777" w:rsidR="00B22915" w:rsidRPr="00D053C8" w:rsidRDefault="00B22915" w:rsidP="00B22915">
            <w:pPr>
              <w:jc w:val="right"/>
              <w:rPr>
                <w:color w:val="000000"/>
                <w:sz w:val="20"/>
                <w:szCs w:val="20"/>
              </w:rPr>
            </w:pPr>
            <w:r w:rsidRPr="00D053C8">
              <w:rPr>
                <w:color w:val="000000"/>
                <w:sz w:val="20"/>
                <w:szCs w:val="20"/>
              </w:rPr>
              <w:t>6.42</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488B8409" w14:textId="77777777" w:rsidR="00B22915" w:rsidRPr="00D053C8" w:rsidRDefault="00B22915" w:rsidP="00B22915">
            <w:pPr>
              <w:jc w:val="right"/>
              <w:rPr>
                <w:color w:val="000000"/>
                <w:sz w:val="20"/>
                <w:szCs w:val="20"/>
              </w:rPr>
            </w:pPr>
            <w:r w:rsidRPr="00D053C8">
              <w:rPr>
                <w:color w:val="000000"/>
                <w:sz w:val="20"/>
                <w:szCs w:val="20"/>
              </w:rPr>
              <w:t>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2B552A55" w14:textId="77777777" w:rsidR="00B22915" w:rsidRPr="00D053C8" w:rsidRDefault="00B22915" w:rsidP="00B22915">
            <w:pPr>
              <w:jc w:val="right"/>
              <w:rPr>
                <w:color w:val="000000"/>
                <w:sz w:val="20"/>
                <w:szCs w:val="20"/>
              </w:rPr>
            </w:pPr>
            <w:r w:rsidRPr="00D053C8">
              <w:rPr>
                <w:color w:val="000000"/>
                <w:sz w:val="20"/>
                <w:szCs w:val="20"/>
              </w:rPr>
              <w:t>1.55</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7D45C947" w14:textId="77777777" w:rsidR="00B22915" w:rsidRPr="00D053C8" w:rsidRDefault="00B22915" w:rsidP="00B22915">
            <w:pPr>
              <w:jc w:val="right"/>
              <w:rPr>
                <w:color w:val="000000"/>
                <w:sz w:val="20"/>
                <w:szCs w:val="20"/>
              </w:rPr>
            </w:pPr>
            <w:r w:rsidRPr="00D053C8">
              <w:rPr>
                <w:color w:val="000000"/>
                <w:sz w:val="20"/>
                <w:szCs w:val="20"/>
              </w:rPr>
              <w:t>6.25</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7947B727" w14:textId="77777777" w:rsidR="00B22915" w:rsidRPr="00D053C8" w:rsidRDefault="00B22915" w:rsidP="00B22915">
            <w:pPr>
              <w:jc w:val="right"/>
              <w:rPr>
                <w:color w:val="000000"/>
                <w:sz w:val="20"/>
                <w:szCs w:val="20"/>
              </w:rPr>
            </w:pPr>
            <w:r w:rsidRPr="00D053C8">
              <w:rPr>
                <w:color w:val="000000"/>
                <w:sz w:val="20"/>
                <w:szCs w:val="20"/>
              </w:rPr>
              <w:t>5675</w:t>
            </w:r>
          </w:p>
        </w:tc>
      </w:tr>
      <w:tr w:rsidR="00B22915" w:rsidRPr="006829F7" w14:paraId="2A3BE72B" w14:textId="77777777" w:rsidTr="00B22915">
        <w:trPr>
          <w:trHeight w:val="300"/>
        </w:trPr>
        <w:tc>
          <w:tcPr>
            <w:tcW w:w="3320" w:type="dxa"/>
            <w:tcBorders>
              <w:top w:val="nil"/>
              <w:left w:val="nil"/>
              <w:bottom w:val="nil"/>
              <w:right w:val="nil"/>
            </w:tcBorders>
            <w:shd w:val="clear" w:color="auto" w:fill="auto"/>
            <w:noWrap/>
            <w:tcMar>
              <w:top w:w="15" w:type="dxa"/>
              <w:left w:w="15" w:type="dxa"/>
              <w:bottom w:w="0" w:type="dxa"/>
              <w:right w:w="15" w:type="dxa"/>
            </w:tcMar>
            <w:vAlign w:val="bottom"/>
          </w:tcPr>
          <w:p w14:paraId="7219AD7F" w14:textId="77777777" w:rsidR="00B22915" w:rsidRPr="00D053C8" w:rsidRDefault="00B22915" w:rsidP="00B22915">
            <w:pPr>
              <w:rPr>
                <w:color w:val="000000"/>
                <w:sz w:val="20"/>
                <w:szCs w:val="20"/>
              </w:rPr>
            </w:pPr>
            <w:r w:rsidRPr="00D053C8">
              <w:rPr>
                <w:color w:val="000000"/>
                <w:sz w:val="20"/>
                <w:szCs w:val="20"/>
              </w:rPr>
              <w:t>Immediately Attended College</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tcPr>
          <w:p w14:paraId="5E21D6C6" w14:textId="77777777" w:rsidR="00B22915" w:rsidRPr="00D053C8" w:rsidRDefault="00B22915" w:rsidP="00B22915">
            <w:pPr>
              <w:jc w:val="right"/>
              <w:rPr>
                <w:color w:val="000000"/>
                <w:sz w:val="20"/>
                <w:szCs w:val="20"/>
              </w:rPr>
            </w:pPr>
            <w:r w:rsidRPr="00D053C8">
              <w:rPr>
                <w:color w:val="000000"/>
                <w:sz w:val="20"/>
                <w:szCs w:val="20"/>
              </w:rPr>
              <w:t>.35</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53394AA9" w14:textId="77777777" w:rsidR="00B22915" w:rsidRPr="00D053C8" w:rsidRDefault="00B22915" w:rsidP="00B22915">
            <w:pPr>
              <w:jc w:val="right"/>
              <w:rPr>
                <w:color w:val="000000"/>
                <w:sz w:val="20"/>
                <w:szCs w:val="20"/>
              </w:rPr>
            </w:pPr>
            <w:r w:rsidRPr="00D053C8">
              <w:rPr>
                <w:color w:val="000000"/>
                <w:sz w:val="20"/>
                <w:szCs w:val="20"/>
              </w:rPr>
              <w:t>.48</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57F22257" w14:textId="77777777" w:rsidR="00B22915" w:rsidRPr="00D053C8" w:rsidRDefault="00B22915" w:rsidP="00B22915">
            <w:pPr>
              <w:jc w:val="right"/>
              <w:rPr>
                <w:color w:val="000000"/>
                <w:sz w:val="20"/>
                <w:szCs w:val="20"/>
              </w:rPr>
            </w:pPr>
            <w:r w:rsidRPr="00D053C8">
              <w:rPr>
                <w:color w:val="000000"/>
                <w:sz w:val="20"/>
                <w:szCs w:val="20"/>
              </w:rPr>
              <w:t>243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7F1C417D" w14:textId="77777777" w:rsidR="00B22915" w:rsidRPr="00D053C8" w:rsidRDefault="00B22915" w:rsidP="00B22915">
            <w:pPr>
              <w:jc w:val="right"/>
              <w:rPr>
                <w:color w:val="000000"/>
                <w:sz w:val="20"/>
                <w:szCs w:val="20"/>
              </w:rPr>
            </w:pPr>
            <w:r w:rsidRPr="00D053C8">
              <w:rPr>
                <w:color w:val="000000"/>
                <w:sz w:val="20"/>
                <w:szCs w:val="20"/>
              </w:rPr>
              <w:t>.72</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7A094919" w14:textId="77777777" w:rsidR="00B22915" w:rsidRPr="00D053C8" w:rsidRDefault="00B22915" w:rsidP="00B22915">
            <w:pPr>
              <w:jc w:val="right"/>
              <w:rPr>
                <w:color w:val="000000"/>
                <w:sz w:val="20"/>
                <w:szCs w:val="20"/>
              </w:rPr>
            </w:pPr>
            <w:r w:rsidRPr="00D053C8">
              <w:rPr>
                <w:color w:val="000000"/>
                <w:sz w:val="20"/>
                <w:szCs w:val="20"/>
              </w:rPr>
              <w:t>.45</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51464B7A" w14:textId="77777777" w:rsidR="00B22915" w:rsidRPr="00D053C8" w:rsidRDefault="00B22915" w:rsidP="00B22915">
            <w:pPr>
              <w:jc w:val="right"/>
              <w:rPr>
                <w:color w:val="000000"/>
                <w:sz w:val="20"/>
                <w:szCs w:val="20"/>
              </w:rPr>
            </w:pPr>
            <w:r w:rsidRPr="00D053C8">
              <w:rPr>
                <w:color w:val="000000"/>
                <w:sz w:val="20"/>
                <w:szCs w:val="20"/>
              </w:rPr>
              <w:t>58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10CA69DB" w14:textId="77777777" w:rsidR="00B22915" w:rsidRPr="00D053C8" w:rsidRDefault="00B22915" w:rsidP="00B22915">
            <w:pPr>
              <w:jc w:val="right"/>
              <w:rPr>
                <w:color w:val="000000"/>
                <w:sz w:val="20"/>
                <w:szCs w:val="20"/>
              </w:rPr>
            </w:pPr>
            <w:r w:rsidRPr="00D053C8">
              <w:rPr>
                <w:color w:val="000000"/>
                <w:sz w:val="20"/>
                <w:szCs w:val="20"/>
              </w:rPr>
              <w:t>.35</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404BA491" w14:textId="77777777" w:rsidR="00B22915" w:rsidRPr="00D053C8" w:rsidRDefault="00B22915" w:rsidP="00B22915">
            <w:pPr>
              <w:jc w:val="right"/>
              <w:rPr>
                <w:color w:val="000000"/>
                <w:sz w:val="20"/>
                <w:szCs w:val="20"/>
              </w:rPr>
            </w:pPr>
            <w:r w:rsidRPr="00D053C8">
              <w:rPr>
                <w:color w:val="000000"/>
                <w:sz w:val="20"/>
                <w:szCs w:val="20"/>
              </w:rPr>
              <w:t>.48</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30F51662" w14:textId="77777777" w:rsidR="00B22915" w:rsidRPr="00D053C8" w:rsidRDefault="00B22915" w:rsidP="00B22915">
            <w:pPr>
              <w:jc w:val="right"/>
              <w:rPr>
                <w:color w:val="000000"/>
                <w:sz w:val="20"/>
                <w:szCs w:val="20"/>
              </w:rPr>
            </w:pPr>
            <w:r w:rsidRPr="00D053C8">
              <w:rPr>
                <w:color w:val="000000"/>
                <w:sz w:val="20"/>
                <w:szCs w:val="20"/>
              </w:rPr>
              <w:t>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456880EC" w14:textId="77777777" w:rsidR="00B22915" w:rsidRPr="00D053C8" w:rsidRDefault="00B22915" w:rsidP="00B22915">
            <w:pPr>
              <w:jc w:val="right"/>
              <w:rPr>
                <w:color w:val="000000"/>
                <w:sz w:val="20"/>
                <w:szCs w:val="20"/>
              </w:rPr>
            </w:pPr>
            <w:r w:rsidRPr="00D053C8">
              <w:rPr>
                <w:color w:val="000000"/>
                <w:sz w:val="20"/>
                <w:szCs w:val="20"/>
              </w:rPr>
              <w:t>.67</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5526B6F9" w14:textId="77777777" w:rsidR="00B22915" w:rsidRPr="00D053C8" w:rsidRDefault="00B22915" w:rsidP="00B22915">
            <w:pPr>
              <w:jc w:val="right"/>
              <w:rPr>
                <w:color w:val="000000"/>
                <w:sz w:val="20"/>
                <w:szCs w:val="20"/>
              </w:rPr>
            </w:pPr>
            <w:r w:rsidRPr="00D053C8">
              <w:rPr>
                <w:color w:val="000000"/>
                <w:sz w:val="20"/>
                <w:szCs w:val="20"/>
              </w:rPr>
              <w:t>.47</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4946551C" w14:textId="77777777" w:rsidR="00B22915" w:rsidRPr="00D053C8" w:rsidRDefault="00B22915" w:rsidP="00B22915">
            <w:pPr>
              <w:jc w:val="right"/>
              <w:rPr>
                <w:color w:val="000000"/>
                <w:sz w:val="20"/>
                <w:szCs w:val="20"/>
              </w:rPr>
            </w:pPr>
            <w:r w:rsidRPr="00D053C8">
              <w:rPr>
                <w:color w:val="000000"/>
                <w:sz w:val="20"/>
                <w:szCs w:val="20"/>
              </w:rPr>
              <w:t>5675</w:t>
            </w:r>
          </w:p>
        </w:tc>
      </w:tr>
      <w:tr w:rsidR="00B22915" w:rsidRPr="006829F7" w14:paraId="3634E257" w14:textId="77777777" w:rsidTr="00B22915">
        <w:trPr>
          <w:trHeight w:val="300"/>
        </w:trPr>
        <w:tc>
          <w:tcPr>
            <w:tcW w:w="3320" w:type="dxa"/>
            <w:tcBorders>
              <w:top w:val="nil"/>
              <w:left w:val="nil"/>
              <w:bottom w:val="nil"/>
              <w:right w:val="nil"/>
            </w:tcBorders>
            <w:shd w:val="clear" w:color="auto" w:fill="auto"/>
            <w:noWrap/>
            <w:tcMar>
              <w:top w:w="15" w:type="dxa"/>
              <w:left w:w="15" w:type="dxa"/>
              <w:bottom w:w="0" w:type="dxa"/>
              <w:right w:w="15" w:type="dxa"/>
            </w:tcMar>
            <w:vAlign w:val="bottom"/>
          </w:tcPr>
          <w:p w14:paraId="572027D9" w14:textId="77777777" w:rsidR="00B22915" w:rsidRPr="00D053C8" w:rsidRDefault="00B22915" w:rsidP="00B22915">
            <w:pPr>
              <w:rPr>
                <w:color w:val="000000"/>
                <w:sz w:val="20"/>
                <w:szCs w:val="20"/>
              </w:rPr>
            </w:pPr>
            <w:r w:rsidRPr="00D053C8">
              <w:rPr>
                <w:color w:val="000000"/>
                <w:sz w:val="20"/>
                <w:szCs w:val="20"/>
              </w:rPr>
              <w:t>Four-Year College</w:t>
            </w:r>
          </w:p>
        </w:tc>
        <w:tc>
          <w:tcPr>
            <w:tcW w:w="820" w:type="dxa"/>
            <w:tcBorders>
              <w:top w:val="nil"/>
              <w:left w:val="nil"/>
              <w:bottom w:val="nil"/>
              <w:right w:val="nil"/>
            </w:tcBorders>
            <w:shd w:val="clear" w:color="auto" w:fill="auto"/>
            <w:noWrap/>
            <w:tcMar>
              <w:top w:w="15" w:type="dxa"/>
              <w:left w:w="15" w:type="dxa"/>
              <w:bottom w:w="0" w:type="dxa"/>
              <w:right w:w="15" w:type="dxa"/>
            </w:tcMar>
            <w:vAlign w:val="bottom"/>
          </w:tcPr>
          <w:p w14:paraId="07A597C3" w14:textId="77777777" w:rsidR="00B22915" w:rsidRPr="00D053C8" w:rsidRDefault="00B22915" w:rsidP="00B22915">
            <w:pPr>
              <w:jc w:val="right"/>
              <w:rPr>
                <w:color w:val="000000"/>
                <w:sz w:val="20"/>
                <w:szCs w:val="20"/>
              </w:rPr>
            </w:pPr>
            <w:r w:rsidRPr="00D053C8">
              <w:rPr>
                <w:color w:val="000000"/>
                <w:sz w:val="20"/>
                <w:szCs w:val="20"/>
              </w:rPr>
              <w:t>.14</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76BBC4D7" w14:textId="77777777" w:rsidR="00B22915" w:rsidRPr="00D053C8" w:rsidRDefault="00B22915" w:rsidP="00B22915">
            <w:pPr>
              <w:jc w:val="right"/>
              <w:rPr>
                <w:color w:val="000000"/>
                <w:sz w:val="20"/>
                <w:szCs w:val="20"/>
              </w:rPr>
            </w:pPr>
            <w:r w:rsidRPr="00D053C8">
              <w:rPr>
                <w:color w:val="000000"/>
                <w:sz w:val="20"/>
                <w:szCs w:val="20"/>
              </w:rPr>
              <w:t>.34</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1C7B645E" w14:textId="77777777" w:rsidR="00B22915" w:rsidRPr="00D053C8" w:rsidRDefault="00B22915" w:rsidP="00B22915">
            <w:pPr>
              <w:jc w:val="right"/>
              <w:rPr>
                <w:color w:val="000000"/>
                <w:sz w:val="20"/>
                <w:szCs w:val="20"/>
              </w:rPr>
            </w:pPr>
            <w:r w:rsidRPr="00D053C8">
              <w:rPr>
                <w:color w:val="000000"/>
                <w:sz w:val="20"/>
                <w:szCs w:val="20"/>
              </w:rPr>
              <w:t>243</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44C63228" w14:textId="77777777" w:rsidR="00B22915" w:rsidRPr="00D053C8" w:rsidRDefault="00B22915" w:rsidP="00B22915">
            <w:pPr>
              <w:jc w:val="right"/>
              <w:rPr>
                <w:color w:val="000000"/>
                <w:sz w:val="20"/>
                <w:szCs w:val="20"/>
              </w:rPr>
            </w:pPr>
            <w:r w:rsidRPr="00D053C8">
              <w:rPr>
                <w:color w:val="000000"/>
                <w:sz w:val="20"/>
                <w:szCs w:val="20"/>
              </w:rPr>
              <w:t>.33</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027EF15E" w14:textId="77777777" w:rsidR="00B22915" w:rsidRPr="00D053C8" w:rsidRDefault="00B22915" w:rsidP="00B22915">
            <w:pPr>
              <w:jc w:val="right"/>
              <w:rPr>
                <w:color w:val="000000"/>
                <w:sz w:val="20"/>
                <w:szCs w:val="20"/>
              </w:rPr>
            </w:pPr>
            <w:r w:rsidRPr="00D053C8">
              <w:rPr>
                <w:color w:val="000000"/>
                <w:sz w:val="20"/>
                <w:szCs w:val="20"/>
              </w:rPr>
              <w:t>.47</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5AFE458A" w14:textId="77777777" w:rsidR="00B22915" w:rsidRPr="00D053C8" w:rsidRDefault="00B22915" w:rsidP="00B22915">
            <w:pPr>
              <w:jc w:val="right"/>
              <w:rPr>
                <w:color w:val="000000"/>
                <w:sz w:val="20"/>
                <w:szCs w:val="20"/>
              </w:rPr>
            </w:pPr>
            <w:r w:rsidRPr="00D053C8">
              <w:rPr>
                <w:color w:val="000000"/>
                <w:sz w:val="20"/>
                <w:szCs w:val="20"/>
              </w:rPr>
              <w:t>58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67BEA749" w14:textId="77777777" w:rsidR="00B22915" w:rsidRPr="00D053C8" w:rsidRDefault="00B22915" w:rsidP="00B22915">
            <w:pPr>
              <w:jc w:val="right"/>
              <w:rPr>
                <w:color w:val="000000"/>
                <w:sz w:val="20"/>
                <w:szCs w:val="20"/>
              </w:rPr>
            </w:pPr>
            <w:r w:rsidRPr="00D053C8">
              <w:rPr>
                <w:color w:val="000000"/>
                <w:sz w:val="20"/>
                <w:szCs w:val="20"/>
              </w:rPr>
              <w:t>.09</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1824786F" w14:textId="77777777" w:rsidR="00B22915" w:rsidRPr="00D053C8" w:rsidRDefault="00B22915" w:rsidP="00B22915">
            <w:pPr>
              <w:jc w:val="right"/>
              <w:rPr>
                <w:color w:val="000000"/>
                <w:sz w:val="20"/>
                <w:szCs w:val="20"/>
              </w:rPr>
            </w:pPr>
            <w:r w:rsidRPr="00D053C8">
              <w:rPr>
                <w:color w:val="000000"/>
                <w:sz w:val="20"/>
                <w:szCs w:val="20"/>
              </w:rPr>
              <w:t>.29</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4A2CF6CB" w14:textId="77777777" w:rsidR="00B22915" w:rsidRPr="00D053C8" w:rsidRDefault="00B22915" w:rsidP="00B22915">
            <w:pPr>
              <w:jc w:val="right"/>
              <w:rPr>
                <w:color w:val="000000"/>
                <w:sz w:val="20"/>
                <w:szCs w:val="20"/>
              </w:rPr>
            </w:pPr>
            <w:r w:rsidRPr="00D053C8">
              <w:rPr>
                <w:color w:val="000000"/>
                <w:sz w:val="20"/>
                <w:szCs w:val="20"/>
              </w:rPr>
              <w:t>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14:paraId="3A0493A0" w14:textId="77777777" w:rsidR="00B22915" w:rsidRPr="00D053C8" w:rsidRDefault="00B22915" w:rsidP="00B22915">
            <w:pPr>
              <w:jc w:val="right"/>
              <w:rPr>
                <w:color w:val="000000"/>
                <w:sz w:val="20"/>
                <w:szCs w:val="20"/>
              </w:rPr>
            </w:pPr>
            <w:r w:rsidRPr="00D053C8">
              <w:rPr>
                <w:color w:val="000000"/>
                <w:sz w:val="20"/>
                <w:szCs w:val="20"/>
              </w:rPr>
              <w:t>.43</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5CA03EB6" w14:textId="77777777" w:rsidR="00B22915" w:rsidRPr="00D053C8" w:rsidRDefault="00B22915" w:rsidP="00B22915">
            <w:pPr>
              <w:jc w:val="right"/>
              <w:rPr>
                <w:color w:val="000000"/>
                <w:sz w:val="20"/>
                <w:szCs w:val="20"/>
              </w:rPr>
            </w:pPr>
            <w:r w:rsidRPr="00D053C8">
              <w:rPr>
                <w:color w:val="000000"/>
                <w:sz w:val="20"/>
                <w:szCs w:val="20"/>
              </w:rPr>
              <w:t>.49</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tcPr>
          <w:p w14:paraId="0A92A0F1" w14:textId="77777777" w:rsidR="00B22915" w:rsidRPr="00D053C8" w:rsidRDefault="00B22915" w:rsidP="00B22915">
            <w:pPr>
              <w:jc w:val="right"/>
              <w:rPr>
                <w:color w:val="000000"/>
                <w:sz w:val="20"/>
                <w:szCs w:val="20"/>
              </w:rPr>
            </w:pPr>
            <w:r w:rsidRPr="00D053C8">
              <w:rPr>
                <w:color w:val="000000"/>
                <w:sz w:val="20"/>
                <w:szCs w:val="20"/>
              </w:rPr>
              <w:t>5675</w:t>
            </w:r>
          </w:p>
        </w:tc>
      </w:tr>
      <w:tr w:rsidR="00B22915" w:rsidRPr="006829F7" w14:paraId="38CD19B2"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25DC0491" w14:textId="77777777" w:rsidR="00B22915" w:rsidRPr="00D053C8" w:rsidRDefault="00B22915" w:rsidP="00B22915">
            <w:pPr>
              <w:rPr>
                <w:color w:val="000000"/>
                <w:sz w:val="20"/>
                <w:szCs w:val="20"/>
              </w:rPr>
            </w:pPr>
            <w:r w:rsidRPr="00D053C8">
              <w:rPr>
                <w:color w:val="000000"/>
                <w:sz w:val="20"/>
                <w:szCs w:val="20"/>
              </w:rPr>
              <w:t>On-Time High School Graduation</w:t>
            </w:r>
          </w:p>
        </w:tc>
        <w:tc>
          <w:tcPr>
            <w:tcW w:w="820" w:type="dxa"/>
            <w:tcBorders>
              <w:top w:val="nil"/>
              <w:left w:val="nil"/>
              <w:right w:val="nil"/>
            </w:tcBorders>
            <w:shd w:val="clear" w:color="auto" w:fill="auto"/>
            <w:noWrap/>
            <w:tcMar>
              <w:top w:w="15" w:type="dxa"/>
              <w:left w:w="15" w:type="dxa"/>
              <w:bottom w:w="0" w:type="dxa"/>
              <w:right w:w="15" w:type="dxa"/>
            </w:tcMar>
            <w:vAlign w:val="bottom"/>
          </w:tcPr>
          <w:p w14:paraId="04A7E3CE" w14:textId="77777777" w:rsidR="00B22915" w:rsidRPr="00D053C8" w:rsidRDefault="00B22915" w:rsidP="00B22915">
            <w:pPr>
              <w:jc w:val="right"/>
              <w:rPr>
                <w:color w:val="000000"/>
                <w:sz w:val="20"/>
                <w:szCs w:val="20"/>
              </w:rPr>
            </w:pPr>
            <w:r w:rsidRPr="00D053C8">
              <w:rPr>
                <w:color w:val="000000"/>
                <w:sz w:val="20"/>
                <w:szCs w:val="20"/>
              </w:rPr>
              <w:t>.54</w:t>
            </w:r>
          </w:p>
        </w:tc>
        <w:tc>
          <w:tcPr>
            <w:tcW w:w="900" w:type="dxa"/>
            <w:tcBorders>
              <w:top w:val="nil"/>
              <w:left w:val="nil"/>
              <w:right w:val="nil"/>
            </w:tcBorders>
            <w:shd w:val="clear" w:color="auto" w:fill="auto"/>
            <w:noWrap/>
            <w:tcMar>
              <w:top w:w="15" w:type="dxa"/>
              <w:left w:w="15" w:type="dxa"/>
              <w:bottom w:w="0" w:type="dxa"/>
              <w:right w:w="15" w:type="dxa"/>
            </w:tcMar>
            <w:vAlign w:val="bottom"/>
          </w:tcPr>
          <w:p w14:paraId="37DB00FF" w14:textId="77777777" w:rsidR="00B22915" w:rsidRPr="00D053C8" w:rsidRDefault="00B22915" w:rsidP="00B22915">
            <w:pPr>
              <w:jc w:val="right"/>
              <w:rPr>
                <w:color w:val="000000"/>
                <w:sz w:val="20"/>
                <w:szCs w:val="20"/>
              </w:rPr>
            </w:pPr>
            <w:r w:rsidRPr="00D053C8">
              <w:rPr>
                <w:color w:val="000000"/>
                <w:sz w:val="20"/>
                <w:szCs w:val="20"/>
              </w:rPr>
              <w:t>.50</w:t>
            </w:r>
          </w:p>
        </w:tc>
        <w:tc>
          <w:tcPr>
            <w:tcW w:w="720" w:type="dxa"/>
            <w:tcBorders>
              <w:top w:val="nil"/>
              <w:left w:val="nil"/>
              <w:right w:val="nil"/>
            </w:tcBorders>
            <w:shd w:val="clear" w:color="auto" w:fill="auto"/>
            <w:noWrap/>
            <w:tcMar>
              <w:top w:w="15" w:type="dxa"/>
              <w:left w:w="15" w:type="dxa"/>
              <w:bottom w:w="0" w:type="dxa"/>
              <w:right w:w="15" w:type="dxa"/>
            </w:tcMar>
            <w:vAlign w:val="bottom"/>
          </w:tcPr>
          <w:p w14:paraId="67C20216" w14:textId="77777777" w:rsidR="00B22915" w:rsidRPr="00D053C8" w:rsidRDefault="00B22915" w:rsidP="00B22915">
            <w:pPr>
              <w:jc w:val="right"/>
              <w:rPr>
                <w:color w:val="000000"/>
                <w:sz w:val="20"/>
                <w:szCs w:val="20"/>
              </w:rPr>
            </w:pPr>
            <w:r w:rsidRPr="00D053C8">
              <w:rPr>
                <w:color w:val="000000"/>
                <w:sz w:val="20"/>
                <w:szCs w:val="20"/>
              </w:rPr>
              <w:t>243</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18D702D3" w14:textId="77777777" w:rsidR="00B22915" w:rsidRPr="00D053C8" w:rsidRDefault="00B22915" w:rsidP="00B22915">
            <w:pPr>
              <w:jc w:val="right"/>
              <w:rPr>
                <w:color w:val="000000"/>
                <w:sz w:val="20"/>
                <w:szCs w:val="20"/>
              </w:rPr>
            </w:pPr>
            <w:r w:rsidRPr="00D053C8">
              <w:rPr>
                <w:color w:val="000000"/>
                <w:sz w:val="20"/>
                <w:szCs w:val="20"/>
              </w:rPr>
              <w:t>.90</w:t>
            </w:r>
          </w:p>
        </w:tc>
        <w:tc>
          <w:tcPr>
            <w:tcW w:w="720" w:type="dxa"/>
            <w:tcBorders>
              <w:top w:val="nil"/>
              <w:left w:val="nil"/>
              <w:right w:val="nil"/>
            </w:tcBorders>
            <w:shd w:val="clear" w:color="auto" w:fill="auto"/>
            <w:noWrap/>
            <w:tcMar>
              <w:top w:w="15" w:type="dxa"/>
              <w:left w:w="15" w:type="dxa"/>
              <w:bottom w:w="0" w:type="dxa"/>
              <w:right w:w="15" w:type="dxa"/>
            </w:tcMar>
            <w:vAlign w:val="bottom"/>
          </w:tcPr>
          <w:p w14:paraId="0B9423A9" w14:textId="77777777" w:rsidR="00B22915" w:rsidRPr="00D053C8" w:rsidRDefault="00B22915" w:rsidP="00B22915">
            <w:pPr>
              <w:jc w:val="right"/>
              <w:rPr>
                <w:color w:val="000000"/>
                <w:sz w:val="20"/>
                <w:szCs w:val="20"/>
              </w:rPr>
            </w:pPr>
            <w:r w:rsidRPr="00D053C8">
              <w:rPr>
                <w:color w:val="000000"/>
                <w:sz w:val="20"/>
                <w:szCs w:val="20"/>
              </w:rPr>
              <w:t>.31</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4D28B70D" w14:textId="77777777" w:rsidR="00B22915" w:rsidRPr="00D053C8" w:rsidRDefault="00B22915" w:rsidP="00B22915">
            <w:pPr>
              <w:jc w:val="right"/>
              <w:rPr>
                <w:color w:val="000000"/>
                <w:sz w:val="20"/>
                <w:szCs w:val="20"/>
              </w:rPr>
            </w:pPr>
            <w:r w:rsidRPr="00D053C8">
              <w:rPr>
                <w:color w:val="000000"/>
                <w:sz w:val="20"/>
                <w:szCs w:val="20"/>
              </w:rPr>
              <w:t>58</w:t>
            </w:r>
          </w:p>
        </w:tc>
        <w:tc>
          <w:tcPr>
            <w:tcW w:w="900" w:type="dxa"/>
            <w:tcBorders>
              <w:top w:val="nil"/>
              <w:left w:val="nil"/>
              <w:right w:val="nil"/>
            </w:tcBorders>
            <w:shd w:val="clear" w:color="auto" w:fill="auto"/>
            <w:noWrap/>
            <w:tcMar>
              <w:top w:w="15" w:type="dxa"/>
              <w:left w:w="15" w:type="dxa"/>
              <w:bottom w:w="0" w:type="dxa"/>
              <w:right w:w="15" w:type="dxa"/>
            </w:tcMar>
            <w:vAlign w:val="bottom"/>
          </w:tcPr>
          <w:p w14:paraId="2E035174" w14:textId="77777777" w:rsidR="00B22915" w:rsidRPr="00D053C8" w:rsidRDefault="00B22915" w:rsidP="00B22915">
            <w:pPr>
              <w:jc w:val="right"/>
              <w:rPr>
                <w:color w:val="000000"/>
                <w:sz w:val="20"/>
                <w:szCs w:val="20"/>
              </w:rPr>
            </w:pPr>
            <w:r w:rsidRPr="00D053C8">
              <w:rPr>
                <w:color w:val="000000"/>
                <w:sz w:val="20"/>
                <w:szCs w:val="20"/>
              </w:rPr>
              <w:t>.60</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50589FEA" w14:textId="77777777" w:rsidR="00B22915" w:rsidRPr="00D053C8" w:rsidRDefault="00B22915" w:rsidP="00B22915">
            <w:pPr>
              <w:jc w:val="right"/>
              <w:rPr>
                <w:color w:val="000000"/>
                <w:sz w:val="20"/>
                <w:szCs w:val="20"/>
              </w:rPr>
            </w:pPr>
            <w:r w:rsidRPr="00D053C8">
              <w:rPr>
                <w:color w:val="000000"/>
                <w:sz w:val="20"/>
                <w:szCs w:val="20"/>
              </w:rPr>
              <w:t>.49</w:t>
            </w:r>
          </w:p>
        </w:tc>
        <w:tc>
          <w:tcPr>
            <w:tcW w:w="720" w:type="dxa"/>
            <w:tcBorders>
              <w:top w:val="nil"/>
              <w:left w:val="nil"/>
              <w:right w:val="nil"/>
            </w:tcBorders>
            <w:shd w:val="clear" w:color="auto" w:fill="auto"/>
            <w:noWrap/>
            <w:tcMar>
              <w:top w:w="15" w:type="dxa"/>
              <w:left w:w="15" w:type="dxa"/>
              <w:bottom w:w="0" w:type="dxa"/>
              <w:right w:w="15" w:type="dxa"/>
            </w:tcMar>
            <w:vAlign w:val="bottom"/>
          </w:tcPr>
          <w:p w14:paraId="72FBA680" w14:textId="77777777" w:rsidR="00B22915" w:rsidRPr="00D053C8" w:rsidRDefault="00B22915" w:rsidP="00B22915">
            <w:pPr>
              <w:jc w:val="right"/>
              <w:rPr>
                <w:color w:val="000000"/>
                <w:sz w:val="20"/>
                <w:szCs w:val="20"/>
              </w:rPr>
            </w:pPr>
            <w:r w:rsidRPr="00D053C8">
              <w:rPr>
                <w:color w:val="000000"/>
                <w:sz w:val="20"/>
                <w:szCs w:val="20"/>
              </w:rPr>
              <w:t>68</w:t>
            </w:r>
          </w:p>
        </w:tc>
        <w:tc>
          <w:tcPr>
            <w:tcW w:w="900" w:type="dxa"/>
            <w:tcBorders>
              <w:top w:val="nil"/>
              <w:left w:val="nil"/>
              <w:right w:val="nil"/>
            </w:tcBorders>
            <w:shd w:val="clear" w:color="auto" w:fill="auto"/>
            <w:noWrap/>
            <w:tcMar>
              <w:top w:w="15" w:type="dxa"/>
              <w:left w:w="15" w:type="dxa"/>
              <w:bottom w:w="0" w:type="dxa"/>
              <w:right w:w="15" w:type="dxa"/>
            </w:tcMar>
            <w:vAlign w:val="bottom"/>
          </w:tcPr>
          <w:p w14:paraId="3B2F7C2E" w14:textId="77777777" w:rsidR="00B22915" w:rsidRPr="00D053C8" w:rsidRDefault="00B22915" w:rsidP="00B22915">
            <w:pPr>
              <w:jc w:val="right"/>
              <w:rPr>
                <w:color w:val="000000"/>
                <w:sz w:val="20"/>
                <w:szCs w:val="20"/>
              </w:rPr>
            </w:pPr>
            <w:r w:rsidRPr="00D053C8">
              <w:rPr>
                <w:color w:val="000000"/>
                <w:sz w:val="20"/>
                <w:szCs w:val="20"/>
              </w:rPr>
              <w:t>.84</w:t>
            </w:r>
          </w:p>
        </w:tc>
        <w:tc>
          <w:tcPr>
            <w:tcW w:w="720" w:type="dxa"/>
            <w:tcBorders>
              <w:top w:val="nil"/>
              <w:left w:val="nil"/>
              <w:right w:val="nil"/>
            </w:tcBorders>
            <w:shd w:val="clear" w:color="auto" w:fill="auto"/>
            <w:noWrap/>
            <w:tcMar>
              <w:top w:w="15" w:type="dxa"/>
              <w:left w:w="15" w:type="dxa"/>
              <w:bottom w:w="0" w:type="dxa"/>
              <w:right w:w="15" w:type="dxa"/>
            </w:tcMar>
            <w:vAlign w:val="bottom"/>
          </w:tcPr>
          <w:p w14:paraId="27BBB7F8" w14:textId="77777777" w:rsidR="00B22915" w:rsidRPr="00D053C8" w:rsidRDefault="00B22915" w:rsidP="00B22915">
            <w:pPr>
              <w:jc w:val="right"/>
              <w:rPr>
                <w:color w:val="000000"/>
                <w:sz w:val="20"/>
                <w:szCs w:val="20"/>
              </w:rPr>
            </w:pPr>
            <w:r w:rsidRPr="00D053C8">
              <w:rPr>
                <w:color w:val="000000"/>
                <w:sz w:val="20"/>
                <w:szCs w:val="20"/>
              </w:rPr>
              <w:t>.37</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678D74F7" w14:textId="77777777" w:rsidR="00B22915" w:rsidRPr="00D053C8" w:rsidRDefault="00B22915" w:rsidP="00B22915">
            <w:pPr>
              <w:jc w:val="right"/>
              <w:rPr>
                <w:color w:val="000000"/>
                <w:sz w:val="20"/>
                <w:szCs w:val="20"/>
              </w:rPr>
            </w:pPr>
            <w:r w:rsidRPr="00D053C8">
              <w:rPr>
                <w:color w:val="000000"/>
                <w:sz w:val="20"/>
                <w:szCs w:val="20"/>
              </w:rPr>
              <w:t>5675</w:t>
            </w:r>
          </w:p>
        </w:tc>
      </w:tr>
      <w:tr w:rsidR="00B22915" w:rsidRPr="006829F7" w14:paraId="260C18EB"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2F5FA612" w14:textId="77777777" w:rsidR="00B22915" w:rsidRPr="00D053C8" w:rsidRDefault="00B22915" w:rsidP="00B22915">
            <w:pPr>
              <w:rPr>
                <w:color w:val="000000"/>
                <w:sz w:val="20"/>
                <w:szCs w:val="20"/>
              </w:rPr>
            </w:pPr>
          </w:p>
        </w:tc>
        <w:tc>
          <w:tcPr>
            <w:tcW w:w="820" w:type="dxa"/>
            <w:tcBorders>
              <w:top w:val="nil"/>
              <w:left w:val="nil"/>
              <w:right w:val="nil"/>
            </w:tcBorders>
            <w:shd w:val="clear" w:color="auto" w:fill="auto"/>
            <w:noWrap/>
            <w:tcMar>
              <w:top w:w="15" w:type="dxa"/>
              <w:left w:w="15" w:type="dxa"/>
              <w:bottom w:w="0" w:type="dxa"/>
              <w:right w:w="15" w:type="dxa"/>
            </w:tcMar>
            <w:vAlign w:val="bottom"/>
          </w:tcPr>
          <w:p w14:paraId="0372C34E"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64BB34BE"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7CE339B5"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3429C90B"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212813D"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5AF4DD9F"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7EE6FC24"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E63FA0B"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5C7C79B2"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2E558BB0"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22DCB99A"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08C91A8C" w14:textId="77777777" w:rsidR="00B22915" w:rsidRPr="00D053C8" w:rsidRDefault="00B22915" w:rsidP="00B22915">
            <w:pPr>
              <w:jc w:val="right"/>
              <w:rPr>
                <w:color w:val="000000"/>
                <w:sz w:val="20"/>
                <w:szCs w:val="20"/>
              </w:rPr>
            </w:pPr>
          </w:p>
        </w:tc>
      </w:tr>
      <w:tr w:rsidR="00B22915" w:rsidRPr="006829F7" w14:paraId="5BC79DF2"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3924C1B8" w14:textId="77777777" w:rsidR="00B22915" w:rsidRPr="001A7004" w:rsidRDefault="00B22915" w:rsidP="00B22915">
            <w:pPr>
              <w:rPr>
                <w:b/>
                <w:bCs/>
                <w:color w:val="000000"/>
                <w:sz w:val="20"/>
                <w:szCs w:val="20"/>
              </w:rPr>
            </w:pPr>
            <w:r w:rsidRPr="001A7004">
              <w:rPr>
                <w:b/>
                <w:bCs/>
                <w:color w:val="000000"/>
                <w:sz w:val="20"/>
                <w:szCs w:val="20"/>
              </w:rPr>
              <w:t>Panel B: First Stage Participation</w:t>
            </w:r>
          </w:p>
        </w:tc>
        <w:tc>
          <w:tcPr>
            <w:tcW w:w="2440" w:type="dxa"/>
            <w:gridSpan w:val="3"/>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2287B39" w14:textId="77777777" w:rsidR="00B22915" w:rsidRPr="00D053C8" w:rsidRDefault="00B22915" w:rsidP="00B22915">
            <w:pPr>
              <w:jc w:val="center"/>
              <w:rPr>
                <w:color w:val="000000"/>
                <w:sz w:val="20"/>
                <w:szCs w:val="20"/>
              </w:rPr>
            </w:pPr>
            <w:r>
              <w:rPr>
                <w:color w:val="000000"/>
                <w:sz w:val="20"/>
                <w:szCs w:val="20"/>
              </w:rPr>
              <w:t>Any College Course</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60C0934"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6CA0561"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4F3D2CE2"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78EFC159"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20D97F13"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52ECCC99"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6171FB79"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6CC92E64"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D059F92" w14:textId="77777777" w:rsidR="00B22915" w:rsidRPr="00D053C8" w:rsidRDefault="00B22915" w:rsidP="00B22915">
            <w:pPr>
              <w:jc w:val="right"/>
              <w:rPr>
                <w:color w:val="000000"/>
                <w:sz w:val="20"/>
                <w:szCs w:val="20"/>
              </w:rPr>
            </w:pPr>
          </w:p>
        </w:tc>
      </w:tr>
      <w:tr w:rsidR="00B22915" w:rsidRPr="006829F7" w14:paraId="7958BA1F"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14033B23" w14:textId="77777777" w:rsidR="00B22915" w:rsidRPr="00D053C8" w:rsidRDefault="00B22915" w:rsidP="00B22915">
            <w:pPr>
              <w:rPr>
                <w:color w:val="000000"/>
                <w:sz w:val="20"/>
                <w:szCs w:val="20"/>
              </w:rPr>
            </w:pPr>
            <w:r>
              <w:rPr>
                <w:color w:val="000000"/>
                <w:sz w:val="20"/>
                <w:szCs w:val="20"/>
              </w:rPr>
              <w:t>Post X Treated</w:t>
            </w:r>
          </w:p>
        </w:tc>
        <w:tc>
          <w:tcPr>
            <w:tcW w:w="2440" w:type="dxa"/>
            <w:gridSpan w:val="3"/>
            <w:tcBorders>
              <w:top w:val="single" w:sz="4" w:space="0" w:color="auto"/>
              <w:left w:val="nil"/>
              <w:right w:val="nil"/>
            </w:tcBorders>
            <w:shd w:val="clear" w:color="auto" w:fill="auto"/>
            <w:noWrap/>
            <w:tcMar>
              <w:top w:w="15" w:type="dxa"/>
              <w:left w:w="15" w:type="dxa"/>
              <w:bottom w:w="0" w:type="dxa"/>
              <w:right w:w="15" w:type="dxa"/>
            </w:tcMar>
            <w:vAlign w:val="bottom"/>
          </w:tcPr>
          <w:p w14:paraId="5B00689B" w14:textId="77777777" w:rsidR="00B22915" w:rsidRPr="001A7004" w:rsidRDefault="00B22915" w:rsidP="00B22915">
            <w:pPr>
              <w:jc w:val="center"/>
              <w:rPr>
                <w:b/>
                <w:bCs/>
                <w:color w:val="000000"/>
                <w:sz w:val="20"/>
                <w:szCs w:val="20"/>
              </w:rPr>
            </w:pPr>
            <w:r w:rsidRPr="001A7004">
              <w:rPr>
                <w:b/>
                <w:bCs/>
                <w:color w:val="000000"/>
                <w:sz w:val="20"/>
                <w:szCs w:val="20"/>
              </w:rPr>
              <w:t>0.500***</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39B9F9AC"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2EABFC86"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17036DA2"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7991A83B"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63EFCB1B"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014FA567"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678904AE"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0E85841F"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332A5056" w14:textId="77777777" w:rsidR="00B22915" w:rsidRPr="00D053C8" w:rsidRDefault="00B22915" w:rsidP="00B22915">
            <w:pPr>
              <w:jc w:val="right"/>
              <w:rPr>
                <w:color w:val="000000"/>
                <w:sz w:val="20"/>
                <w:szCs w:val="20"/>
              </w:rPr>
            </w:pPr>
          </w:p>
        </w:tc>
      </w:tr>
      <w:tr w:rsidR="00B22915" w:rsidRPr="006829F7" w14:paraId="69824494"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5BE93105" w14:textId="77777777" w:rsidR="00B22915" w:rsidRPr="00D053C8" w:rsidRDefault="00B22915" w:rsidP="00B22915">
            <w:pPr>
              <w:rPr>
                <w:color w:val="000000"/>
                <w:sz w:val="20"/>
                <w:szCs w:val="20"/>
              </w:rPr>
            </w:pPr>
          </w:p>
        </w:tc>
        <w:tc>
          <w:tcPr>
            <w:tcW w:w="2440" w:type="dxa"/>
            <w:gridSpan w:val="3"/>
            <w:tcBorders>
              <w:top w:val="nil"/>
              <w:left w:val="nil"/>
              <w:right w:val="nil"/>
            </w:tcBorders>
            <w:shd w:val="clear" w:color="auto" w:fill="auto"/>
            <w:noWrap/>
            <w:tcMar>
              <w:top w:w="15" w:type="dxa"/>
              <w:left w:w="15" w:type="dxa"/>
              <w:bottom w:w="0" w:type="dxa"/>
              <w:right w:w="15" w:type="dxa"/>
            </w:tcMar>
            <w:vAlign w:val="bottom"/>
          </w:tcPr>
          <w:p w14:paraId="1C0A6D1A" w14:textId="77777777" w:rsidR="00B22915" w:rsidRPr="001A7004" w:rsidRDefault="00B22915" w:rsidP="00B22915">
            <w:pPr>
              <w:jc w:val="center"/>
              <w:rPr>
                <w:b/>
                <w:bCs/>
                <w:color w:val="000000"/>
                <w:sz w:val="20"/>
                <w:szCs w:val="20"/>
              </w:rPr>
            </w:pPr>
            <w:r w:rsidRPr="001A7004">
              <w:rPr>
                <w:b/>
                <w:bCs/>
                <w:color w:val="000000"/>
                <w:sz w:val="20"/>
                <w:szCs w:val="20"/>
              </w:rPr>
              <w:t>(0.022)</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57084194"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72C8C160"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1AAF6E52"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57280FBD"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36F0983B"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70CEFB7"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565528FA"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1C11F56F"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8016B67" w14:textId="77777777" w:rsidR="00B22915" w:rsidRPr="00D053C8" w:rsidRDefault="00B22915" w:rsidP="00B22915">
            <w:pPr>
              <w:jc w:val="right"/>
              <w:rPr>
                <w:color w:val="000000"/>
                <w:sz w:val="20"/>
                <w:szCs w:val="20"/>
              </w:rPr>
            </w:pPr>
          </w:p>
        </w:tc>
      </w:tr>
      <w:tr w:rsidR="00B22915" w:rsidRPr="006829F7" w14:paraId="71601664"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458DCCD7" w14:textId="77777777" w:rsidR="00B22915" w:rsidRPr="00D053C8" w:rsidRDefault="00B22915" w:rsidP="00B22915">
            <w:pPr>
              <w:rPr>
                <w:color w:val="000000"/>
                <w:sz w:val="20"/>
                <w:szCs w:val="20"/>
              </w:rPr>
            </w:pPr>
            <w:r>
              <w:rPr>
                <w:color w:val="000000"/>
                <w:sz w:val="20"/>
                <w:szCs w:val="20"/>
              </w:rPr>
              <w:t>Treated</w:t>
            </w:r>
          </w:p>
        </w:tc>
        <w:tc>
          <w:tcPr>
            <w:tcW w:w="2440" w:type="dxa"/>
            <w:gridSpan w:val="3"/>
            <w:tcBorders>
              <w:top w:val="nil"/>
              <w:left w:val="nil"/>
              <w:right w:val="nil"/>
            </w:tcBorders>
            <w:shd w:val="clear" w:color="auto" w:fill="auto"/>
            <w:noWrap/>
            <w:tcMar>
              <w:top w:w="15" w:type="dxa"/>
              <w:left w:w="15" w:type="dxa"/>
              <w:bottom w:w="0" w:type="dxa"/>
              <w:right w:w="15" w:type="dxa"/>
            </w:tcMar>
            <w:vAlign w:val="bottom"/>
          </w:tcPr>
          <w:p w14:paraId="6BF81D3C" w14:textId="77777777" w:rsidR="00B22915" w:rsidRPr="00D053C8" w:rsidRDefault="00B22915" w:rsidP="00B22915">
            <w:pPr>
              <w:jc w:val="center"/>
              <w:rPr>
                <w:color w:val="000000"/>
                <w:sz w:val="20"/>
                <w:szCs w:val="20"/>
              </w:rPr>
            </w:pPr>
            <w:r>
              <w:rPr>
                <w:color w:val="000000"/>
                <w:sz w:val="20"/>
                <w:szCs w:val="20"/>
              </w:rPr>
              <w:t>-0.094***</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28866B6D"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7D40C57"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2CEA33FB"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2FD8FDE0"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32903E1C"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62AB99CD"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6C38414F"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52E6CDC"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211302D3" w14:textId="77777777" w:rsidR="00B22915" w:rsidRPr="00D053C8" w:rsidRDefault="00B22915" w:rsidP="00B22915">
            <w:pPr>
              <w:jc w:val="right"/>
              <w:rPr>
                <w:color w:val="000000"/>
                <w:sz w:val="20"/>
                <w:szCs w:val="20"/>
              </w:rPr>
            </w:pPr>
          </w:p>
        </w:tc>
      </w:tr>
      <w:tr w:rsidR="00B22915" w:rsidRPr="006829F7" w14:paraId="2710E89E"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0E47EDF2" w14:textId="77777777" w:rsidR="00B22915" w:rsidRPr="00D053C8" w:rsidRDefault="00B22915" w:rsidP="00B22915">
            <w:pPr>
              <w:rPr>
                <w:color w:val="000000"/>
                <w:sz w:val="20"/>
                <w:szCs w:val="20"/>
              </w:rPr>
            </w:pPr>
          </w:p>
        </w:tc>
        <w:tc>
          <w:tcPr>
            <w:tcW w:w="2440" w:type="dxa"/>
            <w:gridSpan w:val="3"/>
            <w:tcBorders>
              <w:top w:val="nil"/>
              <w:left w:val="nil"/>
              <w:right w:val="nil"/>
            </w:tcBorders>
            <w:shd w:val="clear" w:color="auto" w:fill="auto"/>
            <w:noWrap/>
            <w:tcMar>
              <w:top w:w="15" w:type="dxa"/>
              <w:left w:w="15" w:type="dxa"/>
              <w:bottom w:w="0" w:type="dxa"/>
              <w:right w:w="15" w:type="dxa"/>
            </w:tcMar>
            <w:vAlign w:val="bottom"/>
          </w:tcPr>
          <w:p w14:paraId="78801AE0" w14:textId="77777777" w:rsidR="00B22915" w:rsidRPr="00D053C8" w:rsidRDefault="00B22915" w:rsidP="00B22915">
            <w:pPr>
              <w:jc w:val="center"/>
              <w:rPr>
                <w:color w:val="000000"/>
                <w:sz w:val="20"/>
                <w:szCs w:val="20"/>
              </w:rPr>
            </w:pPr>
            <w:r>
              <w:rPr>
                <w:color w:val="000000"/>
                <w:sz w:val="20"/>
                <w:szCs w:val="20"/>
              </w:rPr>
              <w:t>(0.012)</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65940BE4"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7B99283B"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3DA949AF"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227C87EE"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1E7788A2"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6AC17A27"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1B781910"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69664E0E"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14CD67B9" w14:textId="77777777" w:rsidR="00B22915" w:rsidRPr="00D053C8" w:rsidRDefault="00B22915" w:rsidP="00B22915">
            <w:pPr>
              <w:jc w:val="right"/>
              <w:rPr>
                <w:color w:val="000000"/>
                <w:sz w:val="20"/>
                <w:szCs w:val="20"/>
              </w:rPr>
            </w:pPr>
          </w:p>
        </w:tc>
      </w:tr>
      <w:tr w:rsidR="00B22915" w:rsidRPr="006829F7" w14:paraId="553260D5"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4EB8C905" w14:textId="77777777" w:rsidR="00B22915" w:rsidRPr="00D053C8" w:rsidRDefault="00B22915" w:rsidP="00B22915">
            <w:pPr>
              <w:rPr>
                <w:color w:val="000000"/>
                <w:sz w:val="20"/>
                <w:szCs w:val="20"/>
              </w:rPr>
            </w:pPr>
            <w:r>
              <w:rPr>
                <w:color w:val="000000"/>
                <w:sz w:val="20"/>
                <w:szCs w:val="20"/>
              </w:rPr>
              <w:t>Post</w:t>
            </w:r>
          </w:p>
        </w:tc>
        <w:tc>
          <w:tcPr>
            <w:tcW w:w="2440" w:type="dxa"/>
            <w:gridSpan w:val="3"/>
            <w:tcBorders>
              <w:top w:val="nil"/>
              <w:left w:val="nil"/>
              <w:right w:val="nil"/>
            </w:tcBorders>
            <w:shd w:val="clear" w:color="auto" w:fill="auto"/>
            <w:noWrap/>
            <w:tcMar>
              <w:top w:w="15" w:type="dxa"/>
              <w:left w:w="15" w:type="dxa"/>
              <w:bottom w:w="0" w:type="dxa"/>
              <w:right w:w="15" w:type="dxa"/>
            </w:tcMar>
            <w:vAlign w:val="bottom"/>
          </w:tcPr>
          <w:p w14:paraId="22049391" w14:textId="77777777" w:rsidR="00B22915" w:rsidRPr="00D053C8" w:rsidRDefault="00B22915" w:rsidP="00B22915">
            <w:pPr>
              <w:jc w:val="center"/>
              <w:rPr>
                <w:color w:val="000000"/>
                <w:sz w:val="20"/>
                <w:szCs w:val="20"/>
              </w:rPr>
            </w:pPr>
            <w:r>
              <w:rPr>
                <w:color w:val="000000"/>
                <w:sz w:val="20"/>
                <w:szCs w:val="20"/>
              </w:rPr>
              <w:t>0.070***</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249DF7D8"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5B39EEF6"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589136DF"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55F2EB3E"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63378861"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6477EFCA"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68371091"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23837201"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04B9565A" w14:textId="77777777" w:rsidR="00B22915" w:rsidRPr="00D053C8" w:rsidRDefault="00B22915" w:rsidP="00B22915">
            <w:pPr>
              <w:jc w:val="right"/>
              <w:rPr>
                <w:color w:val="000000"/>
                <w:sz w:val="20"/>
                <w:szCs w:val="20"/>
              </w:rPr>
            </w:pPr>
          </w:p>
        </w:tc>
      </w:tr>
      <w:tr w:rsidR="00B22915" w:rsidRPr="006829F7" w14:paraId="70E84C4A"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08B9B6AE" w14:textId="77777777" w:rsidR="00B22915" w:rsidRDefault="00B22915" w:rsidP="00B22915">
            <w:pPr>
              <w:rPr>
                <w:color w:val="000000"/>
                <w:sz w:val="20"/>
                <w:szCs w:val="20"/>
              </w:rPr>
            </w:pPr>
          </w:p>
        </w:tc>
        <w:tc>
          <w:tcPr>
            <w:tcW w:w="2440" w:type="dxa"/>
            <w:gridSpan w:val="3"/>
            <w:tcBorders>
              <w:top w:val="nil"/>
              <w:left w:val="nil"/>
              <w:right w:val="nil"/>
            </w:tcBorders>
            <w:shd w:val="clear" w:color="auto" w:fill="auto"/>
            <w:noWrap/>
            <w:tcMar>
              <w:top w:w="15" w:type="dxa"/>
              <w:left w:w="15" w:type="dxa"/>
              <w:bottom w:w="0" w:type="dxa"/>
              <w:right w:w="15" w:type="dxa"/>
            </w:tcMar>
            <w:vAlign w:val="bottom"/>
          </w:tcPr>
          <w:p w14:paraId="57A1E8E2" w14:textId="77777777" w:rsidR="00B22915" w:rsidRPr="00D053C8" w:rsidRDefault="00B22915" w:rsidP="00B22915">
            <w:pPr>
              <w:jc w:val="center"/>
              <w:rPr>
                <w:color w:val="000000"/>
                <w:sz w:val="20"/>
                <w:szCs w:val="20"/>
              </w:rPr>
            </w:pPr>
            <w:r>
              <w:rPr>
                <w:color w:val="000000"/>
                <w:sz w:val="20"/>
                <w:szCs w:val="20"/>
              </w:rPr>
              <w:t>(0.006)</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96FFE5D"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587E34F0"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CC1BE77"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2FB4CEEC"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4672F898"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3B7B649"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79D8EAE7"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11B89EB3"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72ACF963" w14:textId="77777777" w:rsidR="00B22915" w:rsidRPr="00D053C8" w:rsidRDefault="00B22915" w:rsidP="00B22915">
            <w:pPr>
              <w:jc w:val="right"/>
              <w:rPr>
                <w:color w:val="000000"/>
                <w:sz w:val="20"/>
                <w:szCs w:val="20"/>
              </w:rPr>
            </w:pPr>
          </w:p>
        </w:tc>
      </w:tr>
      <w:tr w:rsidR="00B22915" w:rsidRPr="006829F7" w14:paraId="22BA69BA" w14:textId="77777777" w:rsidTr="00B22915">
        <w:trPr>
          <w:trHeight w:val="300"/>
        </w:trPr>
        <w:tc>
          <w:tcPr>
            <w:tcW w:w="3320" w:type="dxa"/>
            <w:tcBorders>
              <w:top w:val="nil"/>
              <w:left w:val="nil"/>
              <w:right w:val="nil"/>
            </w:tcBorders>
            <w:shd w:val="clear" w:color="auto" w:fill="auto"/>
            <w:noWrap/>
            <w:tcMar>
              <w:top w:w="15" w:type="dxa"/>
              <w:left w:w="15" w:type="dxa"/>
              <w:bottom w:w="0" w:type="dxa"/>
              <w:right w:w="15" w:type="dxa"/>
            </w:tcMar>
            <w:vAlign w:val="bottom"/>
          </w:tcPr>
          <w:p w14:paraId="1AC3A081" w14:textId="77777777" w:rsidR="00B22915" w:rsidRDefault="00B22915" w:rsidP="00B22915">
            <w:pPr>
              <w:rPr>
                <w:color w:val="000000"/>
                <w:sz w:val="20"/>
                <w:szCs w:val="20"/>
              </w:rPr>
            </w:pPr>
            <w:r>
              <w:rPr>
                <w:color w:val="000000"/>
                <w:sz w:val="20"/>
                <w:szCs w:val="20"/>
              </w:rPr>
              <w:t>Observations</w:t>
            </w:r>
          </w:p>
        </w:tc>
        <w:tc>
          <w:tcPr>
            <w:tcW w:w="2440" w:type="dxa"/>
            <w:gridSpan w:val="3"/>
            <w:tcBorders>
              <w:top w:val="nil"/>
              <w:left w:val="nil"/>
              <w:right w:val="nil"/>
            </w:tcBorders>
            <w:shd w:val="clear" w:color="auto" w:fill="auto"/>
            <w:noWrap/>
            <w:tcMar>
              <w:top w:w="15" w:type="dxa"/>
              <w:left w:w="15" w:type="dxa"/>
              <w:bottom w:w="0" w:type="dxa"/>
              <w:right w:w="15" w:type="dxa"/>
            </w:tcMar>
            <w:vAlign w:val="bottom"/>
          </w:tcPr>
          <w:p w14:paraId="5DF144CF" w14:textId="77777777" w:rsidR="00B22915" w:rsidRPr="00D053C8" w:rsidRDefault="00B22915" w:rsidP="00B22915">
            <w:pPr>
              <w:jc w:val="center"/>
              <w:rPr>
                <w:color w:val="000000"/>
                <w:sz w:val="20"/>
                <w:szCs w:val="20"/>
              </w:rPr>
            </w:pPr>
            <w:r>
              <w:rPr>
                <w:color w:val="000000"/>
                <w:sz w:val="20"/>
                <w:szCs w:val="20"/>
              </w:rPr>
              <w:t>15,090</w:t>
            </w:r>
          </w:p>
        </w:tc>
        <w:tc>
          <w:tcPr>
            <w:tcW w:w="810" w:type="dxa"/>
            <w:tcBorders>
              <w:top w:val="nil"/>
              <w:left w:val="nil"/>
              <w:right w:val="nil"/>
            </w:tcBorders>
            <w:shd w:val="clear" w:color="auto" w:fill="auto"/>
            <w:noWrap/>
            <w:tcMar>
              <w:top w:w="15" w:type="dxa"/>
              <w:left w:w="15" w:type="dxa"/>
              <w:bottom w:w="0" w:type="dxa"/>
              <w:right w:w="15" w:type="dxa"/>
            </w:tcMar>
            <w:vAlign w:val="bottom"/>
          </w:tcPr>
          <w:p w14:paraId="0BE9B223"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1F63A2A3"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4C630A5A"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0E90EEF2"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692B81FE"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4526E36F" w14:textId="77777777" w:rsidR="00B22915" w:rsidRPr="00D053C8" w:rsidRDefault="00B22915" w:rsidP="00B22915">
            <w:pPr>
              <w:jc w:val="right"/>
              <w:rPr>
                <w:color w:val="000000"/>
                <w:sz w:val="20"/>
                <w:szCs w:val="20"/>
              </w:rPr>
            </w:pPr>
          </w:p>
        </w:tc>
        <w:tc>
          <w:tcPr>
            <w:tcW w:w="900" w:type="dxa"/>
            <w:tcBorders>
              <w:top w:val="nil"/>
              <w:left w:val="nil"/>
              <w:right w:val="nil"/>
            </w:tcBorders>
            <w:shd w:val="clear" w:color="auto" w:fill="auto"/>
            <w:noWrap/>
            <w:tcMar>
              <w:top w:w="15" w:type="dxa"/>
              <w:left w:w="15" w:type="dxa"/>
              <w:bottom w:w="0" w:type="dxa"/>
              <w:right w:w="15" w:type="dxa"/>
            </w:tcMar>
            <w:vAlign w:val="bottom"/>
          </w:tcPr>
          <w:p w14:paraId="7FF00451" w14:textId="77777777" w:rsidR="00B22915" w:rsidRPr="00D053C8" w:rsidRDefault="00B22915" w:rsidP="00B22915">
            <w:pPr>
              <w:jc w:val="right"/>
              <w:rPr>
                <w:color w:val="000000"/>
                <w:sz w:val="20"/>
                <w:szCs w:val="20"/>
              </w:rPr>
            </w:pPr>
          </w:p>
        </w:tc>
        <w:tc>
          <w:tcPr>
            <w:tcW w:w="720" w:type="dxa"/>
            <w:tcBorders>
              <w:top w:val="nil"/>
              <w:left w:val="nil"/>
              <w:right w:val="nil"/>
            </w:tcBorders>
            <w:shd w:val="clear" w:color="auto" w:fill="auto"/>
            <w:noWrap/>
            <w:tcMar>
              <w:top w:w="15" w:type="dxa"/>
              <w:left w:w="15" w:type="dxa"/>
              <w:bottom w:w="0" w:type="dxa"/>
              <w:right w:w="15" w:type="dxa"/>
            </w:tcMar>
            <w:vAlign w:val="bottom"/>
          </w:tcPr>
          <w:p w14:paraId="35E2A651" w14:textId="77777777" w:rsidR="00B22915" w:rsidRPr="00D053C8" w:rsidRDefault="00B22915" w:rsidP="00B22915">
            <w:pPr>
              <w:jc w:val="right"/>
              <w:rPr>
                <w:color w:val="000000"/>
                <w:sz w:val="20"/>
                <w:szCs w:val="20"/>
              </w:rPr>
            </w:pPr>
          </w:p>
        </w:tc>
        <w:tc>
          <w:tcPr>
            <w:tcW w:w="810" w:type="dxa"/>
            <w:tcBorders>
              <w:top w:val="nil"/>
              <w:left w:val="nil"/>
              <w:right w:val="nil"/>
            </w:tcBorders>
            <w:shd w:val="clear" w:color="auto" w:fill="auto"/>
            <w:noWrap/>
            <w:tcMar>
              <w:top w:w="15" w:type="dxa"/>
              <w:left w:w="15" w:type="dxa"/>
              <w:bottom w:w="0" w:type="dxa"/>
              <w:right w:w="15" w:type="dxa"/>
            </w:tcMar>
            <w:vAlign w:val="bottom"/>
          </w:tcPr>
          <w:p w14:paraId="531333E3" w14:textId="77777777" w:rsidR="00B22915" w:rsidRPr="00D053C8" w:rsidRDefault="00B22915" w:rsidP="00B22915">
            <w:pPr>
              <w:jc w:val="right"/>
              <w:rPr>
                <w:color w:val="000000"/>
                <w:sz w:val="20"/>
                <w:szCs w:val="20"/>
              </w:rPr>
            </w:pPr>
          </w:p>
        </w:tc>
      </w:tr>
      <w:tr w:rsidR="00B22915" w:rsidRPr="006829F7" w14:paraId="40700504" w14:textId="77777777" w:rsidTr="00B22915">
        <w:trPr>
          <w:trHeight w:val="300"/>
        </w:trPr>
        <w:tc>
          <w:tcPr>
            <w:tcW w:w="332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6476CB60" w14:textId="77777777" w:rsidR="00B22915" w:rsidRPr="001A7004" w:rsidRDefault="00B22915" w:rsidP="00B22915">
            <w:pPr>
              <w:rPr>
                <w:color w:val="000000"/>
                <w:sz w:val="20"/>
                <w:szCs w:val="20"/>
              </w:rPr>
            </w:pPr>
            <w:r w:rsidRPr="001A7004">
              <w:rPr>
                <w:color w:val="000000"/>
                <w:sz w:val="20"/>
                <w:szCs w:val="20"/>
              </w:rPr>
              <w:t>R-squared</w:t>
            </w:r>
          </w:p>
        </w:tc>
        <w:tc>
          <w:tcPr>
            <w:tcW w:w="2440" w:type="dxa"/>
            <w:gridSpan w:val="3"/>
            <w:tcBorders>
              <w:left w:val="nil"/>
              <w:bottom w:val="single" w:sz="4" w:space="0" w:color="auto"/>
              <w:right w:val="nil"/>
            </w:tcBorders>
            <w:shd w:val="clear" w:color="auto" w:fill="auto"/>
            <w:noWrap/>
            <w:tcMar>
              <w:top w:w="15" w:type="dxa"/>
              <w:left w:w="15" w:type="dxa"/>
              <w:bottom w:w="0" w:type="dxa"/>
              <w:right w:w="15" w:type="dxa"/>
            </w:tcMar>
            <w:vAlign w:val="bottom"/>
          </w:tcPr>
          <w:p w14:paraId="3C6514AA" w14:textId="77777777" w:rsidR="00B22915" w:rsidRPr="001A7004" w:rsidRDefault="00B22915" w:rsidP="00B22915">
            <w:pPr>
              <w:jc w:val="center"/>
              <w:rPr>
                <w:color w:val="000000"/>
                <w:sz w:val="20"/>
                <w:szCs w:val="20"/>
              </w:rPr>
            </w:pPr>
            <w:r w:rsidRPr="001A7004">
              <w:rPr>
                <w:color w:val="000000"/>
                <w:sz w:val="20"/>
                <w:szCs w:val="20"/>
              </w:rPr>
              <w:t>0.053</w:t>
            </w:r>
          </w:p>
        </w:tc>
        <w:tc>
          <w:tcPr>
            <w:tcW w:w="81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0CD6A217" w14:textId="77777777" w:rsidR="00B22915" w:rsidRPr="006829F7" w:rsidRDefault="00B22915" w:rsidP="00B22915">
            <w:pPr>
              <w:jc w:val="right"/>
              <w:rPr>
                <w:color w:val="000000"/>
                <w:sz w:val="22"/>
              </w:rPr>
            </w:pPr>
          </w:p>
        </w:tc>
        <w:tc>
          <w:tcPr>
            <w:tcW w:w="72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21150827" w14:textId="77777777" w:rsidR="00B22915" w:rsidRPr="006829F7" w:rsidRDefault="00B22915" w:rsidP="00B22915">
            <w:pPr>
              <w:jc w:val="right"/>
              <w:rPr>
                <w:color w:val="000000"/>
                <w:sz w:val="22"/>
              </w:rPr>
            </w:pPr>
          </w:p>
        </w:tc>
        <w:tc>
          <w:tcPr>
            <w:tcW w:w="81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3EE671B2" w14:textId="77777777" w:rsidR="00B22915" w:rsidRPr="006829F7" w:rsidRDefault="00B22915" w:rsidP="00B22915">
            <w:pPr>
              <w:jc w:val="right"/>
              <w:rPr>
                <w:color w:val="000000"/>
                <w:sz w:val="22"/>
              </w:rPr>
            </w:pPr>
          </w:p>
        </w:tc>
        <w:tc>
          <w:tcPr>
            <w:tcW w:w="90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29A495FA" w14:textId="77777777" w:rsidR="00B22915" w:rsidRPr="006829F7" w:rsidRDefault="00B22915" w:rsidP="00B22915">
            <w:pPr>
              <w:jc w:val="right"/>
              <w:rPr>
                <w:color w:val="000000"/>
                <w:sz w:val="22"/>
              </w:rPr>
            </w:pPr>
          </w:p>
        </w:tc>
        <w:tc>
          <w:tcPr>
            <w:tcW w:w="81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2A1A6945" w14:textId="77777777" w:rsidR="00B22915" w:rsidRPr="006829F7" w:rsidRDefault="00B22915" w:rsidP="00B22915">
            <w:pPr>
              <w:jc w:val="right"/>
              <w:rPr>
                <w:color w:val="000000"/>
                <w:sz w:val="22"/>
              </w:rPr>
            </w:pPr>
          </w:p>
        </w:tc>
        <w:tc>
          <w:tcPr>
            <w:tcW w:w="72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5245408D" w14:textId="77777777" w:rsidR="00B22915" w:rsidRPr="006829F7" w:rsidRDefault="00B22915" w:rsidP="00B22915">
            <w:pPr>
              <w:jc w:val="right"/>
              <w:rPr>
                <w:color w:val="000000"/>
                <w:sz w:val="22"/>
              </w:rPr>
            </w:pPr>
          </w:p>
        </w:tc>
        <w:tc>
          <w:tcPr>
            <w:tcW w:w="90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45CA3BD0" w14:textId="77777777" w:rsidR="00B22915" w:rsidRPr="006829F7" w:rsidRDefault="00B22915" w:rsidP="00B22915">
            <w:pPr>
              <w:jc w:val="right"/>
              <w:rPr>
                <w:color w:val="000000"/>
                <w:sz w:val="22"/>
              </w:rPr>
            </w:pPr>
          </w:p>
        </w:tc>
        <w:tc>
          <w:tcPr>
            <w:tcW w:w="72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7A656530" w14:textId="77777777" w:rsidR="00B22915" w:rsidRPr="006829F7" w:rsidRDefault="00B22915" w:rsidP="00B22915">
            <w:pPr>
              <w:jc w:val="right"/>
              <w:rPr>
                <w:color w:val="000000"/>
                <w:sz w:val="22"/>
              </w:rPr>
            </w:pPr>
          </w:p>
        </w:tc>
        <w:tc>
          <w:tcPr>
            <w:tcW w:w="810"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1EE7DF58" w14:textId="77777777" w:rsidR="00B22915" w:rsidRPr="006829F7" w:rsidRDefault="00B22915" w:rsidP="00B22915">
            <w:pPr>
              <w:jc w:val="right"/>
              <w:rPr>
                <w:color w:val="000000"/>
                <w:sz w:val="22"/>
              </w:rPr>
            </w:pPr>
          </w:p>
        </w:tc>
      </w:tr>
      <w:tr w:rsidR="00B22915" w:rsidRPr="006829F7" w14:paraId="741969C5" w14:textId="77777777" w:rsidTr="00B22915">
        <w:trPr>
          <w:trHeight w:val="300"/>
        </w:trPr>
        <w:tc>
          <w:tcPr>
            <w:tcW w:w="12960" w:type="dxa"/>
            <w:gridSpan w:val="13"/>
            <w:tcBorders>
              <w:top w:val="single" w:sz="4" w:space="0" w:color="auto"/>
              <w:left w:val="nil"/>
              <w:right w:val="nil"/>
            </w:tcBorders>
            <w:shd w:val="clear" w:color="auto" w:fill="auto"/>
            <w:noWrap/>
            <w:tcMar>
              <w:top w:w="15" w:type="dxa"/>
              <w:left w:w="15" w:type="dxa"/>
              <w:bottom w:w="0" w:type="dxa"/>
              <w:right w:w="15" w:type="dxa"/>
            </w:tcMar>
            <w:vAlign w:val="bottom"/>
          </w:tcPr>
          <w:p w14:paraId="247D4053" w14:textId="77777777" w:rsidR="00B22915" w:rsidRPr="001A7004" w:rsidRDefault="00B22915" w:rsidP="00B22915">
            <w:pPr>
              <w:rPr>
                <w:color w:val="000000"/>
                <w:sz w:val="20"/>
                <w:szCs w:val="20"/>
              </w:rPr>
            </w:pPr>
            <w:r w:rsidRPr="001A7004">
              <w:rPr>
                <w:color w:val="000000"/>
                <w:sz w:val="20"/>
                <w:szCs w:val="20"/>
              </w:rPr>
              <w:t xml:space="preserve">Notes: </w:t>
            </w:r>
            <w:r w:rsidRPr="001A7004">
              <w:rPr>
                <w:sz w:val="20"/>
                <w:szCs w:val="20"/>
              </w:rPr>
              <w:t xml:space="preserve">*** p&lt;0.01, ** p&lt;0.05, * p&lt;0.1. Estimates were obtained using </w:t>
            </w:r>
            <w:r>
              <w:rPr>
                <w:sz w:val="20"/>
                <w:szCs w:val="20"/>
              </w:rPr>
              <w:t xml:space="preserve">a </w:t>
            </w:r>
            <w:r w:rsidRPr="001A7004">
              <w:rPr>
                <w:sz w:val="20"/>
                <w:szCs w:val="20"/>
              </w:rPr>
              <w:t>DiD model. Sample includes students who have ever been classified as English Learners in grades K-12.</w:t>
            </w:r>
            <w:r>
              <w:rPr>
                <w:sz w:val="20"/>
                <w:szCs w:val="20"/>
              </w:rPr>
              <w:t xml:space="preserve"> Any college course = 1 if student enrolled in any dual enrollment course that bears college credit, 0 otherwise. </w:t>
            </w:r>
          </w:p>
        </w:tc>
      </w:tr>
    </w:tbl>
    <w:p w14:paraId="0DFB9E8F" w14:textId="77777777" w:rsidR="00B22915" w:rsidRDefault="00B22915" w:rsidP="00B22915"/>
    <w:p w14:paraId="08FE8E52" w14:textId="77777777" w:rsidR="00B22915" w:rsidRDefault="00B22915" w:rsidP="00B22915">
      <w:r>
        <w:br w:type="page"/>
      </w:r>
    </w:p>
    <w:p w14:paraId="28A6A660" w14:textId="5BEEEF53" w:rsidR="00B22915" w:rsidRDefault="00B22915" w:rsidP="00B22915">
      <w:r>
        <w:lastRenderedPageBreak/>
        <w:t xml:space="preserve">Table A2. DiD Estimates of Early College Effects on </w:t>
      </w:r>
      <w:r w:rsidR="00141418">
        <w:t>Ever-EL</w:t>
      </w:r>
      <w:r>
        <w:t xml:space="preserve"> Subgroups</w:t>
      </w:r>
    </w:p>
    <w:tbl>
      <w:tblPr>
        <w:tblW w:w="13320" w:type="dxa"/>
        <w:tblLayout w:type="fixed"/>
        <w:tblLook w:val="04A0" w:firstRow="1" w:lastRow="0" w:firstColumn="1" w:lastColumn="0" w:noHBand="0" w:noVBand="1"/>
      </w:tblPr>
      <w:tblGrid>
        <w:gridCol w:w="2160"/>
        <w:gridCol w:w="1182"/>
        <w:gridCol w:w="1425"/>
        <w:gridCol w:w="1425"/>
        <w:gridCol w:w="1426"/>
        <w:gridCol w:w="32"/>
        <w:gridCol w:w="1393"/>
        <w:gridCol w:w="1426"/>
        <w:gridCol w:w="1425"/>
        <w:gridCol w:w="1426"/>
      </w:tblGrid>
      <w:tr w:rsidR="00B22915" w:rsidRPr="004A6421" w14:paraId="5A496C4E" w14:textId="77777777" w:rsidTr="00B22915">
        <w:trPr>
          <w:trHeight w:val="300"/>
        </w:trPr>
        <w:tc>
          <w:tcPr>
            <w:tcW w:w="2160" w:type="dxa"/>
            <w:tcBorders>
              <w:top w:val="nil"/>
              <w:left w:val="nil"/>
              <w:bottom w:val="nil"/>
              <w:right w:val="nil"/>
            </w:tcBorders>
            <w:shd w:val="clear" w:color="auto" w:fill="auto"/>
            <w:noWrap/>
            <w:vAlign w:val="bottom"/>
            <w:hideMark/>
          </w:tcPr>
          <w:p w14:paraId="1C496866" w14:textId="77777777" w:rsidR="00B22915" w:rsidRPr="004A6421" w:rsidRDefault="00B22915" w:rsidP="00B22915">
            <w:pPr>
              <w:rPr>
                <w:b/>
                <w:bCs/>
                <w:color w:val="000000"/>
                <w:sz w:val="20"/>
                <w:szCs w:val="20"/>
              </w:rPr>
            </w:pPr>
            <w:r w:rsidRPr="004A6421">
              <w:rPr>
                <w:b/>
                <w:bCs/>
                <w:color w:val="000000"/>
                <w:sz w:val="20"/>
                <w:szCs w:val="20"/>
              </w:rPr>
              <w:t>Panel A</w:t>
            </w:r>
          </w:p>
        </w:tc>
        <w:tc>
          <w:tcPr>
            <w:tcW w:w="5490" w:type="dxa"/>
            <w:gridSpan w:val="5"/>
            <w:tcBorders>
              <w:top w:val="nil"/>
              <w:left w:val="nil"/>
              <w:bottom w:val="single" w:sz="4" w:space="0" w:color="000000"/>
              <w:right w:val="nil"/>
            </w:tcBorders>
            <w:shd w:val="clear" w:color="auto" w:fill="auto"/>
            <w:noWrap/>
            <w:vAlign w:val="bottom"/>
            <w:hideMark/>
          </w:tcPr>
          <w:p w14:paraId="4736DB62" w14:textId="77777777" w:rsidR="00B22915" w:rsidRPr="004A6421" w:rsidRDefault="00B22915" w:rsidP="00B22915">
            <w:pPr>
              <w:jc w:val="center"/>
              <w:rPr>
                <w:color w:val="000000"/>
                <w:sz w:val="20"/>
                <w:szCs w:val="20"/>
              </w:rPr>
            </w:pPr>
            <w:r w:rsidRPr="004A6421">
              <w:rPr>
                <w:color w:val="000000"/>
                <w:sz w:val="20"/>
                <w:szCs w:val="20"/>
              </w:rPr>
              <w:t>College Credits</w:t>
            </w:r>
            <w:r>
              <w:rPr>
                <w:color w:val="000000"/>
                <w:sz w:val="20"/>
                <w:szCs w:val="20"/>
              </w:rPr>
              <w:t xml:space="preserve"> Earned in</w:t>
            </w:r>
            <w:r w:rsidRPr="004A6421">
              <w:rPr>
                <w:color w:val="000000"/>
                <w:sz w:val="20"/>
                <w:szCs w:val="20"/>
              </w:rPr>
              <w:t xml:space="preserve"> Grade 12</w:t>
            </w:r>
          </w:p>
        </w:tc>
        <w:tc>
          <w:tcPr>
            <w:tcW w:w="5670" w:type="dxa"/>
            <w:gridSpan w:val="4"/>
            <w:tcBorders>
              <w:top w:val="nil"/>
              <w:left w:val="nil"/>
              <w:bottom w:val="single" w:sz="4" w:space="0" w:color="000000"/>
              <w:right w:val="nil"/>
            </w:tcBorders>
            <w:shd w:val="clear" w:color="auto" w:fill="auto"/>
            <w:noWrap/>
            <w:vAlign w:val="bottom"/>
            <w:hideMark/>
          </w:tcPr>
          <w:p w14:paraId="1E8B1FA3" w14:textId="77777777" w:rsidR="00B22915" w:rsidRPr="004A6421" w:rsidRDefault="00B22915" w:rsidP="00B22915">
            <w:pPr>
              <w:jc w:val="center"/>
              <w:rPr>
                <w:color w:val="000000"/>
                <w:sz w:val="20"/>
                <w:szCs w:val="20"/>
              </w:rPr>
            </w:pPr>
            <w:r w:rsidRPr="004A6421">
              <w:rPr>
                <w:color w:val="000000"/>
                <w:sz w:val="20"/>
                <w:szCs w:val="20"/>
              </w:rPr>
              <w:t>Immediately Enrolled in College</w:t>
            </w:r>
          </w:p>
        </w:tc>
      </w:tr>
      <w:tr w:rsidR="00B22915" w:rsidRPr="004A6421" w14:paraId="62872D24" w14:textId="77777777" w:rsidTr="00B22915">
        <w:trPr>
          <w:trHeight w:val="300"/>
        </w:trPr>
        <w:tc>
          <w:tcPr>
            <w:tcW w:w="2160" w:type="dxa"/>
            <w:tcBorders>
              <w:top w:val="single" w:sz="4" w:space="0" w:color="000000"/>
              <w:left w:val="nil"/>
              <w:right w:val="nil"/>
            </w:tcBorders>
            <w:shd w:val="clear" w:color="auto" w:fill="auto"/>
            <w:noWrap/>
            <w:vAlign w:val="bottom"/>
            <w:hideMark/>
          </w:tcPr>
          <w:p w14:paraId="4DCCE01A" w14:textId="77777777" w:rsidR="00B22915" w:rsidRPr="004A6421" w:rsidRDefault="00B22915" w:rsidP="00B22915">
            <w:pPr>
              <w:rPr>
                <w:color w:val="000000"/>
                <w:sz w:val="20"/>
                <w:szCs w:val="20"/>
              </w:rPr>
            </w:pPr>
            <w:r w:rsidRPr="004A6421">
              <w:rPr>
                <w:color w:val="000000"/>
                <w:sz w:val="20"/>
                <w:szCs w:val="20"/>
              </w:rPr>
              <w:t> </w:t>
            </w:r>
          </w:p>
        </w:tc>
        <w:tc>
          <w:tcPr>
            <w:tcW w:w="1182" w:type="dxa"/>
            <w:tcBorders>
              <w:top w:val="nil"/>
              <w:left w:val="nil"/>
              <w:right w:val="nil"/>
            </w:tcBorders>
            <w:shd w:val="clear" w:color="auto" w:fill="auto"/>
            <w:noWrap/>
            <w:vAlign w:val="bottom"/>
            <w:hideMark/>
          </w:tcPr>
          <w:p w14:paraId="47BE1146" w14:textId="77777777" w:rsidR="00B22915" w:rsidRPr="004A6421" w:rsidRDefault="00B22915" w:rsidP="00B22915">
            <w:pPr>
              <w:jc w:val="center"/>
              <w:rPr>
                <w:color w:val="000000"/>
                <w:sz w:val="20"/>
                <w:szCs w:val="20"/>
              </w:rPr>
            </w:pPr>
            <w:r w:rsidRPr="004A6421">
              <w:rPr>
                <w:color w:val="000000"/>
                <w:sz w:val="20"/>
                <w:szCs w:val="20"/>
              </w:rPr>
              <w:t>(1)</w:t>
            </w:r>
          </w:p>
        </w:tc>
        <w:tc>
          <w:tcPr>
            <w:tcW w:w="1425" w:type="dxa"/>
            <w:tcBorders>
              <w:top w:val="nil"/>
              <w:left w:val="nil"/>
              <w:right w:val="nil"/>
            </w:tcBorders>
            <w:shd w:val="clear" w:color="auto" w:fill="auto"/>
            <w:noWrap/>
            <w:vAlign w:val="bottom"/>
            <w:hideMark/>
          </w:tcPr>
          <w:p w14:paraId="61A97D60" w14:textId="77777777" w:rsidR="00B22915" w:rsidRPr="004A6421" w:rsidRDefault="00B22915" w:rsidP="00B22915">
            <w:pPr>
              <w:jc w:val="center"/>
              <w:rPr>
                <w:color w:val="000000"/>
                <w:sz w:val="20"/>
                <w:szCs w:val="20"/>
              </w:rPr>
            </w:pPr>
            <w:r w:rsidRPr="004A6421">
              <w:rPr>
                <w:color w:val="000000"/>
                <w:sz w:val="20"/>
                <w:szCs w:val="20"/>
              </w:rPr>
              <w:t>(2)</w:t>
            </w:r>
          </w:p>
        </w:tc>
        <w:tc>
          <w:tcPr>
            <w:tcW w:w="1425" w:type="dxa"/>
            <w:tcBorders>
              <w:top w:val="nil"/>
              <w:left w:val="nil"/>
              <w:right w:val="nil"/>
            </w:tcBorders>
            <w:shd w:val="clear" w:color="auto" w:fill="auto"/>
            <w:noWrap/>
            <w:vAlign w:val="bottom"/>
            <w:hideMark/>
          </w:tcPr>
          <w:p w14:paraId="3E3BA8A3" w14:textId="77777777" w:rsidR="00B22915" w:rsidRPr="004A6421" w:rsidRDefault="00B22915" w:rsidP="00B22915">
            <w:pPr>
              <w:jc w:val="center"/>
              <w:rPr>
                <w:color w:val="000000"/>
                <w:sz w:val="20"/>
                <w:szCs w:val="20"/>
              </w:rPr>
            </w:pPr>
            <w:r w:rsidRPr="004A6421">
              <w:rPr>
                <w:color w:val="000000"/>
                <w:sz w:val="20"/>
                <w:szCs w:val="20"/>
              </w:rPr>
              <w:t>(3)</w:t>
            </w:r>
          </w:p>
        </w:tc>
        <w:tc>
          <w:tcPr>
            <w:tcW w:w="1426" w:type="dxa"/>
            <w:tcBorders>
              <w:top w:val="nil"/>
              <w:left w:val="nil"/>
              <w:right w:val="nil"/>
            </w:tcBorders>
            <w:shd w:val="clear" w:color="auto" w:fill="auto"/>
            <w:noWrap/>
            <w:vAlign w:val="bottom"/>
            <w:hideMark/>
          </w:tcPr>
          <w:p w14:paraId="11C14A1D" w14:textId="77777777" w:rsidR="00B22915" w:rsidRPr="004A6421" w:rsidRDefault="00B22915" w:rsidP="00B22915">
            <w:pPr>
              <w:jc w:val="center"/>
              <w:rPr>
                <w:color w:val="000000"/>
                <w:sz w:val="20"/>
                <w:szCs w:val="20"/>
              </w:rPr>
            </w:pPr>
            <w:r w:rsidRPr="004A6421">
              <w:rPr>
                <w:color w:val="000000"/>
                <w:sz w:val="20"/>
                <w:szCs w:val="20"/>
              </w:rPr>
              <w:t>(4)</w:t>
            </w:r>
          </w:p>
        </w:tc>
        <w:tc>
          <w:tcPr>
            <w:tcW w:w="1425" w:type="dxa"/>
            <w:gridSpan w:val="2"/>
            <w:tcBorders>
              <w:top w:val="nil"/>
              <w:left w:val="nil"/>
              <w:right w:val="nil"/>
            </w:tcBorders>
            <w:shd w:val="clear" w:color="auto" w:fill="auto"/>
            <w:noWrap/>
            <w:vAlign w:val="bottom"/>
            <w:hideMark/>
          </w:tcPr>
          <w:p w14:paraId="3F44E64B" w14:textId="77777777" w:rsidR="00B22915" w:rsidRPr="004A6421" w:rsidRDefault="00B22915" w:rsidP="00B22915">
            <w:pPr>
              <w:jc w:val="center"/>
              <w:rPr>
                <w:color w:val="000000"/>
                <w:sz w:val="20"/>
                <w:szCs w:val="20"/>
              </w:rPr>
            </w:pPr>
            <w:r w:rsidRPr="004A6421">
              <w:rPr>
                <w:color w:val="000000"/>
                <w:sz w:val="20"/>
                <w:szCs w:val="20"/>
              </w:rPr>
              <w:t>(5)</w:t>
            </w:r>
          </w:p>
        </w:tc>
        <w:tc>
          <w:tcPr>
            <w:tcW w:w="1426" w:type="dxa"/>
            <w:tcBorders>
              <w:top w:val="nil"/>
              <w:left w:val="nil"/>
              <w:right w:val="nil"/>
            </w:tcBorders>
            <w:shd w:val="clear" w:color="auto" w:fill="auto"/>
            <w:noWrap/>
            <w:vAlign w:val="bottom"/>
            <w:hideMark/>
          </w:tcPr>
          <w:p w14:paraId="5143A815" w14:textId="77777777" w:rsidR="00B22915" w:rsidRPr="004A6421" w:rsidRDefault="00B22915" w:rsidP="00B22915">
            <w:pPr>
              <w:jc w:val="center"/>
              <w:rPr>
                <w:color w:val="000000"/>
                <w:sz w:val="20"/>
                <w:szCs w:val="20"/>
              </w:rPr>
            </w:pPr>
            <w:r w:rsidRPr="004A6421">
              <w:rPr>
                <w:color w:val="000000"/>
                <w:sz w:val="20"/>
                <w:szCs w:val="20"/>
              </w:rPr>
              <w:t>(6)</w:t>
            </w:r>
          </w:p>
        </w:tc>
        <w:tc>
          <w:tcPr>
            <w:tcW w:w="1425" w:type="dxa"/>
            <w:tcBorders>
              <w:top w:val="nil"/>
              <w:left w:val="nil"/>
              <w:right w:val="nil"/>
            </w:tcBorders>
            <w:shd w:val="clear" w:color="auto" w:fill="auto"/>
            <w:noWrap/>
            <w:vAlign w:val="bottom"/>
            <w:hideMark/>
          </w:tcPr>
          <w:p w14:paraId="2B94097E" w14:textId="77777777" w:rsidR="00B22915" w:rsidRPr="004A6421" w:rsidRDefault="00B22915" w:rsidP="00B22915">
            <w:pPr>
              <w:jc w:val="center"/>
              <w:rPr>
                <w:color w:val="000000"/>
                <w:sz w:val="20"/>
                <w:szCs w:val="20"/>
              </w:rPr>
            </w:pPr>
            <w:r w:rsidRPr="004A6421">
              <w:rPr>
                <w:color w:val="000000"/>
                <w:sz w:val="20"/>
                <w:szCs w:val="20"/>
              </w:rPr>
              <w:t>(7)</w:t>
            </w:r>
          </w:p>
        </w:tc>
        <w:tc>
          <w:tcPr>
            <w:tcW w:w="1426" w:type="dxa"/>
            <w:tcBorders>
              <w:top w:val="nil"/>
              <w:left w:val="nil"/>
              <w:right w:val="nil"/>
            </w:tcBorders>
            <w:shd w:val="clear" w:color="auto" w:fill="auto"/>
            <w:noWrap/>
            <w:vAlign w:val="bottom"/>
            <w:hideMark/>
          </w:tcPr>
          <w:p w14:paraId="693CF4C6" w14:textId="77777777" w:rsidR="00B22915" w:rsidRPr="004A6421" w:rsidRDefault="00B22915" w:rsidP="00B22915">
            <w:pPr>
              <w:jc w:val="center"/>
              <w:rPr>
                <w:color w:val="000000"/>
                <w:sz w:val="20"/>
                <w:szCs w:val="20"/>
              </w:rPr>
            </w:pPr>
            <w:r w:rsidRPr="004A6421">
              <w:rPr>
                <w:color w:val="000000"/>
                <w:sz w:val="20"/>
                <w:szCs w:val="20"/>
              </w:rPr>
              <w:t>(8)</w:t>
            </w:r>
          </w:p>
        </w:tc>
      </w:tr>
      <w:tr w:rsidR="00B22915" w:rsidRPr="004A6421" w14:paraId="1B1DD4A7" w14:textId="77777777" w:rsidTr="00B22915">
        <w:trPr>
          <w:trHeight w:val="300"/>
        </w:trPr>
        <w:tc>
          <w:tcPr>
            <w:tcW w:w="2160" w:type="dxa"/>
            <w:tcBorders>
              <w:top w:val="nil"/>
              <w:left w:val="nil"/>
              <w:bottom w:val="single" w:sz="4" w:space="0" w:color="auto"/>
              <w:right w:val="nil"/>
            </w:tcBorders>
            <w:shd w:val="clear" w:color="auto" w:fill="auto"/>
            <w:noWrap/>
            <w:vAlign w:val="bottom"/>
            <w:hideMark/>
          </w:tcPr>
          <w:p w14:paraId="76DB966A" w14:textId="77777777" w:rsidR="00B22915" w:rsidRPr="004A6421" w:rsidRDefault="00B22915" w:rsidP="00B22915">
            <w:pPr>
              <w:jc w:val="center"/>
              <w:rPr>
                <w:color w:val="000000"/>
                <w:sz w:val="20"/>
                <w:szCs w:val="20"/>
              </w:rPr>
            </w:pPr>
          </w:p>
        </w:tc>
        <w:tc>
          <w:tcPr>
            <w:tcW w:w="1182" w:type="dxa"/>
            <w:tcBorders>
              <w:top w:val="nil"/>
              <w:left w:val="nil"/>
              <w:bottom w:val="single" w:sz="4" w:space="0" w:color="auto"/>
              <w:right w:val="nil"/>
            </w:tcBorders>
            <w:shd w:val="clear" w:color="auto" w:fill="auto"/>
            <w:noWrap/>
            <w:vAlign w:val="bottom"/>
            <w:hideMark/>
          </w:tcPr>
          <w:p w14:paraId="612666A1" w14:textId="77777777" w:rsidR="00B22915" w:rsidRPr="004A6421" w:rsidRDefault="00B22915" w:rsidP="00B22915">
            <w:pPr>
              <w:jc w:val="center"/>
              <w:rPr>
                <w:color w:val="000000"/>
                <w:sz w:val="20"/>
                <w:szCs w:val="20"/>
              </w:rPr>
            </w:pPr>
            <w:r w:rsidRPr="004A6421">
              <w:rPr>
                <w:color w:val="000000"/>
                <w:sz w:val="20"/>
                <w:szCs w:val="20"/>
              </w:rPr>
              <w:t xml:space="preserve">Gr 6+ </w:t>
            </w:r>
          </w:p>
        </w:tc>
        <w:tc>
          <w:tcPr>
            <w:tcW w:w="1425" w:type="dxa"/>
            <w:tcBorders>
              <w:top w:val="nil"/>
              <w:left w:val="nil"/>
              <w:bottom w:val="single" w:sz="4" w:space="0" w:color="auto"/>
              <w:right w:val="nil"/>
            </w:tcBorders>
            <w:shd w:val="clear" w:color="auto" w:fill="auto"/>
            <w:noWrap/>
            <w:vAlign w:val="bottom"/>
            <w:hideMark/>
          </w:tcPr>
          <w:p w14:paraId="193C0DBA" w14:textId="77777777" w:rsidR="00B22915" w:rsidRPr="004A6421" w:rsidRDefault="00B22915" w:rsidP="00B22915">
            <w:pPr>
              <w:jc w:val="center"/>
              <w:rPr>
                <w:color w:val="000000"/>
                <w:sz w:val="20"/>
                <w:szCs w:val="20"/>
              </w:rPr>
            </w:pPr>
            <w:r w:rsidRPr="004A6421">
              <w:rPr>
                <w:color w:val="000000"/>
                <w:sz w:val="20"/>
                <w:szCs w:val="20"/>
              </w:rPr>
              <w:t xml:space="preserve">Gr 2-5 </w:t>
            </w:r>
          </w:p>
        </w:tc>
        <w:tc>
          <w:tcPr>
            <w:tcW w:w="1425" w:type="dxa"/>
            <w:tcBorders>
              <w:top w:val="nil"/>
              <w:left w:val="nil"/>
              <w:bottom w:val="single" w:sz="4" w:space="0" w:color="auto"/>
              <w:right w:val="nil"/>
            </w:tcBorders>
            <w:shd w:val="clear" w:color="auto" w:fill="auto"/>
            <w:noWrap/>
            <w:vAlign w:val="bottom"/>
            <w:hideMark/>
          </w:tcPr>
          <w:p w14:paraId="2FE746E1" w14:textId="77777777" w:rsidR="00B22915" w:rsidRPr="004A6421" w:rsidRDefault="00B22915" w:rsidP="00B22915">
            <w:pPr>
              <w:jc w:val="center"/>
              <w:rPr>
                <w:color w:val="000000"/>
                <w:sz w:val="20"/>
                <w:szCs w:val="20"/>
              </w:rPr>
            </w:pPr>
            <w:r w:rsidRPr="004A6421">
              <w:rPr>
                <w:color w:val="000000"/>
                <w:sz w:val="20"/>
                <w:szCs w:val="20"/>
              </w:rPr>
              <w:t xml:space="preserve">K or Gr 1 </w:t>
            </w:r>
          </w:p>
        </w:tc>
        <w:tc>
          <w:tcPr>
            <w:tcW w:w="1426" w:type="dxa"/>
            <w:tcBorders>
              <w:top w:val="nil"/>
              <w:left w:val="nil"/>
              <w:bottom w:val="single" w:sz="4" w:space="0" w:color="auto"/>
              <w:right w:val="nil"/>
            </w:tcBorders>
            <w:shd w:val="clear" w:color="auto" w:fill="auto"/>
            <w:noWrap/>
            <w:vAlign w:val="bottom"/>
            <w:hideMark/>
          </w:tcPr>
          <w:p w14:paraId="5696E2F4" w14:textId="77777777" w:rsidR="00B22915" w:rsidRPr="004A6421" w:rsidRDefault="00B22915" w:rsidP="00B22915">
            <w:pPr>
              <w:jc w:val="center"/>
              <w:rPr>
                <w:color w:val="000000"/>
                <w:sz w:val="20"/>
                <w:szCs w:val="20"/>
              </w:rPr>
            </w:pPr>
            <w:r w:rsidRPr="004A6421">
              <w:rPr>
                <w:color w:val="000000"/>
                <w:sz w:val="20"/>
                <w:szCs w:val="20"/>
              </w:rPr>
              <w:t>Reclassified</w:t>
            </w:r>
          </w:p>
        </w:tc>
        <w:tc>
          <w:tcPr>
            <w:tcW w:w="1425" w:type="dxa"/>
            <w:gridSpan w:val="2"/>
            <w:tcBorders>
              <w:top w:val="nil"/>
              <w:left w:val="nil"/>
              <w:bottom w:val="single" w:sz="4" w:space="0" w:color="auto"/>
              <w:right w:val="nil"/>
            </w:tcBorders>
            <w:shd w:val="clear" w:color="auto" w:fill="auto"/>
            <w:noWrap/>
            <w:vAlign w:val="bottom"/>
            <w:hideMark/>
          </w:tcPr>
          <w:p w14:paraId="758D93D6" w14:textId="77777777" w:rsidR="00B22915" w:rsidRPr="004A6421" w:rsidRDefault="00B22915" w:rsidP="00B22915">
            <w:pPr>
              <w:jc w:val="center"/>
              <w:rPr>
                <w:color w:val="000000"/>
                <w:sz w:val="20"/>
                <w:szCs w:val="20"/>
              </w:rPr>
            </w:pPr>
            <w:r w:rsidRPr="004A6421">
              <w:rPr>
                <w:color w:val="000000"/>
                <w:sz w:val="20"/>
                <w:szCs w:val="20"/>
              </w:rPr>
              <w:t xml:space="preserve">Gr 6+ </w:t>
            </w:r>
          </w:p>
        </w:tc>
        <w:tc>
          <w:tcPr>
            <w:tcW w:w="1426" w:type="dxa"/>
            <w:tcBorders>
              <w:top w:val="nil"/>
              <w:left w:val="nil"/>
              <w:bottom w:val="single" w:sz="4" w:space="0" w:color="auto"/>
              <w:right w:val="nil"/>
            </w:tcBorders>
            <w:shd w:val="clear" w:color="auto" w:fill="auto"/>
            <w:noWrap/>
            <w:vAlign w:val="bottom"/>
            <w:hideMark/>
          </w:tcPr>
          <w:p w14:paraId="536D79D8" w14:textId="77777777" w:rsidR="00B22915" w:rsidRPr="004A6421" w:rsidRDefault="00B22915" w:rsidP="00B22915">
            <w:pPr>
              <w:jc w:val="center"/>
              <w:rPr>
                <w:color w:val="000000"/>
                <w:sz w:val="20"/>
                <w:szCs w:val="20"/>
              </w:rPr>
            </w:pPr>
            <w:r w:rsidRPr="004A6421">
              <w:rPr>
                <w:color w:val="000000"/>
                <w:sz w:val="20"/>
                <w:szCs w:val="20"/>
              </w:rPr>
              <w:t xml:space="preserve">Gr 2-5 </w:t>
            </w:r>
          </w:p>
        </w:tc>
        <w:tc>
          <w:tcPr>
            <w:tcW w:w="1425" w:type="dxa"/>
            <w:tcBorders>
              <w:top w:val="nil"/>
              <w:left w:val="nil"/>
              <w:bottom w:val="single" w:sz="4" w:space="0" w:color="auto"/>
              <w:right w:val="nil"/>
            </w:tcBorders>
            <w:shd w:val="clear" w:color="auto" w:fill="auto"/>
            <w:noWrap/>
            <w:vAlign w:val="bottom"/>
            <w:hideMark/>
          </w:tcPr>
          <w:p w14:paraId="29E82C1C" w14:textId="77777777" w:rsidR="00B22915" w:rsidRPr="004A6421" w:rsidRDefault="00B22915" w:rsidP="00B22915">
            <w:pPr>
              <w:jc w:val="center"/>
              <w:rPr>
                <w:color w:val="000000"/>
                <w:sz w:val="20"/>
                <w:szCs w:val="20"/>
              </w:rPr>
            </w:pPr>
            <w:r w:rsidRPr="004A6421">
              <w:rPr>
                <w:color w:val="000000"/>
                <w:sz w:val="20"/>
                <w:szCs w:val="20"/>
              </w:rPr>
              <w:t xml:space="preserve">K or Gr 1 </w:t>
            </w:r>
          </w:p>
        </w:tc>
        <w:tc>
          <w:tcPr>
            <w:tcW w:w="1426" w:type="dxa"/>
            <w:tcBorders>
              <w:top w:val="nil"/>
              <w:left w:val="nil"/>
              <w:bottom w:val="single" w:sz="4" w:space="0" w:color="auto"/>
              <w:right w:val="nil"/>
            </w:tcBorders>
            <w:shd w:val="clear" w:color="auto" w:fill="auto"/>
            <w:noWrap/>
            <w:vAlign w:val="bottom"/>
            <w:hideMark/>
          </w:tcPr>
          <w:p w14:paraId="4AF10371" w14:textId="77777777" w:rsidR="00B22915" w:rsidRPr="004A6421" w:rsidRDefault="00B22915" w:rsidP="00B22915">
            <w:pPr>
              <w:jc w:val="center"/>
              <w:rPr>
                <w:color w:val="000000"/>
                <w:sz w:val="20"/>
                <w:szCs w:val="20"/>
              </w:rPr>
            </w:pPr>
            <w:r w:rsidRPr="004A6421">
              <w:rPr>
                <w:color w:val="000000"/>
                <w:sz w:val="20"/>
                <w:szCs w:val="20"/>
              </w:rPr>
              <w:t>Reclassified</w:t>
            </w:r>
          </w:p>
        </w:tc>
      </w:tr>
      <w:tr w:rsidR="00B22915" w:rsidRPr="004A6421" w14:paraId="0160113B" w14:textId="77777777" w:rsidTr="00B22915">
        <w:trPr>
          <w:trHeight w:val="300"/>
        </w:trPr>
        <w:tc>
          <w:tcPr>
            <w:tcW w:w="2160" w:type="dxa"/>
            <w:tcBorders>
              <w:top w:val="single" w:sz="4" w:space="0" w:color="auto"/>
              <w:left w:val="nil"/>
              <w:bottom w:val="nil"/>
              <w:right w:val="nil"/>
            </w:tcBorders>
            <w:shd w:val="clear" w:color="auto" w:fill="auto"/>
            <w:noWrap/>
            <w:vAlign w:val="bottom"/>
            <w:hideMark/>
          </w:tcPr>
          <w:p w14:paraId="6273D2E6" w14:textId="77777777" w:rsidR="00B22915" w:rsidRPr="004A6421" w:rsidRDefault="00B22915" w:rsidP="00B22915">
            <w:pPr>
              <w:rPr>
                <w:b/>
                <w:bCs/>
                <w:color w:val="000000"/>
                <w:sz w:val="20"/>
                <w:szCs w:val="20"/>
              </w:rPr>
            </w:pPr>
            <w:r w:rsidRPr="004A6421">
              <w:rPr>
                <w:b/>
                <w:bCs/>
                <w:color w:val="000000"/>
                <w:sz w:val="20"/>
                <w:szCs w:val="20"/>
              </w:rPr>
              <w:t>Post X Treated</w:t>
            </w:r>
          </w:p>
        </w:tc>
        <w:tc>
          <w:tcPr>
            <w:tcW w:w="1182" w:type="dxa"/>
            <w:tcBorders>
              <w:top w:val="single" w:sz="4" w:space="0" w:color="auto"/>
              <w:left w:val="nil"/>
              <w:bottom w:val="nil"/>
              <w:right w:val="nil"/>
            </w:tcBorders>
            <w:shd w:val="clear" w:color="auto" w:fill="auto"/>
            <w:noWrap/>
            <w:vAlign w:val="bottom"/>
            <w:hideMark/>
          </w:tcPr>
          <w:p w14:paraId="106E9F4B" w14:textId="77777777" w:rsidR="00B22915" w:rsidRPr="004A6421" w:rsidRDefault="00B22915" w:rsidP="00B22915">
            <w:pPr>
              <w:jc w:val="center"/>
              <w:rPr>
                <w:b/>
                <w:bCs/>
                <w:color w:val="000000"/>
                <w:sz w:val="20"/>
                <w:szCs w:val="20"/>
              </w:rPr>
            </w:pPr>
            <w:r w:rsidRPr="004A6421">
              <w:rPr>
                <w:b/>
                <w:bCs/>
                <w:color w:val="000000"/>
                <w:sz w:val="20"/>
                <w:szCs w:val="20"/>
              </w:rPr>
              <w:t>6.947***</w:t>
            </w:r>
          </w:p>
        </w:tc>
        <w:tc>
          <w:tcPr>
            <w:tcW w:w="1425" w:type="dxa"/>
            <w:tcBorders>
              <w:top w:val="single" w:sz="4" w:space="0" w:color="auto"/>
              <w:left w:val="nil"/>
              <w:bottom w:val="nil"/>
              <w:right w:val="nil"/>
            </w:tcBorders>
            <w:shd w:val="clear" w:color="auto" w:fill="auto"/>
            <w:noWrap/>
            <w:vAlign w:val="bottom"/>
            <w:hideMark/>
          </w:tcPr>
          <w:p w14:paraId="7EE1BCA3" w14:textId="77777777" w:rsidR="00B22915" w:rsidRPr="004A6421" w:rsidRDefault="00B22915" w:rsidP="00B22915">
            <w:pPr>
              <w:jc w:val="center"/>
              <w:rPr>
                <w:b/>
                <w:bCs/>
                <w:color w:val="000000"/>
                <w:sz w:val="20"/>
                <w:szCs w:val="20"/>
              </w:rPr>
            </w:pPr>
            <w:r w:rsidRPr="004A6421">
              <w:rPr>
                <w:b/>
                <w:bCs/>
                <w:color w:val="000000"/>
                <w:sz w:val="20"/>
                <w:szCs w:val="20"/>
              </w:rPr>
              <w:t>9.770***</w:t>
            </w:r>
          </w:p>
        </w:tc>
        <w:tc>
          <w:tcPr>
            <w:tcW w:w="1425" w:type="dxa"/>
            <w:tcBorders>
              <w:top w:val="single" w:sz="4" w:space="0" w:color="auto"/>
              <w:left w:val="nil"/>
              <w:bottom w:val="nil"/>
              <w:right w:val="nil"/>
            </w:tcBorders>
            <w:shd w:val="clear" w:color="auto" w:fill="auto"/>
            <w:noWrap/>
            <w:vAlign w:val="bottom"/>
            <w:hideMark/>
          </w:tcPr>
          <w:p w14:paraId="350EA27D" w14:textId="77777777" w:rsidR="00B22915" w:rsidRPr="004A6421" w:rsidRDefault="00B22915" w:rsidP="00B22915">
            <w:pPr>
              <w:jc w:val="center"/>
              <w:rPr>
                <w:b/>
                <w:bCs/>
                <w:color w:val="000000"/>
                <w:sz w:val="20"/>
                <w:szCs w:val="20"/>
              </w:rPr>
            </w:pPr>
            <w:r w:rsidRPr="004A6421">
              <w:rPr>
                <w:b/>
                <w:bCs/>
                <w:color w:val="000000"/>
                <w:sz w:val="20"/>
                <w:szCs w:val="20"/>
              </w:rPr>
              <w:t>13.679***</w:t>
            </w:r>
          </w:p>
        </w:tc>
        <w:tc>
          <w:tcPr>
            <w:tcW w:w="1426" w:type="dxa"/>
            <w:tcBorders>
              <w:top w:val="single" w:sz="4" w:space="0" w:color="auto"/>
              <w:left w:val="nil"/>
              <w:bottom w:val="nil"/>
              <w:right w:val="nil"/>
            </w:tcBorders>
            <w:shd w:val="clear" w:color="auto" w:fill="auto"/>
            <w:noWrap/>
            <w:vAlign w:val="bottom"/>
            <w:hideMark/>
          </w:tcPr>
          <w:p w14:paraId="0D7C7732" w14:textId="77777777" w:rsidR="00B22915" w:rsidRPr="004A6421" w:rsidRDefault="00B22915" w:rsidP="00B22915">
            <w:pPr>
              <w:jc w:val="center"/>
              <w:rPr>
                <w:b/>
                <w:bCs/>
                <w:color w:val="000000"/>
                <w:sz w:val="20"/>
                <w:szCs w:val="20"/>
              </w:rPr>
            </w:pPr>
            <w:r w:rsidRPr="004A6421">
              <w:rPr>
                <w:b/>
                <w:bCs/>
                <w:color w:val="000000"/>
                <w:sz w:val="20"/>
                <w:szCs w:val="20"/>
              </w:rPr>
              <w:t>13.063***</w:t>
            </w:r>
          </w:p>
        </w:tc>
        <w:tc>
          <w:tcPr>
            <w:tcW w:w="1425" w:type="dxa"/>
            <w:gridSpan w:val="2"/>
            <w:tcBorders>
              <w:top w:val="single" w:sz="4" w:space="0" w:color="auto"/>
              <w:left w:val="nil"/>
              <w:bottom w:val="nil"/>
              <w:right w:val="nil"/>
            </w:tcBorders>
            <w:shd w:val="clear" w:color="auto" w:fill="auto"/>
            <w:noWrap/>
            <w:vAlign w:val="bottom"/>
            <w:hideMark/>
          </w:tcPr>
          <w:p w14:paraId="7AF56E36" w14:textId="77777777" w:rsidR="00B22915" w:rsidRPr="004A6421" w:rsidRDefault="00B22915" w:rsidP="00B22915">
            <w:pPr>
              <w:jc w:val="center"/>
              <w:rPr>
                <w:b/>
                <w:bCs/>
                <w:color w:val="000000"/>
                <w:sz w:val="20"/>
                <w:szCs w:val="20"/>
              </w:rPr>
            </w:pPr>
            <w:r w:rsidRPr="004A6421">
              <w:rPr>
                <w:b/>
                <w:bCs/>
                <w:color w:val="000000"/>
                <w:sz w:val="20"/>
                <w:szCs w:val="20"/>
              </w:rPr>
              <w:t>0.046</w:t>
            </w:r>
          </w:p>
        </w:tc>
        <w:tc>
          <w:tcPr>
            <w:tcW w:w="1426" w:type="dxa"/>
            <w:tcBorders>
              <w:top w:val="single" w:sz="4" w:space="0" w:color="auto"/>
              <w:left w:val="nil"/>
              <w:bottom w:val="nil"/>
              <w:right w:val="nil"/>
            </w:tcBorders>
            <w:shd w:val="clear" w:color="auto" w:fill="auto"/>
            <w:noWrap/>
            <w:vAlign w:val="bottom"/>
            <w:hideMark/>
          </w:tcPr>
          <w:p w14:paraId="3491FE89" w14:textId="77777777" w:rsidR="00B22915" w:rsidRPr="004A6421" w:rsidRDefault="00B22915" w:rsidP="00B22915">
            <w:pPr>
              <w:jc w:val="center"/>
              <w:rPr>
                <w:b/>
                <w:bCs/>
                <w:color w:val="000000"/>
                <w:sz w:val="20"/>
                <w:szCs w:val="20"/>
              </w:rPr>
            </w:pPr>
            <w:r w:rsidRPr="004A6421">
              <w:rPr>
                <w:b/>
                <w:bCs/>
                <w:color w:val="000000"/>
                <w:sz w:val="20"/>
                <w:szCs w:val="20"/>
              </w:rPr>
              <w:t>0.035</w:t>
            </w:r>
          </w:p>
        </w:tc>
        <w:tc>
          <w:tcPr>
            <w:tcW w:w="1425" w:type="dxa"/>
            <w:tcBorders>
              <w:top w:val="single" w:sz="4" w:space="0" w:color="auto"/>
              <w:left w:val="nil"/>
              <w:bottom w:val="nil"/>
              <w:right w:val="nil"/>
            </w:tcBorders>
            <w:shd w:val="clear" w:color="auto" w:fill="auto"/>
            <w:noWrap/>
            <w:vAlign w:val="bottom"/>
            <w:hideMark/>
          </w:tcPr>
          <w:p w14:paraId="5FDE9D6B" w14:textId="77777777" w:rsidR="00B22915" w:rsidRPr="004A6421" w:rsidRDefault="00B22915" w:rsidP="00B22915">
            <w:pPr>
              <w:jc w:val="center"/>
              <w:rPr>
                <w:b/>
                <w:bCs/>
                <w:color w:val="000000"/>
                <w:sz w:val="20"/>
                <w:szCs w:val="20"/>
              </w:rPr>
            </w:pPr>
            <w:r w:rsidRPr="004A6421">
              <w:rPr>
                <w:b/>
                <w:bCs/>
                <w:color w:val="000000"/>
                <w:sz w:val="20"/>
                <w:szCs w:val="20"/>
              </w:rPr>
              <w:t>0.069</w:t>
            </w:r>
          </w:p>
        </w:tc>
        <w:tc>
          <w:tcPr>
            <w:tcW w:w="1426" w:type="dxa"/>
            <w:tcBorders>
              <w:top w:val="single" w:sz="4" w:space="0" w:color="auto"/>
              <w:left w:val="nil"/>
              <w:bottom w:val="nil"/>
              <w:right w:val="nil"/>
            </w:tcBorders>
            <w:shd w:val="clear" w:color="auto" w:fill="auto"/>
            <w:noWrap/>
            <w:vAlign w:val="bottom"/>
            <w:hideMark/>
          </w:tcPr>
          <w:p w14:paraId="7A49EEEE" w14:textId="77777777" w:rsidR="00B22915" w:rsidRPr="004A6421" w:rsidRDefault="00B22915" w:rsidP="00B22915">
            <w:pPr>
              <w:jc w:val="center"/>
              <w:rPr>
                <w:b/>
                <w:bCs/>
                <w:color w:val="000000"/>
                <w:sz w:val="20"/>
                <w:szCs w:val="20"/>
              </w:rPr>
            </w:pPr>
            <w:r w:rsidRPr="004A6421">
              <w:rPr>
                <w:b/>
                <w:bCs/>
                <w:color w:val="000000"/>
                <w:sz w:val="20"/>
                <w:szCs w:val="20"/>
              </w:rPr>
              <w:t>0.134***</w:t>
            </w:r>
          </w:p>
        </w:tc>
      </w:tr>
      <w:tr w:rsidR="00B22915" w:rsidRPr="004A6421" w14:paraId="192C43C0" w14:textId="77777777" w:rsidTr="00B22915">
        <w:trPr>
          <w:trHeight w:val="300"/>
        </w:trPr>
        <w:tc>
          <w:tcPr>
            <w:tcW w:w="2160" w:type="dxa"/>
            <w:tcBorders>
              <w:top w:val="nil"/>
              <w:left w:val="nil"/>
              <w:bottom w:val="nil"/>
              <w:right w:val="nil"/>
            </w:tcBorders>
            <w:shd w:val="clear" w:color="auto" w:fill="auto"/>
            <w:noWrap/>
            <w:vAlign w:val="bottom"/>
            <w:hideMark/>
          </w:tcPr>
          <w:p w14:paraId="5D81C625" w14:textId="77777777" w:rsidR="00B22915" w:rsidRPr="004A6421" w:rsidRDefault="00B22915" w:rsidP="00B22915">
            <w:pPr>
              <w:jc w:val="center"/>
              <w:rPr>
                <w:b/>
                <w:bCs/>
                <w:color w:val="000000"/>
                <w:sz w:val="20"/>
                <w:szCs w:val="20"/>
              </w:rPr>
            </w:pPr>
          </w:p>
        </w:tc>
        <w:tc>
          <w:tcPr>
            <w:tcW w:w="1182" w:type="dxa"/>
            <w:tcBorders>
              <w:top w:val="nil"/>
              <w:left w:val="nil"/>
              <w:bottom w:val="nil"/>
              <w:right w:val="nil"/>
            </w:tcBorders>
            <w:shd w:val="clear" w:color="auto" w:fill="auto"/>
            <w:noWrap/>
            <w:vAlign w:val="bottom"/>
            <w:hideMark/>
          </w:tcPr>
          <w:p w14:paraId="569B5EBF" w14:textId="77777777" w:rsidR="00B22915" w:rsidRPr="004A6421" w:rsidRDefault="00B22915" w:rsidP="00B22915">
            <w:pPr>
              <w:jc w:val="center"/>
              <w:rPr>
                <w:b/>
                <w:bCs/>
                <w:color w:val="000000"/>
                <w:sz w:val="20"/>
                <w:szCs w:val="20"/>
              </w:rPr>
            </w:pPr>
            <w:r w:rsidRPr="004A6421">
              <w:rPr>
                <w:b/>
                <w:bCs/>
                <w:color w:val="000000"/>
                <w:sz w:val="20"/>
                <w:szCs w:val="20"/>
              </w:rPr>
              <w:t>(1.025)</w:t>
            </w:r>
          </w:p>
        </w:tc>
        <w:tc>
          <w:tcPr>
            <w:tcW w:w="1425" w:type="dxa"/>
            <w:tcBorders>
              <w:top w:val="nil"/>
              <w:left w:val="nil"/>
              <w:bottom w:val="nil"/>
              <w:right w:val="nil"/>
            </w:tcBorders>
            <w:shd w:val="clear" w:color="auto" w:fill="auto"/>
            <w:noWrap/>
            <w:vAlign w:val="bottom"/>
            <w:hideMark/>
          </w:tcPr>
          <w:p w14:paraId="218E9A82" w14:textId="77777777" w:rsidR="00B22915" w:rsidRPr="004A6421" w:rsidRDefault="00B22915" w:rsidP="00B22915">
            <w:pPr>
              <w:jc w:val="center"/>
              <w:rPr>
                <w:b/>
                <w:bCs/>
                <w:color w:val="000000"/>
                <w:sz w:val="20"/>
                <w:szCs w:val="20"/>
              </w:rPr>
            </w:pPr>
            <w:r w:rsidRPr="004A6421">
              <w:rPr>
                <w:b/>
                <w:bCs/>
                <w:color w:val="000000"/>
                <w:sz w:val="20"/>
                <w:szCs w:val="20"/>
              </w:rPr>
              <w:t>(1.971)</w:t>
            </w:r>
          </w:p>
        </w:tc>
        <w:tc>
          <w:tcPr>
            <w:tcW w:w="1425" w:type="dxa"/>
            <w:tcBorders>
              <w:top w:val="nil"/>
              <w:left w:val="nil"/>
              <w:bottom w:val="nil"/>
              <w:right w:val="nil"/>
            </w:tcBorders>
            <w:shd w:val="clear" w:color="auto" w:fill="auto"/>
            <w:noWrap/>
            <w:vAlign w:val="bottom"/>
            <w:hideMark/>
          </w:tcPr>
          <w:p w14:paraId="76CA2DE3" w14:textId="77777777" w:rsidR="00B22915" w:rsidRPr="004A6421" w:rsidRDefault="00B22915" w:rsidP="00B22915">
            <w:pPr>
              <w:jc w:val="center"/>
              <w:rPr>
                <w:b/>
                <w:bCs/>
                <w:color w:val="000000"/>
                <w:sz w:val="20"/>
                <w:szCs w:val="20"/>
              </w:rPr>
            </w:pPr>
            <w:r w:rsidRPr="004A6421">
              <w:rPr>
                <w:b/>
                <w:bCs/>
                <w:color w:val="000000"/>
                <w:sz w:val="20"/>
                <w:szCs w:val="20"/>
              </w:rPr>
              <w:t>(2.709)</w:t>
            </w:r>
          </w:p>
        </w:tc>
        <w:tc>
          <w:tcPr>
            <w:tcW w:w="1426" w:type="dxa"/>
            <w:tcBorders>
              <w:top w:val="nil"/>
              <w:left w:val="nil"/>
              <w:bottom w:val="nil"/>
              <w:right w:val="nil"/>
            </w:tcBorders>
            <w:shd w:val="clear" w:color="auto" w:fill="auto"/>
            <w:noWrap/>
            <w:vAlign w:val="bottom"/>
            <w:hideMark/>
          </w:tcPr>
          <w:p w14:paraId="454F544D" w14:textId="77777777" w:rsidR="00B22915" w:rsidRPr="004A6421" w:rsidRDefault="00B22915" w:rsidP="00B22915">
            <w:pPr>
              <w:jc w:val="center"/>
              <w:rPr>
                <w:b/>
                <w:bCs/>
                <w:color w:val="000000"/>
                <w:sz w:val="20"/>
                <w:szCs w:val="20"/>
              </w:rPr>
            </w:pPr>
            <w:r w:rsidRPr="004A6421">
              <w:rPr>
                <w:b/>
                <w:bCs/>
                <w:color w:val="000000"/>
                <w:sz w:val="20"/>
                <w:szCs w:val="20"/>
              </w:rPr>
              <w:t>(1.211)</w:t>
            </w:r>
          </w:p>
        </w:tc>
        <w:tc>
          <w:tcPr>
            <w:tcW w:w="1425" w:type="dxa"/>
            <w:gridSpan w:val="2"/>
            <w:tcBorders>
              <w:top w:val="nil"/>
              <w:left w:val="nil"/>
              <w:bottom w:val="nil"/>
              <w:right w:val="nil"/>
            </w:tcBorders>
            <w:shd w:val="clear" w:color="auto" w:fill="auto"/>
            <w:noWrap/>
            <w:vAlign w:val="bottom"/>
            <w:hideMark/>
          </w:tcPr>
          <w:p w14:paraId="0F61EB1D" w14:textId="77777777" w:rsidR="00B22915" w:rsidRPr="004A6421" w:rsidRDefault="00B22915" w:rsidP="00B22915">
            <w:pPr>
              <w:jc w:val="center"/>
              <w:rPr>
                <w:b/>
                <w:bCs/>
                <w:color w:val="000000"/>
                <w:sz w:val="20"/>
                <w:szCs w:val="20"/>
              </w:rPr>
            </w:pPr>
            <w:r w:rsidRPr="004A6421">
              <w:rPr>
                <w:b/>
                <w:bCs/>
                <w:color w:val="000000"/>
                <w:sz w:val="20"/>
                <w:szCs w:val="20"/>
              </w:rPr>
              <w:t>(0.055)</w:t>
            </w:r>
          </w:p>
        </w:tc>
        <w:tc>
          <w:tcPr>
            <w:tcW w:w="1426" w:type="dxa"/>
            <w:tcBorders>
              <w:top w:val="nil"/>
              <w:left w:val="nil"/>
              <w:bottom w:val="nil"/>
              <w:right w:val="nil"/>
            </w:tcBorders>
            <w:shd w:val="clear" w:color="auto" w:fill="auto"/>
            <w:noWrap/>
            <w:vAlign w:val="bottom"/>
            <w:hideMark/>
          </w:tcPr>
          <w:p w14:paraId="3A85628B" w14:textId="77777777" w:rsidR="00B22915" w:rsidRPr="004A6421" w:rsidRDefault="00B22915" w:rsidP="00B22915">
            <w:pPr>
              <w:jc w:val="center"/>
              <w:rPr>
                <w:b/>
                <w:bCs/>
                <w:color w:val="000000"/>
                <w:sz w:val="20"/>
                <w:szCs w:val="20"/>
              </w:rPr>
            </w:pPr>
            <w:r w:rsidRPr="004A6421">
              <w:rPr>
                <w:b/>
                <w:bCs/>
                <w:color w:val="000000"/>
                <w:sz w:val="20"/>
                <w:szCs w:val="20"/>
              </w:rPr>
              <w:t>(0.115)</w:t>
            </w:r>
          </w:p>
        </w:tc>
        <w:tc>
          <w:tcPr>
            <w:tcW w:w="1425" w:type="dxa"/>
            <w:tcBorders>
              <w:top w:val="nil"/>
              <w:left w:val="nil"/>
              <w:bottom w:val="nil"/>
              <w:right w:val="nil"/>
            </w:tcBorders>
            <w:shd w:val="clear" w:color="auto" w:fill="auto"/>
            <w:noWrap/>
            <w:vAlign w:val="bottom"/>
            <w:hideMark/>
          </w:tcPr>
          <w:p w14:paraId="2A225261" w14:textId="77777777" w:rsidR="00B22915" w:rsidRPr="004A6421" w:rsidRDefault="00B22915" w:rsidP="00B22915">
            <w:pPr>
              <w:jc w:val="center"/>
              <w:rPr>
                <w:b/>
                <w:bCs/>
                <w:color w:val="000000"/>
                <w:sz w:val="20"/>
                <w:szCs w:val="20"/>
              </w:rPr>
            </w:pPr>
            <w:r w:rsidRPr="004A6421">
              <w:rPr>
                <w:b/>
                <w:bCs/>
                <w:color w:val="000000"/>
                <w:sz w:val="20"/>
                <w:szCs w:val="20"/>
              </w:rPr>
              <w:t>(0.110)</w:t>
            </w:r>
          </w:p>
        </w:tc>
        <w:tc>
          <w:tcPr>
            <w:tcW w:w="1426" w:type="dxa"/>
            <w:tcBorders>
              <w:top w:val="nil"/>
              <w:left w:val="nil"/>
              <w:bottom w:val="nil"/>
              <w:right w:val="nil"/>
            </w:tcBorders>
            <w:shd w:val="clear" w:color="auto" w:fill="auto"/>
            <w:noWrap/>
            <w:vAlign w:val="bottom"/>
            <w:hideMark/>
          </w:tcPr>
          <w:p w14:paraId="01BF0B97" w14:textId="77777777" w:rsidR="00B22915" w:rsidRPr="004A6421" w:rsidRDefault="00B22915" w:rsidP="00B22915">
            <w:pPr>
              <w:jc w:val="center"/>
              <w:rPr>
                <w:b/>
                <w:bCs/>
                <w:color w:val="000000"/>
                <w:sz w:val="20"/>
                <w:szCs w:val="20"/>
              </w:rPr>
            </w:pPr>
            <w:r w:rsidRPr="004A6421">
              <w:rPr>
                <w:b/>
                <w:bCs/>
                <w:color w:val="000000"/>
                <w:sz w:val="20"/>
                <w:szCs w:val="20"/>
              </w:rPr>
              <w:t>(0.047)</w:t>
            </w:r>
          </w:p>
        </w:tc>
      </w:tr>
      <w:tr w:rsidR="00B22915" w:rsidRPr="004A6421" w14:paraId="757FC789" w14:textId="77777777" w:rsidTr="00B22915">
        <w:trPr>
          <w:trHeight w:val="300"/>
        </w:trPr>
        <w:tc>
          <w:tcPr>
            <w:tcW w:w="2160" w:type="dxa"/>
            <w:tcBorders>
              <w:top w:val="nil"/>
              <w:left w:val="nil"/>
              <w:bottom w:val="nil"/>
              <w:right w:val="nil"/>
            </w:tcBorders>
            <w:shd w:val="clear" w:color="auto" w:fill="auto"/>
            <w:noWrap/>
            <w:vAlign w:val="bottom"/>
            <w:hideMark/>
          </w:tcPr>
          <w:p w14:paraId="522FD074" w14:textId="77777777" w:rsidR="00B22915" w:rsidRPr="004A6421" w:rsidRDefault="00B22915" w:rsidP="00B22915">
            <w:pPr>
              <w:rPr>
                <w:color w:val="000000"/>
                <w:sz w:val="20"/>
                <w:szCs w:val="20"/>
              </w:rPr>
            </w:pPr>
            <w:r w:rsidRPr="004A6421">
              <w:rPr>
                <w:color w:val="000000"/>
                <w:sz w:val="20"/>
                <w:szCs w:val="20"/>
              </w:rPr>
              <w:t>Post</w:t>
            </w:r>
          </w:p>
        </w:tc>
        <w:tc>
          <w:tcPr>
            <w:tcW w:w="1182" w:type="dxa"/>
            <w:tcBorders>
              <w:top w:val="nil"/>
              <w:left w:val="nil"/>
              <w:bottom w:val="nil"/>
              <w:right w:val="nil"/>
            </w:tcBorders>
            <w:shd w:val="clear" w:color="auto" w:fill="auto"/>
            <w:noWrap/>
            <w:vAlign w:val="bottom"/>
            <w:hideMark/>
          </w:tcPr>
          <w:p w14:paraId="0F5CC95C" w14:textId="77777777" w:rsidR="00B22915" w:rsidRPr="004A6421" w:rsidRDefault="00B22915" w:rsidP="00B22915">
            <w:pPr>
              <w:jc w:val="center"/>
              <w:rPr>
                <w:color w:val="000000"/>
                <w:sz w:val="20"/>
                <w:szCs w:val="20"/>
              </w:rPr>
            </w:pPr>
            <w:r w:rsidRPr="004A6421">
              <w:rPr>
                <w:color w:val="000000"/>
                <w:sz w:val="20"/>
                <w:szCs w:val="20"/>
              </w:rPr>
              <w:t>-0.067</w:t>
            </w:r>
          </w:p>
        </w:tc>
        <w:tc>
          <w:tcPr>
            <w:tcW w:w="1425" w:type="dxa"/>
            <w:tcBorders>
              <w:top w:val="nil"/>
              <w:left w:val="nil"/>
              <w:bottom w:val="nil"/>
              <w:right w:val="nil"/>
            </w:tcBorders>
            <w:shd w:val="clear" w:color="auto" w:fill="auto"/>
            <w:noWrap/>
            <w:vAlign w:val="bottom"/>
            <w:hideMark/>
          </w:tcPr>
          <w:p w14:paraId="75A59261" w14:textId="77777777" w:rsidR="00B22915" w:rsidRPr="004A6421" w:rsidRDefault="00B22915" w:rsidP="00B22915">
            <w:pPr>
              <w:jc w:val="center"/>
              <w:rPr>
                <w:color w:val="000000"/>
                <w:sz w:val="20"/>
                <w:szCs w:val="20"/>
              </w:rPr>
            </w:pPr>
            <w:r w:rsidRPr="004A6421">
              <w:rPr>
                <w:color w:val="000000"/>
                <w:sz w:val="20"/>
                <w:szCs w:val="20"/>
              </w:rPr>
              <w:t>0.455</w:t>
            </w:r>
          </w:p>
        </w:tc>
        <w:tc>
          <w:tcPr>
            <w:tcW w:w="1425" w:type="dxa"/>
            <w:tcBorders>
              <w:top w:val="nil"/>
              <w:left w:val="nil"/>
              <w:bottom w:val="nil"/>
              <w:right w:val="nil"/>
            </w:tcBorders>
            <w:shd w:val="clear" w:color="auto" w:fill="auto"/>
            <w:noWrap/>
            <w:vAlign w:val="bottom"/>
            <w:hideMark/>
          </w:tcPr>
          <w:p w14:paraId="6BED89C6" w14:textId="77777777" w:rsidR="00B22915" w:rsidRPr="004A6421" w:rsidRDefault="00B22915" w:rsidP="00B22915">
            <w:pPr>
              <w:jc w:val="center"/>
              <w:rPr>
                <w:color w:val="000000"/>
                <w:sz w:val="20"/>
                <w:szCs w:val="20"/>
              </w:rPr>
            </w:pPr>
            <w:r w:rsidRPr="004A6421">
              <w:rPr>
                <w:color w:val="000000"/>
                <w:sz w:val="20"/>
                <w:szCs w:val="20"/>
              </w:rPr>
              <w:t>0.468*</w:t>
            </w:r>
          </w:p>
        </w:tc>
        <w:tc>
          <w:tcPr>
            <w:tcW w:w="1426" w:type="dxa"/>
            <w:tcBorders>
              <w:top w:val="nil"/>
              <w:left w:val="nil"/>
              <w:bottom w:val="nil"/>
              <w:right w:val="nil"/>
            </w:tcBorders>
            <w:shd w:val="clear" w:color="auto" w:fill="auto"/>
            <w:noWrap/>
            <w:vAlign w:val="bottom"/>
            <w:hideMark/>
          </w:tcPr>
          <w:p w14:paraId="12CB588F" w14:textId="77777777" w:rsidR="00B22915" w:rsidRPr="004A6421" w:rsidRDefault="00B22915" w:rsidP="00B22915">
            <w:pPr>
              <w:jc w:val="center"/>
              <w:rPr>
                <w:color w:val="000000"/>
                <w:sz w:val="20"/>
                <w:szCs w:val="20"/>
              </w:rPr>
            </w:pPr>
            <w:r w:rsidRPr="004A6421">
              <w:rPr>
                <w:color w:val="000000"/>
                <w:sz w:val="20"/>
                <w:szCs w:val="20"/>
              </w:rPr>
              <w:t>0.533***</w:t>
            </w:r>
          </w:p>
        </w:tc>
        <w:tc>
          <w:tcPr>
            <w:tcW w:w="1425" w:type="dxa"/>
            <w:gridSpan w:val="2"/>
            <w:tcBorders>
              <w:top w:val="nil"/>
              <w:left w:val="nil"/>
              <w:bottom w:val="nil"/>
              <w:right w:val="nil"/>
            </w:tcBorders>
            <w:shd w:val="clear" w:color="auto" w:fill="auto"/>
            <w:noWrap/>
            <w:vAlign w:val="bottom"/>
            <w:hideMark/>
          </w:tcPr>
          <w:p w14:paraId="1E112185" w14:textId="77777777" w:rsidR="00B22915" w:rsidRPr="004A6421" w:rsidRDefault="00B22915" w:rsidP="00B22915">
            <w:pPr>
              <w:jc w:val="center"/>
              <w:rPr>
                <w:color w:val="000000"/>
                <w:sz w:val="20"/>
                <w:szCs w:val="20"/>
              </w:rPr>
            </w:pPr>
            <w:r w:rsidRPr="004A6421">
              <w:rPr>
                <w:color w:val="000000"/>
                <w:sz w:val="20"/>
                <w:szCs w:val="20"/>
              </w:rPr>
              <w:t>-0.161***</w:t>
            </w:r>
          </w:p>
        </w:tc>
        <w:tc>
          <w:tcPr>
            <w:tcW w:w="1426" w:type="dxa"/>
            <w:tcBorders>
              <w:top w:val="nil"/>
              <w:left w:val="nil"/>
              <w:bottom w:val="nil"/>
              <w:right w:val="nil"/>
            </w:tcBorders>
            <w:shd w:val="clear" w:color="auto" w:fill="auto"/>
            <w:noWrap/>
            <w:vAlign w:val="bottom"/>
            <w:hideMark/>
          </w:tcPr>
          <w:p w14:paraId="123FAE4E" w14:textId="77777777" w:rsidR="00B22915" w:rsidRPr="004A6421" w:rsidRDefault="00B22915" w:rsidP="00B22915">
            <w:pPr>
              <w:jc w:val="center"/>
              <w:rPr>
                <w:color w:val="000000"/>
                <w:sz w:val="20"/>
                <w:szCs w:val="20"/>
              </w:rPr>
            </w:pPr>
            <w:r w:rsidRPr="004A6421">
              <w:rPr>
                <w:color w:val="000000"/>
                <w:sz w:val="20"/>
                <w:szCs w:val="20"/>
              </w:rPr>
              <w:t>0.092**</w:t>
            </w:r>
          </w:p>
        </w:tc>
        <w:tc>
          <w:tcPr>
            <w:tcW w:w="1425" w:type="dxa"/>
            <w:tcBorders>
              <w:top w:val="nil"/>
              <w:left w:val="nil"/>
              <w:bottom w:val="nil"/>
              <w:right w:val="nil"/>
            </w:tcBorders>
            <w:shd w:val="clear" w:color="auto" w:fill="auto"/>
            <w:noWrap/>
            <w:vAlign w:val="bottom"/>
            <w:hideMark/>
          </w:tcPr>
          <w:p w14:paraId="300EA8A6" w14:textId="77777777" w:rsidR="00B22915" w:rsidRPr="004A6421" w:rsidRDefault="00B22915" w:rsidP="00B22915">
            <w:pPr>
              <w:jc w:val="center"/>
              <w:rPr>
                <w:color w:val="000000"/>
                <w:sz w:val="20"/>
                <w:szCs w:val="20"/>
              </w:rPr>
            </w:pPr>
            <w:r w:rsidRPr="004A6421">
              <w:rPr>
                <w:color w:val="000000"/>
                <w:sz w:val="20"/>
                <w:szCs w:val="20"/>
              </w:rPr>
              <w:t>-0.008</w:t>
            </w:r>
          </w:p>
        </w:tc>
        <w:tc>
          <w:tcPr>
            <w:tcW w:w="1426" w:type="dxa"/>
            <w:tcBorders>
              <w:top w:val="nil"/>
              <w:left w:val="nil"/>
              <w:bottom w:val="nil"/>
              <w:right w:val="nil"/>
            </w:tcBorders>
            <w:shd w:val="clear" w:color="auto" w:fill="auto"/>
            <w:noWrap/>
            <w:vAlign w:val="bottom"/>
            <w:hideMark/>
          </w:tcPr>
          <w:p w14:paraId="3D68B8A1" w14:textId="77777777" w:rsidR="00B22915" w:rsidRPr="004A6421" w:rsidRDefault="00B22915" w:rsidP="00B22915">
            <w:pPr>
              <w:jc w:val="center"/>
              <w:rPr>
                <w:color w:val="000000"/>
                <w:sz w:val="20"/>
                <w:szCs w:val="20"/>
              </w:rPr>
            </w:pPr>
            <w:r w:rsidRPr="004A6421">
              <w:rPr>
                <w:color w:val="000000"/>
                <w:sz w:val="20"/>
                <w:szCs w:val="20"/>
              </w:rPr>
              <w:t>0.015*</w:t>
            </w:r>
          </w:p>
        </w:tc>
      </w:tr>
      <w:tr w:rsidR="00B22915" w:rsidRPr="004A6421" w14:paraId="399EA096" w14:textId="77777777" w:rsidTr="00B22915">
        <w:trPr>
          <w:trHeight w:val="300"/>
        </w:trPr>
        <w:tc>
          <w:tcPr>
            <w:tcW w:w="2160" w:type="dxa"/>
            <w:tcBorders>
              <w:top w:val="nil"/>
              <w:left w:val="nil"/>
              <w:bottom w:val="nil"/>
              <w:right w:val="nil"/>
            </w:tcBorders>
            <w:shd w:val="clear" w:color="auto" w:fill="auto"/>
            <w:noWrap/>
            <w:vAlign w:val="bottom"/>
            <w:hideMark/>
          </w:tcPr>
          <w:p w14:paraId="4216C4D0" w14:textId="77777777" w:rsidR="00B22915" w:rsidRPr="004A6421" w:rsidRDefault="00B22915" w:rsidP="00B22915">
            <w:pPr>
              <w:jc w:val="center"/>
              <w:rPr>
                <w:color w:val="000000"/>
                <w:sz w:val="20"/>
                <w:szCs w:val="20"/>
              </w:rPr>
            </w:pPr>
          </w:p>
        </w:tc>
        <w:tc>
          <w:tcPr>
            <w:tcW w:w="1182" w:type="dxa"/>
            <w:tcBorders>
              <w:top w:val="nil"/>
              <w:left w:val="nil"/>
              <w:bottom w:val="nil"/>
              <w:right w:val="nil"/>
            </w:tcBorders>
            <w:shd w:val="clear" w:color="auto" w:fill="auto"/>
            <w:noWrap/>
            <w:vAlign w:val="bottom"/>
            <w:hideMark/>
          </w:tcPr>
          <w:p w14:paraId="7E8924B8" w14:textId="77777777" w:rsidR="00B22915" w:rsidRPr="004A6421" w:rsidRDefault="00B22915" w:rsidP="00B22915">
            <w:pPr>
              <w:jc w:val="center"/>
              <w:rPr>
                <w:color w:val="000000"/>
                <w:sz w:val="20"/>
                <w:szCs w:val="20"/>
              </w:rPr>
            </w:pPr>
            <w:r w:rsidRPr="004A6421">
              <w:rPr>
                <w:color w:val="000000"/>
                <w:sz w:val="20"/>
                <w:szCs w:val="20"/>
              </w:rPr>
              <w:t>(0.171)</w:t>
            </w:r>
          </w:p>
        </w:tc>
        <w:tc>
          <w:tcPr>
            <w:tcW w:w="1425" w:type="dxa"/>
            <w:tcBorders>
              <w:top w:val="nil"/>
              <w:left w:val="nil"/>
              <w:bottom w:val="nil"/>
              <w:right w:val="nil"/>
            </w:tcBorders>
            <w:shd w:val="clear" w:color="auto" w:fill="auto"/>
            <w:noWrap/>
            <w:vAlign w:val="bottom"/>
            <w:hideMark/>
          </w:tcPr>
          <w:p w14:paraId="6E5299C8" w14:textId="77777777" w:rsidR="00B22915" w:rsidRPr="004A6421" w:rsidRDefault="00B22915" w:rsidP="00B22915">
            <w:pPr>
              <w:jc w:val="center"/>
              <w:rPr>
                <w:color w:val="000000"/>
                <w:sz w:val="20"/>
                <w:szCs w:val="20"/>
              </w:rPr>
            </w:pPr>
            <w:r w:rsidRPr="004A6421">
              <w:rPr>
                <w:color w:val="000000"/>
                <w:sz w:val="20"/>
                <w:szCs w:val="20"/>
              </w:rPr>
              <w:t>(0.337)</w:t>
            </w:r>
          </w:p>
        </w:tc>
        <w:tc>
          <w:tcPr>
            <w:tcW w:w="1425" w:type="dxa"/>
            <w:tcBorders>
              <w:top w:val="nil"/>
              <w:left w:val="nil"/>
              <w:bottom w:val="nil"/>
              <w:right w:val="nil"/>
            </w:tcBorders>
            <w:shd w:val="clear" w:color="auto" w:fill="auto"/>
            <w:noWrap/>
            <w:vAlign w:val="bottom"/>
            <w:hideMark/>
          </w:tcPr>
          <w:p w14:paraId="71E28012" w14:textId="77777777" w:rsidR="00B22915" w:rsidRPr="004A6421" w:rsidRDefault="00B22915" w:rsidP="00B22915">
            <w:pPr>
              <w:jc w:val="center"/>
              <w:rPr>
                <w:color w:val="000000"/>
                <w:sz w:val="20"/>
                <w:szCs w:val="20"/>
              </w:rPr>
            </w:pPr>
            <w:r w:rsidRPr="004A6421">
              <w:rPr>
                <w:color w:val="000000"/>
                <w:sz w:val="20"/>
                <w:szCs w:val="20"/>
              </w:rPr>
              <w:t>(0.261)</w:t>
            </w:r>
          </w:p>
        </w:tc>
        <w:tc>
          <w:tcPr>
            <w:tcW w:w="1426" w:type="dxa"/>
            <w:tcBorders>
              <w:top w:val="nil"/>
              <w:left w:val="nil"/>
              <w:bottom w:val="nil"/>
              <w:right w:val="nil"/>
            </w:tcBorders>
            <w:shd w:val="clear" w:color="auto" w:fill="auto"/>
            <w:noWrap/>
            <w:vAlign w:val="bottom"/>
            <w:hideMark/>
          </w:tcPr>
          <w:p w14:paraId="19581A78" w14:textId="77777777" w:rsidR="00B22915" w:rsidRPr="004A6421" w:rsidRDefault="00B22915" w:rsidP="00B22915">
            <w:pPr>
              <w:jc w:val="center"/>
              <w:rPr>
                <w:color w:val="000000"/>
                <w:sz w:val="20"/>
                <w:szCs w:val="20"/>
              </w:rPr>
            </w:pPr>
            <w:r w:rsidRPr="004A6421">
              <w:rPr>
                <w:color w:val="000000"/>
                <w:sz w:val="20"/>
                <w:szCs w:val="20"/>
              </w:rPr>
              <w:t>(0.113)</w:t>
            </w:r>
          </w:p>
        </w:tc>
        <w:tc>
          <w:tcPr>
            <w:tcW w:w="1425" w:type="dxa"/>
            <w:gridSpan w:val="2"/>
            <w:tcBorders>
              <w:top w:val="nil"/>
              <w:left w:val="nil"/>
              <w:bottom w:val="nil"/>
              <w:right w:val="nil"/>
            </w:tcBorders>
            <w:shd w:val="clear" w:color="auto" w:fill="auto"/>
            <w:noWrap/>
            <w:vAlign w:val="bottom"/>
            <w:hideMark/>
          </w:tcPr>
          <w:p w14:paraId="63FC1EAB" w14:textId="77777777" w:rsidR="00B22915" w:rsidRPr="004A6421" w:rsidRDefault="00B22915" w:rsidP="00B22915">
            <w:pPr>
              <w:jc w:val="center"/>
              <w:rPr>
                <w:color w:val="000000"/>
                <w:sz w:val="20"/>
                <w:szCs w:val="20"/>
              </w:rPr>
            </w:pPr>
            <w:r w:rsidRPr="004A6421">
              <w:rPr>
                <w:color w:val="000000"/>
                <w:sz w:val="20"/>
                <w:szCs w:val="20"/>
              </w:rPr>
              <w:t>(0.030)</w:t>
            </w:r>
          </w:p>
        </w:tc>
        <w:tc>
          <w:tcPr>
            <w:tcW w:w="1426" w:type="dxa"/>
            <w:tcBorders>
              <w:top w:val="nil"/>
              <w:left w:val="nil"/>
              <w:bottom w:val="nil"/>
              <w:right w:val="nil"/>
            </w:tcBorders>
            <w:shd w:val="clear" w:color="auto" w:fill="auto"/>
            <w:noWrap/>
            <w:vAlign w:val="bottom"/>
            <w:hideMark/>
          </w:tcPr>
          <w:p w14:paraId="5A318559" w14:textId="77777777" w:rsidR="00B22915" w:rsidRPr="004A6421" w:rsidRDefault="00B22915" w:rsidP="00B22915">
            <w:pPr>
              <w:jc w:val="center"/>
              <w:rPr>
                <w:color w:val="000000"/>
                <w:sz w:val="20"/>
                <w:szCs w:val="20"/>
              </w:rPr>
            </w:pPr>
            <w:r w:rsidRPr="004A6421">
              <w:rPr>
                <w:color w:val="000000"/>
                <w:sz w:val="20"/>
                <w:szCs w:val="20"/>
              </w:rPr>
              <w:t>(0.036)</w:t>
            </w:r>
          </w:p>
        </w:tc>
        <w:tc>
          <w:tcPr>
            <w:tcW w:w="1425" w:type="dxa"/>
            <w:tcBorders>
              <w:top w:val="nil"/>
              <w:left w:val="nil"/>
              <w:bottom w:val="nil"/>
              <w:right w:val="nil"/>
            </w:tcBorders>
            <w:shd w:val="clear" w:color="auto" w:fill="auto"/>
            <w:noWrap/>
            <w:vAlign w:val="bottom"/>
            <w:hideMark/>
          </w:tcPr>
          <w:p w14:paraId="38D59182" w14:textId="77777777" w:rsidR="00B22915" w:rsidRPr="004A6421" w:rsidRDefault="00B22915" w:rsidP="00B22915">
            <w:pPr>
              <w:jc w:val="center"/>
              <w:rPr>
                <w:color w:val="000000"/>
                <w:sz w:val="20"/>
                <w:szCs w:val="20"/>
              </w:rPr>
            </w:pPr>
            <w:r w:rsidRPr="004A6421">
              <w:rPr>
                <w:color w:val="000000"/>
                <w:sz w:val="20"/>
                <w:szCs w:val="20"/>
              </w:rPr>
              <w:t>(0.032)</w:t>
            </w:r>
          </w:p>
        </w:tc>
        <w:tc>
          <w:tcPr>
            <w:tcW w:w="1426" w:type="dxa"/>
            <w:tcBorders>
              <w:top w:val="nil"/>
              <w:left w:val="nil"/>
              <w:bottom w:val="nil"/>
              <w:right w:val="nil"/>
            </w:tcBorders>
            <w:shd w:val="clear" w:color="auto" w:fill="auto"/>
            <w:noWrap/>
            <w:vAlign w:val="bottom"/>
            <w:hideMark/>
          </w:tcPr>
          <w:p w14:paraId="743BEA76" w14:textId="77777777" w:rsidR="00B22915" w:rsidRPr="004A6421" w:rsidRDefault="00B22915" w:rsidP="00B22915">
            <w:pPr>
              <w:jc w:val="center"/>
              <w:rPr>
                <w:color w:val="000000"/>
                <w:sz w:val="20"/>
                <w:szCs w:val="20"/>
              </w:rPr>
            </w:pPr>
            <w:r w:rsidRPr="004A6421">
              <w:rPr>
                <w:color w:val="000000"/>
                <w:sz w:val="20"/>
                <w:szCs w:val="20"/>
              </w:rPr>
              <w:t>(0.008)</w:t>
            </w:r>
          </w:p>
        </w:tc>
      </w:tr>
      <w:tr w:rsidR="00B22915" w:rsidRPr="004A6421" w14:paraId="13A02072" w14:textId="77777777" w:rsidTr="00B22915">
        <w:trPr>
          <w:trHeight w:val="300"/>
        </w:trPr>
        <w:tc>
          <w:tcPr>
            <w:tcW w:w="2160" w:type="dxa"/>
            <w:tcBorders>
              <w:top w:val="nil"/>
              <w:left w:val="nil"/>
              <w:bottom w:val="nil"/>
              <w:right w:val="nil"/>
            </w:tcBorders>
            <w:shd w:val="clear" w:color="auto" w:fill="auto"/>
            <w:noWrap/>
            <w:vAlign w:val="bottom"/>
            <w:hideMark/>
          </w:tcPr>
          <w:p w14:paraId="15836DBE" w14:textId="77777777" w:rsidR="00B22915" w:rsidRPr="004A6421" w:rsidRDefault="00B22915" w:rsidP="00B22915">
            <w:pPr>
              <w:rPr>
                <w:color w:val="000000"/>
                <w:sz w:val="20"/>
                <w:szCs w:val="20"/>
              </w:rPr>
            </w:pPr>
            <w:r w:rsidRPr="004A6421">
              <w:rPr>
                <w:color w:val="000000"/>
                <w:sz w:val="20"/>
                <w:szCs w:val="20"/>
              </w:rPr>
              <w:t>Treated</w:t>
            </w:r>
          </w:p>
        </w:tc>
        <w:tc>
          <w:tcPr>
            <w:tcW w:w="1182" w:type="dxa"/>
            <w:tcBorders>
              <w:top w:val="nil"/>
              <w:left w:val="nil"/>
              <w:bottom w:val="nil"/>
              <w:right w:val="nil"/>
            </w:tcBorders>
            <w:shd w:val="clear" w:color="auto" w:fill="auto"/>
            <w:noWrap/>
            <w:vAlign w:val="bottom"/>
            <w:hideMark/>
          </w:tcPr>
          <w:p w14:paraId="6E15BDEE" w14:textId="77777777" w:rsidR="00B22915" w:rsidRPr="004A6421" w:rsidRDefault="00B22915" w:rsidP="00B22915">
            <w:pPr>
              <w:jc w:val="center"/>
              <w:rPr>
                <w:color w:val="000000"/>
                <w:sz w:val="20"/>
                <w:szCs w:val="20"/>
              </w:rPr>
            </w:pPr>
            <w:r w:rsidRPr="004A6421">
              <w:rPr>
                <w:color w:val="000000"/>
                <w:sz w:val="20"/>
                <w:szCs w:val="20"/>
              </w:rPr>
              <w:t>-1.098***</w:t>
            </w:r>
          </w:p>
        </w:tc>
        <w:tc>
          <w:tcPr>
            <w:tcW w:w="1425" w:type="dxa"/>
            <w:tcBorders>
              <w:top w:val="nil"/>
              <w:left w:val="nil"/>
              <w:bottom w:val="nil"/>
              <w:right w:val="nil"/>
            </w:tcBorders>
            <w:shd w:val="clear" w:color="auto" w:fill="auto"/>
            <w:noWrap/>
            <w:vAlign w:val="bottom"/>
            <w:hideMark/>
          </w:tcPr>
          <w:p w14:paraId="53243E3C" w14:textId="77777777" w:rsidR="00B22915" w:rsidRPr="004A6421" w:rsidRDefault="00B22915" w:rsidP="00B22915">
            <w:pPr>
              <w:jc w:val="center"/>
              <w:rPr>
                <w:color w:val="000000"/>
                <w:sz w:val="20"/>
                <w:szCs w:val="20"/>
              </w:rPr>
            </w:pPr>
            <w:r w:rsidRPr="004A6421">
              <w:rPr>
                <w:color w:val="000000"/>
                <w:sz w:val="20"/>
                <w:szCs w:val="20"/>
              </w:rPr>
              <w:t>-0.799</w:t>
            </w:r>
          </w:p>
        </w:tc>
        <w:tc>
          <w:tcPr>
            <w:tcW w:w="1425" w:type="dxa"/>
            <w:tcBorders>
              <w:top w:val="nil"/>
              <w:left w:val="nil"/>
              <w:bottom w:val="nil"/>
              <w:right w:val="nil"/>
            </w:tcBorders>
            <w:shd w:val="clear" w:color="auto" w:fill="auto"/>
            <w:noWrap/>
            <w:vAlign w:val="bottom"/>
            <w:hideMark/>
          </w:tcPr>
          <w:p w14:paraId="3074577E" w14:textId="77777777" w:rsidR="00B22915" w:rsidRPr="004A6421" w:rsidRDefault="00B22915" w:rsidP="00B22915">
            <w:pPr>
              <w:jc w:val="center"/>
              <w:rPr>
                <w:color w:val="000000"/>
                <w:sz w:val="20"/>
                <w:szCs w:val="20"/>
              </w:rPr>
            </w:pPr>
            <w:r w:rsidRPr="004A6421">
              <w:rPr>
                <w:color w:val="000000"/>
                <w:sz w:val="20"/>
                <w:szCs w:val="20"/>
              </w:rPr>
              <w:t>-1.352**</w:t>
            </w:r>
          </w:p>
        </w:tc>
        <w:tc>
          <w:tcPr>
            <w:tcW w:w="1426" w:type="dxa"/>
            <w:tcBorders>
              <w:top w:val="nil"/>
              <w:left w:val="nil"/>
              <w:bottom w:val="nil"/>
              <w:right w:val="nil"/>
            </w:tcBorders>
            <w:shd w:val="clear" w:color="auto" w:fill="auto"/>
            <w:noWrap/>
            <w:vAlign w:val="bottom"/>
            <w:hideMark/>
          </w:tcPr>
          <w:p w14:paraId="7A4D527D" w14:textId="77777777" w:rsidR="00B22915" w:rsidRPr="004A6421" w:rsidRDefault="00B22915" w:rsidP="00B22915">
            <w:pPr>
              <w:jc w:val="center"/>
              <w:rPr>
                <w:color w:val="000000"/>
                <w:sz w:val="20"/>
                <w:szCs w:val="20"/>
              </w:rPr>
            </w:pPr>
            <w:r w:rsidRPr="004A6421">
              <w:rPr>
                <w:color w:val="000000"/>
                <w:sz w:val="20"/>
                <w:szCs w:val="20"/>
              </w:rPr>
              <w:t>-1.804***</w:t>
            </w:r>
          </w:p>
        </w:tc>
        <w:tc>
          <w:tcPr>
            <w:tcW w:w="1425" w:type="dxa"/>
            <w:gridSpan w:val="2"/>
            <w:tcBorders>
              <w:top w:val="nil"/>
              <w:left w:val="nil"/>
              <w:bottom w:val="nil"/>
              <w:right w:val="nil"/>
            </w:tcBorders>
            <w:shd w:val="clear" w:color="auto" w:fill="auto"/>
            <w:noWrap/>
            <w:vAlign w:val="bottom"/>
            <w:hideMark/>
          </w:tcPr>
          <w:p w14:paraId="03627DD3" w14:textId="77777777" w:rsidR="00B22915" w:rsidRPr="004A6421" w:rsidRDefault="00B22915" w:rsidP="00B22915">
            <w:pPr>
              <w:jc w:val="center"/>
              <w:rPr>
                <w:color w:val="000000"/>
                <w:sz w:val="20"/>
                <w:szCs w:val="20"/>
              </w:rPr>
            </w:pPr>
            <w:r w:rsidRPr="004A6421">
              <w:rPr>
                <w:color w:val="000000"/>
                <w:sz w:val="20"/>
                <w:szCs w:val="20"/>
              </w:rPr>
              <w:t>-0.094*</w:t>
            </w:r>
          </w:p>
        </w:tc>
        <w:tc>
          <w:tcPr>
            <w:tcW w:w="1426" w:type="dxa"/>
            <w:tcBorders>
              <w:top w:val="nil"/>
              <w:left w:val="nil"/>
              <w:bottom w:val="nil"/>
              <w:right w:val="nil"/>
            </w:tcBorders>
            <w:shd w:val="clear" w:color="auto" w:fill="auto"/>
            <w:noWrap/>
            <w:vAlign w:val="bottom"/>
            <w:hideMark/>
          </w:tcPr>
          <w:p w14:paraId="7481B73B" w14:textId="77777777" w:rsidR="00B22915" w:rsidRPr="004A6421" w:rsidRDefault="00B22915" w:rsidP="00B22915">
            <w:pPr>
              <w:jc w:val="center"/>
              <w:rPr>
                <w:color w:val="000000"/>
                <w:sz w:val="20"/>
                <w:szCs w:val="20"/>
              </w:rPr>
            </w:pPr>
            <w:r w:rsidRPr="004A6421">
              <w:rPr>
                <w:color w:val="000000"/>
                <w:sz w:val="20"/>
                <w:szCs w:val="20"/>
              </w:rPr>
              <w:t>-0.032</w:t>
            </w:r>
          </w:p>
        </w:tc>
        <w:tc>
          <w:tcPr>
            <w:tcW w:w="1425" w:type="dxa"/>
            <w:tcBorders>
              <w:top w:val="nil"/>
              <w:left w:val="nil"/>
              <w:bottom w:val="nil"/>
              <w:right w:val="nil"/>
            </w:tcBorders>
            <w:shd w:val="clear" w:color="auto" w:fill="auto"/>
            <w:noWrap/>
            <w:vAlign w:val="bottom"/>
            <w:hideMark/>
          </w:tcPr>
          <w:p w14:paraId="2F5F3963" w14:textId="77777777" w:rsidR="00B22915" w:rsidRPr="004A6421" w:rsidRDefault="00B22915" w:rsidP="00B22915">
            <w:pPr>
              <w:jc w:val="center"/>
              <w:rPr>
                <w:color w:val="000000"/>
                <w:sz w:val="20"/>
                <w:szCs w:val="20"/>
              </w:rPr>
            </w:pPr>
            <w:r w:rsidRPr="004A6421">
              <w:rPr>
                <w:color w:val="000000"/>
                <w:sz w:val="20"/>
                <w:szCs w:val="20"/>
              </w:rPr>
              <w:t>-0.058</w:t>
            </w:r>
          </w:p>
        </w:tc>
        <w:tc>
          <w:tcPr>
            <w:tcW w:w="1426" w:type="dxa"/>
            <w:tcBorders>
              <w:top w:val="nil"/>
              <w:left w:val="nil"/>
              <w:bottom w:val="nil"/>
              <w:right w:val="nil"/>
            </w:tcBorders>
            <w:shd w:val="clear" w:color="auto" w:fill="auto"/>
            <w:noWrap/>
            <w:vAlign w:val="bottom"/>
            <w:hideMark/>
          </w:tcPr>
          <w:p w14:paraId="7329549E" w14:textId="77777777" w:rsidR="00B22915" w:rsidRPr="004A6421" w:rsidRDefault="00B22915" w:rsidP="00B22915">
            <w:pPr>
              <w:jc w:val="center"/>
              <w:rPr>
                <w:color w:val="000000"/>
                <w:sz w:val="20"/>
                <w:szCs w:val="20"/>
              </w:rPr>
            </w:pPr>
            <w:r w:rsidRPr="004A6421">
              <w:rPr>
                <w:color w:val="000000"/>
                <w:sz w:val="20"/>
                <w:szCs w:val="20"/>
              </w:rPr>
              <w:t>-0.086***</w:t>
            </w:r>
          </w:p>
        </w:tc>
      </w:tr>
      <w:tr w:rsidR="00B22915" w:rsidRPr="004A6421" w14:paraId="480CA32D" w14:textId="77777777" w:rsidTr="00B22915">
        <w:trPr>
          <w:trHeight w:val="300"/>
        </w:trPr>
        <w:tc>
          <w:tcPr>
            <w:tcW w:w="2160" w:type="dxa"/>
            <w:tcBorders>
              <w:top w:val="nil"/>
              <w:left w:val="nil"/>
              <w:bottom w:val="nil"/>
              <w:right w:val="nil"/>
            </w:tcBorders>
            <w:shd w:val="clear" w:color="auto" w:fill="auto"/>
            <w:noWrap/>
            <w:vAlign w:val="bottom"/>
            <w:hideMark/>
          </w:tcPr>
          <w:p w14:paraId="01097063" w14:textId="77777777" w:rsidR="00B22915" w:rsidRPr="004A6421" w:rsidRDefault="00B22915" w:rsidP="00B22915">
            <w:pPr>
              <w:jc w:val="center"/>
              <w:rPr>
                <w:color w:val="000000"/>
                <w:sz w:val="20"/>
                <w:szCs w:val="20"/>
              </w:rPr>
            </w:pPr>
          </w:p>
        </w:tc>
        <w:tc>
          <w:tcPr>
            <w:tcW w:w="1182" w:type="dxa"/>
            <w:tcBorders>
              <w:top w:val="nil"/>
              <w:left w:val="nil"/>
              <w:bottom w:val="nil"/>
              <w:right w:val="nil"/>
            </w:tcBorders>
            <w:shd w:val="clear" w:color="auto" w:fill="auto"/>
            <w:noWrap/>
            <w:vAlign w:val="bottom"/>
            <w:hideMark/>
          </w:tcPr>
          <w:p w14:paraId="62293791" w14:textId="77777777" w:rsidR="00B22915" w:rsidRPr="004A6421" w:rsidRDefault="00B22915" w:rsidP="00B22915">
            <w:pPr>
              <w:jc w:val="center"/>
              <w:rPr>
                <w:color w:val="000000"/>
                <w:sz w:val="20"/>
                <w:szCs w:val="20"/>
              </w:rPr>
            </w:pPr>
            <w:r w:rsidRPr="004A6421">
              <w:rPr>
                <w:color w:val="000000"/>
                <w:sz w:val="20"/>
                <w:szCs w:val="20"/>
              </w:rPr>
              <w:t>(0.314)</w:t>
            </w:r>
          </w:p>
        </w:tc>
        <w:tc>
          <w:tcPr>
            <w:tcW w:w="1425" w:type="dxa"/>
            <w:tcBorders>
              <w:top w:val="nil"/>
              <w:left w:val="nil"/>
              <w:bottom w:val="nil"/>
              <w:right w:val="nil"/>
            </w:tcBorders>
            <w:shd w:val="clear" w:color="auto" w:fill="auto"/>
            <w:noWrap/>
            <w:vAlign w:val="bottom"/>
            <w:hideMark/>
          </w:tcPr>
          <w:p w14:paraId="624598F5" w14:textId="77777777" w:rsidR="00B22915" w:rsidRPr="004A6421" w:rsidRDefault="00B22915" w:rsidP="00B22915">
            <w:pPr>
              <w:jc w:val="center"/>
              <w:rPr>
                <w:color w:val="000000"/>
                <w:sz w:val="20"/>
                <w:szCs w:val="20"/>
              </w:rPr>
            </w:pPr>
            <w:r w:rsidRPr="004A6421">
              <w:rPr>
                <w:color w:val="000000"/>
                <w:sz w:val="20"/>
                <w:szCs w:val="20"/>
              </w:rPr>
              <w:t>(0.499)</w:t>
            </w:r>
          </w:p>
        </w:tc>
        <w:tc>
          <w:tcPr>
            <w:tcW w:w="1425" w:type="dxa"/>
            <w:tcBorders>
              <w:top w:val="nil"/>
              <w:left w:val="nil"/>
              <w:bottom w:val="nil"/>
              <w:right w:val="nil"/>
            </w:tcBorders>
            <w:shd w:val="clear" w:color="auto" w:fill="auto"/>
            <w:noWrap/>
            <w:vAlign w:val="bottom"/>
            <w:hideMark/>
          </w:tcPr>
          <w:p w14:paraId="2309C7CC" w14:textId="77777777" w:rsidR="00B22915" w:rsidRPr="004A6421" w:rsidRDefault="00B22915" w:rsidP="00B22915">
            <w:pPr>
              <w:jc w:val="center"/>
              <w:rPr>
                <w:color w:val="000000"/>
                <w:sz w:val="20"/>
                <w:szCs w:val="20"/>
              </w:rPr>
            </w:pPr>
            <w:r w:rsidRPr="004A6421">
              <w:rPr>
                <w:color w:val="000000"/>
                <w:sz w:val="20"/>
                <w:szCs w:val="20"/>
              </w:rPr>
              <w:t>(0.572)</w:t>
            </w:r>
          </w:p>
        </w:tc>
        <w:tc>
          <w:tcPr>
            <w:tcW w:w="1426" w:type="dxa"/>
            <w:tcBorders>
              <w:top w:val="nil"/>
              <w:left w:val="nil"/>
              <w:bottom w:val="nil"/>
              <w:right w:val="nil"/>
            </w:tcBorders>
            <w:shd w:val="clear" w:color="auto" w:fill="auto"/>
            <w:noWrap/>
            <w:vAlign w:val="bottom"/>
            <w:hideMark/>
          </w:tcPr>
          <w:p w14:paraId="494299F3" w14:textId="77777777" w:rsidR="00B22915" w:rsidRPr="004A6421" w:rsidRDefault="00B22915" w:rsidP="00B22915">
            <w:pPr>
              <w:jc w:val="center"/>
              <w:rPr>
                <w:color w:val="000000"/>
                <w:sz w:val="20"/>
                <w:szCs w:val="20"/>
              </w:rPr>
            </w:pPr>
            <w:r w:rsidRPr="004A6421">
              <w:rPr>
                <w:color w:val="000000"/>
                <w:sz w:val="20"/>
                <w:szCs w:val="20"/>
              </w:rPr>
              <w:t>(0.211)</w:t>
            </w:r>
          </w:p>
        </w:tc>
        <w:tc>
          <w:tcPr>
            <w:tcW w:w="1425" w:type="dxa"/>
            <w:gridSpan w:val="2"/>
            <w:tcBorders>
              <w:top w:val="nil"/>
              <w:left w:val="nil"/>
              <w:bottom w:val="nil"/>
              <w:right w:val="nil"/>
            </w:tcBorders>
            <w:shd w:val="clear" w:color="auto" w:fill="auto"/>
            <w:noWrap/>
            <w:vAlign w:val="bottom"/>
            <w:hideMark/>
          </w:tcPr>
          <w:p w14:paraId="1B18EC00" w14:textId="77777777" w:rsidR="00B22915" w:rsidRPr="004A6421" w:rsidRDefault="00B22915" w:rsidP="00B22915">
            <w:pPr>
              <w:jc w:val="center"/>
              <w:rPr>
                <w:color w:val="000000"/>
                <w:sz w:val="20"/>
                <w:szCs w:val="20"/>
              </w:rPr>
            </w:pPr>
            <w:r w:rsidRPr="004A6421">
              <w:rPr>
                <w:color w:val="000000"/>
                <w:sz w:val="20"/>
                <w:szCs w:val="20"/>
              </w:rPr>
              <w:t>(0.048)</w:t>
            </w:r>
          </w:p>
        </w:tc>
        <w:tc>
          <w:tcPr>
            <w:tcW w:w="1426" w:type="dxa"/>
            <w:tcBorders>
              <w:top w:val="nil"/>
              <w:left w:val="nil"/>
              <w:bottom w:val="nil"/>
              <w:right w:val="nil"/>
            </w:tcBorders>
            <w:shd w:val="clear" w:color="auto" w:fill="auto"/>
            <w:noWrap/>
            <w:vAlign w:val="bottom"/>
            <w:hideMark/>
          </w:tcPr>
          <w:p w14:paraId="262284FB" w14:textId="77777777" w:rsidR="00B22915" w:rsidRPr="004A6421" w:rsidRDefault="00B22915" w:rsidP="00B22915">
            <w:pPr>
              <w:jc w:val="center"/>
              <w:rPr>
                <w:color w:val="000000"/>
                <w:sz w:val="20"/>
                <w:szCs w:val="20"/>
              </w:rPr>
            </w:pPr>
            <w:r w:rsidRPr="004A6421">
              <w:rPr>
                <w:color w:val="000000"/>
                <w:sz w:val="20"/>
                <w:szCs w:val="20"/>
              </w:rPr>
              <w:t>(0.075)</w:t>
            </w:r>
          </w:p>
        </w:tc>
        <w:tc>
          <w:tcPr>
            <w:tcW w:w="1425" w:type="dxa"/>
            <w:tcBorders>
              <w:top w:val="nil"/>
              <w:left w:val="nil"/>
              <w:bottom w:val="nil"/>
              <w:right w:val="nil"/>
            </w:tcBorders>
            <w:shd w:val="clear" w:color="auto" w:fill="auto"/>
            <w:noWrap/>
            <w:vAlign w:val="bottom"/>
            <w:hideMark/>
          </w:tcPr>
          <w:p w14:paraId="155467E1" w14:textId="77777777" w:rsidR="00B22915" w:rsidRPr="004A6421" w:rsidRDefault="00B22915" w:rsidP="00B22915">
            <w:pPr>
              <w:jc w:val="center"/>
              <w:rPr>
                <w:color w:val="000000"/>
                <w:sz w:val="20"/>
                <w:szCs w:val="20"/>
              </w:rPr>
            </w:pPr>
            <w:r w:rsidRPr="004A6421">
              <w:rPr>
                <w:color w:val="000000"/>
                <w:sz w:val="20"/>
                <w:szCs w:val="20"/>
              </w:rPr>
              <w:t>(0.081)</w:t>
            </w:r>
          </w:p>
        </w:tc>
        <w:tc>
          <w:tcPr>
            <w:tcW w:w="1426" w:type="dxa"/>
            <w:tcBorders>
              <w:top w:val="nil"/>
              <w:left w:val="nil"/>
              <w:bottom w:val="nil"/>
              <w:right w:val="nil"/>
            </w:tcBorders>
            <w:shd w:val="clear" w:color="auto" w:fill="auto"/>
            <w:noWrap/>
            <w:vAlign w:val="bottom"/>
            <w:hideMark/>
          </w:tcPr>
          <w:p w14:paraId="6221DC48" w14:textId="77777777" w:rsidR="00B22915" w:rsidRPr="004A6421" w:rsidRDefault="00B22915" w:rsidP="00B22915">
            <w:pPr>
              <w:jc w:val="center"/>
              <w:rPr>
                <w:color w:val="000000"/>
                <w:sz w:val="20"/>
                <w:szCs w:val="20"/>
              </w:rPr>
            </w:pPr>
            <w:r w:rsidRPr="004A6421">
              <w:rPr>
                <w:color w:val="000000"/>
                <w:sz w:val="20"/>
                <w:szCs w:val="20"/>
              </w:rPr>
              <w:t>(0.026)</w:t>
            </w:r>
          </w:p>
        </w:tc>
      </w:tr>
      <w:tr w:rsidR="00B22915" w:rsidRPr="004A6421" w14:paraId="1E160413" w14:textId="77777777" w:rsidTr="00B22915">
        <w:trPr>
          <w:trHeight w:val="300"/>
        </w:trPr>
        <w:tc>
          <w:tcPr>
            <w:tcW w:w="2160" w:type="dxa"/>
            <w:tcBorders>
              <w:top w:val="nil"/>
              <w:left w:val="nil"/>
              <w:bottom w:val="nil"/>
              <w:right w:val="nil"/>
            </w:tcBorders>
            <w:shd w:val="clear" w:color="auto" w:fill="auto"/>
            <w:noWrap/>
            <w:vAlign w:val="bottom"/>
            <w:hideMark/>
          </w:tcPr>
          <w:p w14:paraId="27DCDA34" w14:textId="77777777" w:rsidR="00B22915" w:rsidRPr="004A6421" w:rsidRDefault="00B22915" w:rsidP="00B22915">
            <w:pPr>
              <w:rPr>
                <w:color w:val="000000"/>
                <w:sz w:val="20"/>
                <w:szCs w:val="20"/>
              </w:rPr>
            </w:pPr>
            <w:r w:rsidRPr="004A6421">
              <w:rPr>
                <w:color w:val="000000"/>
                <w:sz w:val="20"/>
                <w:szCs w:val="20"/>
              </w:rPr>
              <w:t>Observations</w:t>
            </w:r>
          </w:p>
        </w:tc>
        <w:tc>
          <w:tcPr>
            <w:tcW w:w="1182" w:type="dxa"/>
            <w:tcBorders>
              <w:top w:val="nil"/>
              <w:left w:val="nil"/>
              <w:bottom w:val="nil"/>
              <w:right w:val="nil"/>
            </w:tcBorders>
            <w:shd w:val="clear" w:color="auto" w:fill="auto"/>
            <w:noWrap/>
            <w:vAlign w:val="bottom"/>
            <w:hideMark/>
          </w:tcPr>
          <w:p w14:paraId="5EABC319" w14:textId="77777777" w:rsidR="00B22915" w:rsidRPr="004A6421" w:rsidRDefault="00B22915" w:rsidP="00B22915">
            <w:pPr>
              <w:jc w:val="center"/>
              <w:rPr>
                <w:color w:val="000000"/>
                <w:sz w:val="20"/>
                <w:szCs w:val="20"/>
              </w:rPr>
            </w:pPr>
            <w:r w:rsidRPr="004A6421">
              <w:rPr>
                <w:color w:val="000000"/>
                <w:sz w:val="20"/>
                <w:szCs w:val="20"/>
              </w:rPr>
              <w:t>1,611</w:t>
            </w:r>
          </w:p>
        </w:tc>
        <w:tc>
          <w:tcPr>
            <w:tcW w:w="1425" w:type="dxa"/>
            <w:tcBorders>
              <w:top w:val="nil"/>
              <w:left w:val="nil"/>
              <w:bottom w:val="nil"/>
              <w:right w:val="nil"/>
            </w:tcBorders>
            <w:shd w:val="clear" w:color="auto" w:fill="auto"/>
            <w:noWrap/>
            <w:vAlign w:val="bottom"/>
            <w:hideMark/>
          </w:tcPr>
          <w:p w14:paraId="7E68777C" w14:textId="77777777" w:rsidR="00B22915" w:rsidRPr="004A6421" w:rsidRDefault="00B22915" w:rsidP="00B22915">
            <w:pPr>
              <w:jc w:val="center"/>
              <w:rPr>
                <w:color w:val="000000"/>
                <w:sz w:val="20"/>
                <w:szCs w:val="20"/>
              </w:rPr>
            </w:pPr>
            <w:r w:rsidRPr="004A6421">
              <w:rPr>
                <w:color w:val="000000"/>
                <w:sz w:val="20"/>
                <w:szCs w:val="20"/>
              </w:rPr>
              <w:t>866</w:t>
            </w:r>
          </w:p>
        </w:tc>
        <w:tc>
          <w:tcPr>
            <w:tcW w:w="1425" w:type="dxa"/>
            <w:tcBorders>
              <w:top w:val="nil"/>
              <w:left w:val="nil"/>
              <w:bottom w:val="nil"/>
              <w:right w:val="nil"/>
            </w:tcBorders>
            <w:shd w:val="clear" w:color="auto" w:fill="auto"/>
            <w:noWrap/>
            <w:vAlign w:val="bottom"/>
            <w:hideMark/>
          </w:tcPr>
          <w:p w14:paraId="08BCD559" w14:textId="77777777" w:rsidR="00B22915" w:rsidRPr="004A6421" w:rsidRDefault="00B22915" w:rsidP="00B22915">
            <w:pPr>
              <w:jc w:val="center"/>
              <w:rPr>
                <w:color w:val="000000"/>
                <w:sz w:val="20"/>
                <w:szCs w:val="20"/>
              </w:rPr>
            </w:pPr>
            <w:r w:rsidRPr="004A6421">
              <w:rPr>
                <w:color w:val="000000"/>
                <w:sz w:val="20"/>
                <w:szCs w:val="20"/>
              </w:rPr>
              <w:t>1,155</w:t>
            </w:r>
          </w:p>
        </w:tc>
        <w:tc>
          <w:tcPr>
            <w:tcW w:w="1426" w:type="dxa"/>
            <w:tcBorders>
              <w:top w:val="nil"/>
              <w:left w:val="nil"/>
              <w:bottom w:val="nil"/>
              <w:right w:val="nil"/>
            </w:tcBorders>
            <w:shd w:val="clear" w:color="auto" w:fill="auto"/>
            <w:noWrap/>
            <w:vAlign w:val="bottom"/>
            <w:hideMark/>
          </w:tcPr>
          <w:p w14:paraId="4F517034" w14:textId="77777777" w:rsidR="00B22915" w:rsidRPr="004A6421" w:rsidRDefault="00B22915" w:rsidP="00B22915">
            <w:pPr>
              <w:jc w:val="center"/>
              <w:rPr>
                <w:color w:val="000000"/>
                <w:sz w:val="20"/>
                <w:szCs w:val="20"/>
              </w:rPr>
            </w:pPr>
            <w:r w:rsidRPr="004A6421">
              <w:rPr>
                <w:color w:val="000000"/>
                <w:sz w:val="20"/>
                <w:szCs w:val="20"/>
              </w:rPr>
              <w:t>11,458</w:t>
            </w:r>
          </w:p>
        </w:tc>
        <w:tc>
          <w:tcPr>
            <w:tcW w:w="1425" w:type="dxa"/>
            <w:gridSpan w:val="2"/>
            <w:tcBorders>
              <w:top w:val="nil"/>
              <w:left w:val="nil"/>
              <w:bottom w:val="nil"/>
              <w:right w:val="nil"/>
            </w:tcBorders>
            <w:shd w:val="clear" w:color="auto" w:fill="auto"/>
            <w:noWrap/>
            <w:vAlign w:val="bottom"/>
            <w:hideMark/>
          </w:tcPr>
          <w:p w14:paraId="024A4F90" w14:textId="77777777" w:rsidR="00B22915" w:rsidRPr="004A6421" w:rsidRDefault="00B22915" w:rsidP="00B22915">
            <w:pPr>
              <w:jc w:val="center"/>
              <w:rPr>
                <w:color w:val="000000"/>
                <w:sz w:val="20"/>
                <w:szCs w:val="20"/>
              </w:rPr>
            </w:pPr>
            <w:r w:rsidRPr="004A6421">
              <w:rPr>
                <w:color w:val="000000"/>
                <w:sz w:val="20"/>
                <w:szCs w:val="20"/>
              </w:rPr>
              <w:t>1,611</w:t>
            </w:r>
          </w:p>
        </w:tc>
        <w:tc>
          <w:tcPr>
            <w:tcW w:w="1426" w:type="dxa"/>
            <w:tcBorders>
              <w:top w:val="nil"/>
              <w:left w:val="nil"/>
              <w:bottom w:val="nil"/>
              <w:right w:val="nil"/>
            </w:tcBorders>
            <w:shd w:val="clear" w:color="auto" w:fill="auto"/>
            <w:noWrap/>
            <w:vAlign w:val="bottom"/>
            <w:hideMark/>
          </w:tcPr>
          <w:p w14:paraId="77DB0487" w14:textId="77777777" w:rsidR="00B22915" w:rsidRPr="004A6421" w:rsidRDefault="00B22915" w:rsidP="00B22915">
            <w:pPr>
              <w:jc w:val="center"/>
              <w:rPr>
                <w:color w:val="000000"/>
                <w:sz w:val="20"/>
                <w:szCs w:val="20"/>
              </w:rPr>
            </w:pPr>
            <w:r w:rsidRPr="004A6421">
              <w:rPr>
                <w:color w:val="000000"/>
                <w:sz w:val="20"/>
                <w:szCs w:val="20"/>
              </w:rPr>
              <w:t>866</w:t>
            </w:r>
          </w:p>
        </w:tc>
        <w:tc>
          <w:tcPr>
            <w:tcW w:w="1425" w:type="dxa"/>
            <w:tcBorders>
              <w:top w:val="nil"/>
              <w:left w:val="nil"/>
              <w:bottom w:val="nil"/>
              <w:right w:val="nil"/>
            </w:tcBorders>
            <w:shd w:val="clear" w:color="auto" w:fill="auto"/>
            <w:noWrap/>
            <w:vAlign w:val="bottom"/>
            <w:hideMark/>
          </w:tcPr>
          <w:p w14:paraId="2849983F" w14:textId="77777777" w:rsidR="00B22915" w:rsidRPr="004A6421" w:rsidRDefault="00B22915" w:rsidP="00B22915">
            <w:pPr>
              <w:jc w:val="center"/>
              <w:rPr>
                <w:color w:val="000000"/>
                <w:sz w:val="20"/>
                <w:szCs w:val="20"/>
              </w:rPr>
            </w:pPr>
            <w:r w:rsidRPr="004A6421">
              <w:rPr>
                <w:color w:val="000000"/>
                <w:sz w:val="20"/>
                <w:szCs w:val="20"/>
              </w:rPr>
              <w:t>1,155</w:t>
            </w:r>
          </w:p>
        </w:tc>
        <w:tc>
          <w:tcPr>
            <w:tcW w:w="1426" w:type="dxa"/>
            <w:tcBorders>
              <w:top w:val="nil"/>
              <w:left w:val="nil"/>
              <w:bottom w:val="nil"/>
              <w:right w:val="nil"/>
            </w:tcBorders>
            <w:shd w:val="clear" w:color="auto" w:fill="auto"/>
            <w:noWrap/>
            <w:vAlign w:val="bottom"/>
            <w:hideMark/>
          </w:tcPr>
          <w:p w14:paraId="2A627457" w14:textId="77777777" w:rsidR="00B22915" w:rsidRPr="004A6421" w:rsidRDefault="00B22915" w:rsidP="00B22915">
            <w:pPr>
              <w:jc w:val="center"/>
              <w:rPr>
                <w:color w:val="000000"/>
                <w:sz w:val="20"/>
                <w:szCs w:val="20"/>
              </w:rPr>
            </w:pPr>
            <w:r w:rsidRPr="004A6421">
              <w:rPr>
                <w:color w:val="000000"/>
                <w:sz w:val="20"/>
                <w:szCs w:val="20"/>
              </w:rPr>
              <w:t>11,458</w:t>
            </w:r>
          </w:p>
        </w:tc>
      </w:tr>
      <w:tr w:rsidR="00B22915" w:rsidRPr="004A6421" w14:paraId="2266E952" w14:textId="77777777" w:rsidTr="00B22915">
        <w:trPr>
          <w:trHeight w:val="300"/>
        </w:trPr>
        <w:tc>
          <w:tcPr>
            <w:tcW w:w="2160" w:type="dxa"/>
            <w:tcBorders>
              <w:top w:val="nil"/>
              <w:left w:val="nil"/>
              <w:bottom w:val="nil"/>
              <w:right w:val="nil"/>
            </w:tcBorders>
            <w:shd w:val="clear" w:color="auto" w:fill="auto"/>
            <w:noWrap/>
            <w:vAlign w:val="bottom"/>
            <w:hideMark/>
          </w:tcPr>
          <w:p w14:paraId="4DA717E8" w14:textId="77777777" w:rsidR="00B22915" w:rsidRPr="004A6421" w:rsidRDefault="00B22915" w:rsidP="00B22915">
            <w:pPr>
              <w:rPr>
                <w:color w:val="000000"/>
                <w:sz w:val="20"/>
                <w:szCs w:val="20"/>
              </w:rPr>
            </w:pPr>
            <w:r w:rsidRPr="004A6421">
              <w:rPr>
                <w:color w:val="000000"/>
                <w:sz w:val="20"/>
                <w:szCs w:val="20"/>
              </w:rPr>
              <w:t>R-squared</w:t>
            </w:r>
          </w:p>
        </w:tc>
        <w:tc>
          <w:tcPr>
            <w:tcW w:w="1182" w:type="dxa"/>
            <w:tcBorders>
              <w:top w:val="nil"/>
              <w:left w:val="nil"/>
              <w:bottom w:val="nil"/>
              <w:right w:val="nil"/>
            </w:tcBorders>
            <w:shd w:val="clear" w:color="auto" w:fill="auto"/>
            <w:noWrap/>
            <w:vAlign w:val="bottom"/>
            <w:hideMark/>
          </w:tcPr>
          <w:p w14:paraId="1E4CF24E" w14:textId="77777777" w:rsidR="00B22915" w:rsidRPr="004A6421" w:rsidRDefault="00B22915" w:rsidP="00B22915">
            <w:pPr>
              <w:jc w:val="center"/>
              <w:rPr>
                <w:color w:val="000000"/>
                <w:sz w:val="20"/>
                <w:szCs w:val="20"/>
              </w:rPr>
            </w:pPr>
            <w:r w:rsidRPr="004A6421">
              <w:rPr>
                <w:color w:val="000000"/>
                <w:sz w:val="20"/>
                <w:szCs w:val="20"/>
              </w:rPr>
              <w:t>0.196</w:t>
            </w:r>
          </w:p>
        </w:tc>
        <w:tc>
          <w:tcPr>
            <w:tcW w:w="1425" w:type="dxa"/>
            <w:tcBorders>
              <w:top w:val="nil"/>
              <w:left w:val="nil"/>
              <w:bottom w:val="nil"/>
              <w:right w:val="nil"/>
            </w:tcBorders>
            <w:shd w:val="clear" w:color="auto" w:fill="auto"/>
            <w:noWrap/>
            <w:vAlign w:val="bottom"/>
            <w:hideMark/>
          </w:tcPr>
          <w:p w14:paraId="08F857B5" w14:textId="77777777" w:rsidR="00B22915" w:rsidRPr="004A6421" w:rsidRDefault="00B22915" w:rsidP="00B22915">
            <w:pPr>
              <w:jc w:val="center"/>
              <w:rPr>
                <w:color w:val="000000"/>
                <w:sz w:val="20"/>
                <w:szCs w:val="20"/>
              </w:rPr>
            </w:pPr>
            <w:r w:rsidRPr="004A6421">
              <w:rPr>
                <w:color w:val="000000"/>
                <w:sz w:val="20"/>
                <w:szCs w:val="20"/>
              </w:rPr>
              <w:t>0.239</w:t>
            </w:r>
          </w:p>
        </w:tc>
        <w:tc>
          <w:tcPr>
            <w:tcW w:w="1425" w:type="dxa"/>
            <w:tcBorders>
              <w:top w:val="nil"/>
              <w:left w:val="nil"/>
              <w:bottom w:val="nil"/>
              <w:right w:val="nil"/>
            </w:tcBorders>
            <w:shd w:val="clear" w:color="auto" w:fill="auto"/>
            <w:noWrap/>
            <w:vAlign w:val="bottom"/>
            <w:hideMark/>
          </w:tcPr>
          <w:p w14:paraId="3A49652A" w14:textId="77777777" w:rsidR="00B22915" w:rsidRPr="004A6421" w:rsidRDefault="00B22915" w:rsidP="00B22915">
            <w:pPr>
              <w:jc w:val="center"/>
              <w:rPr>
                <w:color w:val="000000"/>
                <w:sz w:val="20"/>
                <w:szCs w:val="20"/>
              </w:rPr>
            </w:pPr>
            <w:r w:rsidRPr="004A6421">
              <w:rPr>
                <w:color w:val="000000"/>
                <w:sz w:val="20"/>
                <w:szCs w:val="20"/>
              </w:rPr>
              <w:t>0.277</w:t>
            </w:r>
          </w:p>
        </w:tc>
        <w:tc>
          <w:tcPr>
            <w:tcW w:w="1426" w:type="dxa"/>
            <w:tcBorders>
              <w:top w:val="nil"/>
              <w:left w:val="nil"/>
              <w:bottom w:val="nil"/>
              <w:right w:val="nil"/>
            </w:tcBorders>
            <w:shd w:val="clear" w:color="auto" w:fill="auto"/>
            <w:noWrap/>
            <w:vAlign w:val="bottom"/>
            <w:hideMark/>
          </w:tcPr>
          <w:p w14:paraId="2CBACEC1" w14:textId="77777777" w:rsidR="00B22915" w:rsidRPr="004A6421" w:rsidRDefault="00B22915" w:rsidP="00B22915">
            <w:pPr>
              <w:jc w:val="center"/>
              <w:rPr>
                <w:color w:val="000000"/>
                <w:sz w:val="20"/>
                <w:szCs w:val="20"/>
              </w:rPr>
            </w:pPr>
            <w:r w:rsidRPr="004A6421">
              <w:rPr>
                <w:color w:val="000000"/>
                <w:sz w:val="20"/>
                <w:szCs w:val="20"/>
              </w:rPr>
              <w:t>0.141</w:t>
            </w:r>
          </w:p>
        </w:tc>
        <w:tc>
          <w:tcPr>
            <w:tcW w:w="1425" w:type="dxa"/>
            <w:gridSpan w:val="2"/>
            <w:tcBorders>
              <w:top w:val="nil"/>
              <w:left w:val="nil"/>
              <w:bottom w:val="nil"/>
              <w:right w:val="nil"/>
            </w:tcBorders>
            <w:shd w:val="clear" w:color="auto" w:fill="auto"/>
            <w:noWrap/>
            <w:vAlign w:val="bottom"/>
            <w:hideMark/>
          </w:tcPr>
          <w:p w14:paraId="159A9B6E" w14:textId="77777777" w:rsidR="00B22915" w:rsidRPr="004A6421" w:rsidRDefault="00B22915" w:rsidP="00B22915">
            <w:pPr>
              <w:jc w:val="center"/>
              <w:rPr>
                <w:color w:val="000000"/>
                <w:sz w:val="20"/>
                <w:szCs w:val="20"/>
              </w:rPr>
            </w:pPr>
            <w:r w:rsidRPr="004A6421">
              <w:rPr>
                <w:color w:val="000000"/>
                <w:sz w:val="20"/>
                <w:szCs w:val="20"/>
              </w:rPr>
              <w:t>0.263</w:t>
            </w:r>
          </w:p>
        </w:tc>
        <w:tc>
          <w:tcPr>
            <w:tcW w:w="1426" w:type="dxa"/>
            <w:tcBorders>
              <w:top w:val="nil"/>
              <w:left w:val="nil"/>
              <w:bottom w:val="nil"/>
              <w:right w:val="nil"/>
            </w:tcBorders>
            <w:shd w:val="clear" w:color="auto" w:fill="auto"/>
            <w:noWrap/>
            <w:vAlign w:val="bottom"/>
            <w:hideMark/>
          </w:tcPr>
          <w:p w14:paraId="67499237" w14:textId="77777777" w:rsidR="00B22915" w:rsidRPr="004A6421" w:rsidRDefault="00B22915" w:rsidP="00B22915">
            <w:pPr>
              <w:jc w:val="center"/>
              <w:rPr>
                <w:color w:val="000000"/>
                <w:sz w:val="20"/>
                <w:szCs w:val="20"/>
              </w:rPr>
            </w:pPr>
            <w:r w:rsidRPr="004A6421">
              <w:rPr>
                <w:color w:val="000000"/>
                <w:sz w:val="20"/>
                <w:szCs w:val="20"/>
              </w:rPr>
              <w:t>0.246</w:t>
            </w:r>
          </w:p>
        </w:tc>
        <w:tc>
          <w:tcPr>
            <w:tcW w:w="1425" w:type="dxa"/>
            <w:tcBorders>
              <w:top w:val="nil"/>
              <w:left w:val="nil"/>
              <w:bottom w:val="nil"/>
              <w:right w:val="nil"/>
            </w:tcBorders>
            <w:shd w:val="clear" w:color="auto" w:fill="auto"/>
            <w:noWrap/>
            <w:vAlign w:val="bottom"/>
            <w:hideMark/>
          </w:tcPr>
          <w:p w14:paraId="0C7B3E39" w14:textId="77777777" w:rsidR="00B22915" w:rsidRPr="004A6421" w:rsidRDefault="00B22915" w:rsidP="00B22915">
            <w:pPr>
              <w:jc w:val="center"/>
              <w:rPr>
                <w:color w:val="000000"/>
                <w:sz w:val="20"/>
                <w:szCs w:val="20"/>
              </w:rPr>
            </w:pPr>
            <w:r w:rsidRPr="004A6421">
              <w:rPr>
                <w:color w:val="000000"/>
                <w:sz w:val="20"/>
                <w:szCs w:val="20"/>
              </w:rPr>
              <w:t>0.128</w:t>
            </w:r>
          </w:p>
        </w:tc>
        <w:tc>
          <w:tcPr>
            <w:tcW w:w="1426" w:type="dxa"/>
            <w:tcBorders>
              <w:top w:val="nil"/>
              <w:left w:val="nil"/>
              <w:bottom w:val="nil"/>
              <w:right w:val="nil"/>
            </w:tcBorders>
            <w:shd w:val="clear" w:color="auto" w:fill="auto"/>
            <w:noWrap/>
            <w:vAlign w:val="bottom"/>
            <w:hideMark/>
          </w:tcPr>
          <w:p w14:paraId="6F0EB5F2" w14:textId="77777777" w:rsidR="00B22915" w:rsidRPr="004A6421" w:rsidRDefault="00B22915" w:rsidP="00B22915">
            <w:pPr>
              <w:jc w:val="center"/>
              <w:rPr>
                <w:color w:val="000000"/>
                <w:sz w:val="20"/>
                <w:szCs w:val="20"/>
              </w:rPr>
            </w:pPr>
            <w:r w:rsidRPr="004A6421">
              <w:rPr>
                <w:color w:val="000000"/>
                <w:sz w:val="20"/>
                <w:szCs w:val="20"/>
              </w:rPr>
              <w:t>0.197</w:t>
            </w:r>
          </w:p>
        </w:tc>
      </w:tr>
      <w:tr w:rsidR="00B22915" w:rsidRPr="004A6421" w14:paraId="6A3AA104" w14:textId="77777777" w:rsidTr="00B22915">
        <w:trPr>
          <w:trHeight w:val="300"/>
        </w:trPr>
        <w:tc>
          <w:tcPr>
            <w:tcW w:w="2160" w:type="dxa"/>
            <w:tcBorders>
              <w:top w:val="nil"/>
              <w:left w:val="nil"/>
              <w:bottom w:val="nil"/>
              <w:right w:val="nil"/>
            </w:tcBorders>
            <w:shd w:val="clear" w:color="auto" w:fill="auto"/>
            <w:noWrap/>
            <w:vAlign w:val="bottom"/>
            <w:hideMark/>
          </w:tcPr>
          <w:p w14:paraId="6111B18C" w14:textId="77777777" w:rsidR="00B22915" w:rsidRPr="004A6421" w:rsidRDefault="00B22915" w:rsidP="00B22915">
            <w:pPr>
              <w:jc w:val="center"/>
              <w:rPr>
                <w:color w:val="000000"/>
                <w:sz w:val="20"/>
                <w:szCs w:val="20"/>
              </w:rPr>
            </w:pPr>
          </w:p>
        </w:tc>
        <w:tc>
          <w:tcPr>
            <w:tcW w:w="1182" w:type="dxa"/>
            <w:tcBorders>
              <w:top w:val="nil"/>
              <w:left w:val="nil"/>
              <w:bottom w:val="nil"/>
              <w:right w:val="nil"/>
            </w:tcBorders>
            <w:shd w:val="clear" w:color="auto" w:fill="auto"/>
            <w:noWrap/>
            <w:vAlign w:val="bottom"/>
            <w:hideMark/>
          </w:tcPr>
          <w:p w14:paraId="7ED541FD" w14:textId="77777777" w:rsidR="00B22915" w:rsidRPr="004A6421" w:rsidRDefault="00B22915" w:rsidP="00B22915">
            <w:pPr>
              <w:rPr>
                <w:sz w:val="20"/>
                <w:szCs w:val="20"/>
              </w:rPr>
            </w:pPr>
          </w:p>
        </w:tc>
        <w:tc>
          <w:tcPr>
            <w:tcW w:w="1425" w:type="dxa"/>
            <w:tcBorders>
              <w:top w:val="nil"/>
              <w:left w:val="nil"/>
              <w:bottom w:val="nil"/>
              <w:right w:val="nil"/>
            </w:tcBorders>
            <w:shd w:val="clear" w:color="auto" w:fill="auto"/>
            <w:noWrap/>
            <w:vAlign w:val="bottom"/>
            <w:hideMark/>
          </w:tcPr>
          <w:p w14:paraId="565189F5" w14:textId="77777777" w:rsidR="00B22915" w:rsidRPr="004A6421" w:rsidRDefault="00B22915" w:rsidP="00B22915">
            <w:pPr>
              <w:rPr>
                <w:sz w:val="20"/>
                <w:szCs w:val="20"/>
              </w:rPr>
            </w:pPr>
          </w:p>
        </w:tc>
        <w:tc>
          <w:tcPr>
            <w:tcW w:w="1425" w:type="dxa"/>
            <w:tcBorders>
              <w:top w:val="nil"/>
              <w:left w:val="nil"/>
              <w:bottom w:val="nil"/>
              <w:right w:val="nil"/>
            </w:tcBorders>
            <w:shd w:val="clear" w:color="auto" w:fill="auto"/>
            <w:noWrap/>
            <w:vAlign w:val="bottom"/>
            <w:hideMark/>
          </w:tcPr>
          <w:p w14:paraId="1126705F" w14:textId="77777777" w:rsidR="00B22915" w:rsidRPr="004A6421" w:rsidRDefault="00B22915" w:rsidP="00B22915">
            <w:pPr>
              <w:rPr>
                <w:sz w:val="20"/>
                <w:szCs w:val="20"/>
              </w:rPr>
            </w:pPr>
          </w:p>
        </w:tc>
        <w:tc>
          <w:tcPr>
            <w:tcW w:w="1426" w:type="dxa"/>
            <w:tcBorders>
              <w:top w:val="nil"/>
              <w:left w:val="nil"/>
              <w:bottom w:val="nil"/>
              <w:right w:val="nil"/>
            </w:tcBorders>
            <w:shd w:val="clear" w:color="auto" w:fill="auto"/>
            <w:noWrap/>
            <w:vAlign w:val="bottom"/>
            <w:hideMark/>
          </w:tcPr>
          <w:p w14:paraId="0AB1A35D" w14:textId="77777777" w:rsidR="00B22915" w:rsidRPr="004A6421" w:rsidRDefault="00B22915" w:rsidP="00B22915">
            <w:pPr>
              <w:rPr>
                <w:sz w:val="20"/>
                <w:szCs w:val="20"/>
              </w:rPr>
            </w:pPr>
          </w:p>
        </w:tc>
        <w:tc>
          <w:tcPr>
            <w:tcW w:w="1425" w:type="dxa"/>
            <w:gridSpan w:val="2"/>
            <w:tcBorders>
              <w:top w:val="nil"/>
              <w:left w:val="nil"/>
              <w:bottom w:val="nil"/>
              <w:right w:val="nil"/>
            </w:tcBorders>
            <w:shd w:val="clear" w:color="auto" w:fill="auto"/>
            <w:noWrap/>
            <w:vAlign w:val="bottom"/>
            <w:hideMark/>
          </w:tcPr>
          <w:p w14:paraId="5BD4D8C3" w14:textId="77777777" w:rsidR="00B22915" w:rsidRPr="004A6421" w:rsidRDefault="00B22915" w:rsidP="00B22915">
            <w:pPr>
              <w:rPr>
                <w:sz w:val="20"/>
                <w:szCs w:val="20"/>
              </w:rPr>
            </w:pPr>
          </w:p>
        </w:tc>
        <w:tc>
          <w:tcPr>
            <w:tcW w:w="1426" w:type="dxa"/>
            <w:tcBorders>
              <w:top w:val="nil"/>
              <w:left w:val="nil"/>
              <w:bottom w:val="nil"/>
              <w:right w:val="nil"/>
            </w:tcBorders>
            <w:shd w:val="clear" w:color="auto" w:fill="auto"/>
            <w:noWrap/>
            <w:vAlign w:val="bottom"/>
            <w:hideMark/>
          </w:tcPr>
          <w:p w14:paraId="0F8C909A" w14:textId="77777777" w:rsidR="00B22915" w:rsidRPr="004A6421" w:rsidRDefault="00B22915" w:rsidP="00B22915">
            <w:pPr>
              <w:rPr>
                <w:sz w:val="20"/>
                <w:szCs w:val="20"/>
              </w:rPr>
            </w:pPr>
          </w:p>
        </w:tc>
        <w:tc>
          <w:tcPr>
            <w:tcW w:w="1425" w:type="dxa"/>
            <w:tcBorders>
              <w:top w:val="nil"/>
              <w:left w:val="nil"/>
              <w:bottom w:val="nil"/>
              <w:right w:val="nil"/>
            </w:tcBorders>
            <w:shd w:val="clear" w:color="auto" w:fill="auto"/>
            <w:noWrap/>
            <w:vAlign w:val="bottom"/>
            <w:hideMark/>
          </w:tcPr>
          <w:p w14:paraId="1E941CAB" w14:textId="77777777" w:rsidR="00B22915" w:rsidRPr="004A6421" w:rsidRDefault="00B22915" w:rsidP="00B22915">
            <w:pPr>
              <w:rPr>
                <w:sz w:val="20"/>
                <w:szCs w:val="20"/>
              </w:rPr>
            </w:pPr>
          </w:p>
        </w:tc>
        <w:tc>
          <w:tcPr>
            <w:tcW w:w="1426" w:type="dxa"/>
            <w:tcBorders>
              <w:top w:val="nil"/>
              <w:left w:val="nil"/>
              <w:bottom w:val="nil"/>
              <w:right w:val="nil"/>
            </w:tcBorders>
            <w:shd w:val="clear" w:color="auto" w:fill="auto"/>
            <w:noWrap/>
            <w:vAlign w:val="bottom"/>
            <w:hideMark/>
          </w:tcPr>
          <w:p w14:paraId="331C92DB" w14:textId="77777777" w:rsidR="00B22915" w:rsidRPr="004A6421" w:rsidRDefault="00B22915" w:rsidP="00B22915">
            <w:pPr>
              <w:rPr>
                <w:sz w:val="20"/>
                <w:szCs w:val="20"/>
              </w:rPr>
            </w:pPr>
          </w:p>
        </w:tc>
      </w:tr>
      <w:tr w:rsidR="00B22915" w:rsidRPr="004A6421" w14:paraId="5E199C9A" w14:textId="77777777" w:rsidTr="00B22915">
        <w:trPr>
          <w:trHeight w:val="300"/>
        </w:trPr>
        <w:tc>
          <w:tcPr>
            <w:tcW w:w="2160" w:type="dxa"/>
            <w:tcBorders>
              <w:top w:val="nil"/>
              <w:left w:val="nil"/>
              <w:bottom w:val="nil"/>
              <w:right w:val="nil"/>
            </w:tcBorders>
            <w:shd w:val="clear" w:color="auto" w:fill="auto"/>
            <w:noWrap/>
            <w:vAlign w:val="bottom"/>
            <w:hideMark/>
          </w:tcPr>
          <w:p w14:paraId="663FFEE7" w14:textId="77777777" w:rsidR="00B22915" w:rsidRPr="004A6421" w:rsidRDefault="00B22915" w:rsidP="00B22915">
            <w:pPr>
              <w:rPr>
                <w:b/>
                <w:bCs/>
                <w:color w:val="000000"/>
                <w:sz w:val="20"/>
                <w:szCs w:val="20"/>
              </w:rPr>
            </w:pPr>
            <w:r w:rsidRPr="004A6421">
              <w:rPr>
                <w:b/>
                <w:bCs/>
                <w:color w:val="000000"/>
                <w:sz w:val="20"/>
                <w:szCs w:val="20"/>
              </w:rPr>
              <w:t>Panel B</w:t>
            </w:r>
          </w:p>
        </w:tc>
        <w:tc>
          <w:tcPr>
            <w:tcW w:w="5490" w:type="dxa"/>
            <w:gridSpan w:val="5"/>
            <w:tcBorders>
              <w:top w:val="nil"/>
              <w:left w:val="nil"/>
              <w:bottom w:val="single" w:sz="4" w:space="0" w:color="000000"/>
              <w:right w:val="nil"/>
            </w:tcBorders>
            <w:shd w:val="clear" w:color="auto" w:fill="auto"/>
            <w:noWrap/>
            <w:vAlign w:val="bottom"/>
            <w:hideMark/>
          </w:tcPr>
          <w:p w14:paraId="4022C5B3" w14:textId="77777777" w:rsidR="00B22915" w:rsidRPr="004A6421" w:rsidRDefault="00B22915" w:rsidP="00B22915">
            <w:pPr>
              <w:jc w:val="center"/>
              <w:rPr>
                <w:color w:val="000000"/>
                <w:sz w:val="20"/>
                <w:szCs w:val="20"/>
              </w:rPr>
            </w:pPr>
            <w:r w:rsidRPr="004A6421">
              <w:rPr>
                <w:color w:val="000000"/>
                <w:sz w:val="20"/>
                <w:szCs w:val="20"/>
              </w:rPr>
              <w:t>Enrolled in 4-Year College</w:t>
            </w:r>
          </w:p>
        </w:tc>
        <w:tc>
          <w:tcPr>
            <w:tcW w:w="5670" w:type="dxa"/>
            <w:gridSpan w:val="4"/>
            <w:tcBorders>
              <w:top w:val="nil"/>
              <w:left w:val="nil"/>
              <w:bottom w:val="single" w:sz="4" w:space="0" w:color="000000"/>
              <w:right w:val="nil"/>
            </w:tcBorders>
            <w:shd w:val="clear" w:color="auto" w:fill="auto"/>
            <w:noWrap/>
            <w:vAlign w:val="bottom"/>
            <w:hideMark/>
          </w:tcPr>
          <w:p w14:paraId="11073F71" w14:textId="77777777" w:rsidR="00B22915" w:rsidRPr="004A6421" w:rsidRDefault="00B22915" w:rsidP="00B22915">
            <w:pPr>
              <w:jc w:val="center"/>
              <w:rPr>
                <w:color w:val="000000"/>
                <w:sz w:val="20"/>
                <w:szCs w:val="20"/>
              </w:rPr>
            </w:pPr>
            <w:r w:rsidRPr="004A6421">
              <w:rPr>
                <w:color w:val="000000"/>
                <w:sz w:val="20"/>
                <w:szCs w:val="20"/>
              </w:rPr>
              <w:t>On-Time High School Graduation</w:t>
            </w:r>
          </w:p>
        </w:tc>
      </w:tr>
      <w:tr w:rsidR="00B22915" w:rsidRPr="004A6421" w14:paraId="6A2F8D01" w14:textId="77777777" w:rsidTr="00B22915">
        <w:trPr>
          <w:trHeight w:val="300"/>
        </w:trPr>
        <w:tc>
          <w:tcPr>
            <w:tcW w:w="2160" w:type="dxa"/>
            <w:tcBorders>
              <w:top w:val="single" w:sz="4" w:space="0" w:color="000000"/>
              <w:left w:val="nil"/>
              <w:right w:val="nil"/>
            </w:tcBorders>
            <w:shd w:val="clear" w:color="auto" w:fill="auto"/>
            <w:noWrap/>
            <w:vAlign w:val="bottom"/>
            <w:hideMark/>
          </w:tcPr>
          <w:p w14:paraId="1799B5E3" w14:textId="77777777" w:rsidR="00B22915" w:rsidRPr="004A6421" w:rsidRDefault="00B22915" w:rsidP="00B22915">
            <w:pPr>
              <w:rPr>
                <w:color w:val="000000"/>
                <w:sz w:val="20"/>
                <w:szCs w:val="20"/>
              </w:rPr>
            </w:pPr>
            <w:r w:rsidRPr="004A6421">
              <w:rPr>
                <w:color w:val="000000"/>
                <w:sz w:val="20"/>
                <w:szCs w:val="20"/>
              </w:rPr>
              <w:t> </w:t>
            </w:r>
          </w:p>
        </w:tc>
        <w:tc>
          <w:tcPr>
            <w:tcW w:w="1182" w:type="dxa"/>
            <w:tcBorders>
              <w:top w:val="nil"/>
              <w:left w:val="nil"/>
              <w:right w:val="nil"/>
            </w:tcBorders>
            <w:shd w:val="clear" w:color="auto" w:fill="auto"/>
            <w:noWrap/>
            <w:vAlign w:val="bottom"/>
            <w:hideMark/>
          </w:tcPr>
          <w:p w14:paraId="7EE37531" w14:textId="77777777" w:rsidR="00B22915" w:rsidRPr="004A6421" w:rsidRDefault="00B22915" w:rsidP="00B22915">
            <w:pPr>
              <w:jc w:val="center"/>
              <w:rPr>
                <w:color w:val="000000"/>
                <w:sz w:val="20"/>
                <w:szCs w:val="20"/>
              </w:rPr>
            </w:pPr>
            <w:r w:rsidRPr="004A6421">
              <w:rPr>
                <w:color w:val="000000"/>
                <w:sz w:val="20"/>
                <w:szCs w:val="20"/>
              </w:rPr>
              <w:t>(1)</w:t>
            </w:r>
          </w:p>
        </w:tc>
        <w:tc>
          <w:tcPr>
            <w:tcW w:w="1425" w:type="dxa"/>
            <w:tcBorders>
              <w:top w:val="nil"/>
              <w:left w:val="nil"/>
              <w:right w:val="nil"/>
            </w:tcBorders>
            <w:shd w:val="clear" w:color="auto" w:fill="auto"/>
            <w:noWrap/>
            <w:vAlign w:val="bottom"/>
            <w:hideMark/>
          </w:tcPr>
          <w:p w14:paraId="7713CDB0" w14:textId="77777777" w:rsidR="00B22915" w:rsidRPr="004A6421" w:rsidRDefault="00B22915" w:rsidP="00B22915">
            <w:pPr>
              <w:jc w:val="center"/>
              <w:rPr>
                <w:color w:val="000000"/>
                <w:sz w:val="20"/>
                <w:szCs w:val="20"/>
              </w:rPr>
            </w:pPr>
            <w:r w:rsidRPr="004A6421">
              <w:rPr>
                <w:color w:val="000000"/>
                <w:sz w:val="20"/>
                <w:szCs w:val="20"/>
              </w:rPr>
              <w:t>(2)</w:t>
            </w:r>
          </w:p>
        </w:tc>
        <w:tc>
          <w:tcPr>
            <w:tcW w:w="1425" w:type="dxa"/>
            <w:tcBorders>
              <w:top w:val="nil"/>
              <w:left w:val="nil"/>
              <w:right w:val="nil"/>
            </w:tcBorders>
            <w:shd w:val="clear" w:color="auto" w:fill="auto"/>
            <w:noWrap/>
            <w:vAlign w:val="bottom"/>
            <w:hideMark/>
          </w:tcPr>
          <w:p w14:paraId="4DC6C090" w14:textId="77777777" w:rsidR="00B22915" w:rsidRPr="004A6421" w:rsidRDefault="00B22915" w:rsidP="00B22915">
            <w:pPr>
              <w:jc w:val="center"/>
              <w:rPr>
                <w:color w:val="000000"/>
                <w:sz w:val="20"/>
                <w:szCs w:val="20"/>
              </w:rPr>
            </w:pPr>
            <w:r w:rsidRPr="004A6421">
              <w:rPr>
                <w:color w:val="000000"/>
                <w:sz w:val="20"/>
                <w:szCs w:val="20"/>
              </w:rPr>
              <w:t>(3)</w:t>
            </w:r>
          </w:p>
        </w:tc>
        <w:tc>
          <w:tcPr>
            <w:tcW w:w="1426" w:type="dxa"/>
            <w:tcBorders>
              <w:top w:val="nil"/>
              <w:left w:val="nil"/>
              <w:right w:val="nil"/>
            </w:tcBorders>
            <w:shd w:val="clear" w:color="auto" w:fill="auto"/>
            <w:noWrap/>
            <w:vAlign w:val="bottom"/>
            <w:hideMark/>
          </w:tcPr>
          <w:p w14:paraId="5CD6363E" w14:textId="77777777" w:rsidR="00B22915" w:rsidRPr="004A6421" w:rsidRDefault="00B22915" w:rsidP="00B22915">
            <w:pPr>
              <w:jc w:val="center"/>
              <w:rPr>
                <w:color w:val="000000"/>
                <w:sz w:val="20"/>
                <w:szCs w:val="20"/>
              </w:rPr>
            </w:pPr>
            <w:r w:rsidRPr="004A6421">
              <w:rPr>
                <w:color w:val="000000"/>
                <w:sz w:val="20"/>
                <w:szCs w:val="20"/>
              </w:rPr>
              <w:t>(4)</w:t>
            </w:r>
          </w:p>
        </w:tc>
        <w:tc>
          <w:tcPr>
            <w:tcW w:w="1425" w:type="dxa"/>
            <w:gridSpan w:val="2"/>
            <w:tcBorders>
              <w:top w:val="nil"/>
              <w:left w:val="nil"/>
              <w:right w:val="nil"/>
            </w:tcBorders>
            <w:shd w:val="clear" w:color="auto" w:fill="auto"/>
            <w:noWrap/>
            <w:vAlign w:val="bottom"/>
            <w:hideMark/>
          </w:tcPr>
          <w:p w14:paraId="20EBD1E0" w14:textId="77777777" w:rsidR="00B22915" w:rsidRPr="004A6421" w:rsidRDefault="00B22915" w:rsidP="00B22915">
            <w:pPr>
              <w:jc w:val="center"/>
              <w:rPr>
                <w:color w:val="000000"/>
                <w:sz w:val="20"/>
                <w:szCs w:val="20"/>
              </w:rPr>
            </w:pPr>
            <w:r w:rsidRPr="004A6421">
              <w:rPr>
                <w:color w:val="000000"/>
                <w:sz w:val="20"/>
                <w:szCs w:val="20"/>
              </w:rPr>
              <w:t>(5)</w:t>
            </w:r>
          </w:p>
        </w:tc>
        <w:tc>
          <w:tcPr>
            <w:tcW w:w="1426" w:type="dxa"/>
            <w:tcBorders>
              <w:top w:val="nil"/>
              <w:left w:val="nil"/>
              <w:right w:val="nil"/>
            </w:tcBorders>
            <w:shd w:val="clear" w:color="auto" w:fill="auto"/>
            <w:noWrap/>
            <w:vAlign w:val="bottom"/>
            <w:hideMark/>
          </w:tcPr>
          <w:p w14:paraId="11DF40B1" w14:textId="77777777" w:rsidR="00B22915" w:rsidRPr="004A6421" w:rsidRDefault="00B22915" w:rsidP="00B22915">
            <w:pPr>
              <w:jc w:val="center"/>
              <w:rPr>
                <w:color w:val="000000"/>
                <w:sz w:val="20"/>
                <w:szCs w:val="20"/>
              </w:rPr>
            </w:pPr>
            <w:r w:rsidRPr="004A6421">
              <w:rPr>
                <w:color w:val="000000"/>
                <w:sz w:val="20"/>
                <w:szCs w:val="20"/>
              </w:rPr>
              <w:t>(6)</w:t>
            </w:r>
          </w:p>
        </w:tc>
        <w:tc>
          <w:tcPr>
            <w:tcW w:w="1425" w:type="dxa"/>
            <w:tcBorders>
              <w:top w:val="nil"/>
              <w:left w:val="nil"/>
              <w:right w:val="nil"/>
            </w:tcBorders>
            <w:shd w:val="clear" w:color="auto" w:fill="auto"/>
            <w:noWrap/>
            <w:vAlign w:val="bottom"/>
            <w:hideMark/>
          </w:tcPr>
          <w:p w14:paraId="3CC17043" w14:textId="77777777" w:rsidR="00B22915" w:rsidRPr="004A6421" w:rsidRDefault="00B22915" w:rsidP="00B22915">
            <w:pPr>
              <w:jc w:val="center"/>
              <w:rPr>
                <w:color w:val="000000"/>
                <w:sz w:val="20"/>
                <w:szCs w:val="20"/>
              </w:rPr>
            </w:pPr>
            <w:r w:rsidRPr="004A6421">
              <w:rPr>
                <w:color w:val="000000"/>
                <w:sz w:val="20"/>
                <w:szCs w:val="20"/>
              </w:rPr>
              <w:t>(7)</w:t>
            </w:r>
          </w:p>
        </w:tc>
        <w:tc>
          <w:tcPr>
            <w:tcW w:w="1426" w:type="dxa"/>
            <w:tcBorders>
              <w:top w:val="nil"/>
              <w:left w:val="nil"/>
              <w:right w:val="nil"/>
            </w:tcBorders>
            <w:shd w:val="clear" w:color="auto" w:fill="auto"/>
            <w:noWrap/>
            <w:vAlign w:val="bottom"/>
            <w:hideMark/>
          </w:tcPr>
          <w:p w14:paraId="63FC8963" w14:textId="77777777" w:rsidR="00B22915" w:rsidRPr="004A6421" w:rsidRDefault="00B22915" w:rsidP="00B22915">
            <w:pPr>
              <w:jc w:val="center"/>
              <w:rPr>
                <w:color w:val="000000"/>
                <w:sz w:val="20"/>
                <w:szCs w:val="20"/>
              </w:rPr>
            </w:pPr>
            <w:r w:rsidRPr="004A6421">
              <w:rPr>
                <w:color w:val="000000"/>
                <w:sz w:val="20"/>
                <w:szCs w:val="20"/>
              </w:rPr>
              <w:t>(8)</w:t>
            </w:r>
          </w:p>
        </w:tc>
      </w:tr>
      <w:tr w:rsidR="00B22915" w:rsidRPr="004A6421" w14:paraId="08130A51" w14:textId="77777777" w:rsidTr="00B22915">
        <w:trPr>
          <w:trHeight w:val="300"/>
        </w:trPr>
        <w:tc>
          <w:tcPr>
            <w:tcW w:w="2160" w:type="dxa"/>
            <w:tcBorders>
              <w:top w:val="nil"/>
              <w:left w:val="nil"/>
              <w:bottom w:val="single" w:sz="4" w:space="0" w:color="auto"/>
              <w:right w:val="nil"/>
            </w:tcBorders>
            <w:shd w:val="clear" w:color="auto" w:fill="auto"/>
            <w:noWrap/>
            <w:vAlign w:val="bottom"/>
            <w:hideMark/>
          </w:tcPr>
          <w:p w14:paraId="3D414ABC" w14:textId="77777777" w:rsidR="00B22915" w:rsidRPr="004A6421" w:rsidRDefault="00B22915" w:rsidP="00B22915">
            <w:pPr>
              <w:jc w:val="center"/>
              <w:rPr>
                <w:color w:val="000000"/>
                <w:sz w:val="20"/>
                <w:szCs w:val="20"/>
              </w:rPr>
            </w:pPr>
          </w:p>
        </w:tc>
        <w:tc>
          <w:tcPr>
            <w:tcW w:w="1182" w:type="dxa"/>
            <w:tcBorders>
              <w:top w:val="nil"/>
              <w:left w:val="nil"/>
              <w:bottom w:val="single" w:sz="4" w:space="0" w:color="auto"/>
              <w:right w:val="nil"/>
            </w:tcBorders>
            <w:shd w:val="clear" w:color="auto" w:fill="auto"/>
            <w:noWrap/>
            <w:vAlign w:val="bottom"/>
            <w:hideMark/>
          </w:tcPr>
          <w:p w14:paraId="0CDCF34E" w14:textId="77777777" w:rsidR="00B22915" w:rsidRPr="004A6421" w:rsidRDefault="00B22915" w:rsidP="00B22915">
            <w:pPr>
              <w:jc w:val="center"/>
              <w:rPr>
                <w:color w:val="000000"/>
                <w:sz w:val="20"/>
                <w:szCs w:val="20"/>
              </w:rPr>
            </w:pPr>
            <w:r w:rsidRPr="004A6421">
              <w:rPr>
                <w:color w:val="000000"/>
                <w:sz w:val="20"/>
                <w:szCs w:val="20"/>
              </w:rPr>
              <w:t xml:space="preserve">Gr 6+ </w:t>
            </w:r>
          </w:p>
        </w:tc>
        <w:tc>
          <w:tcPr>
            <w:tcW w:w="1425" w:type="dxa"/>
            <w:tcBorders>
              <w:top w:val="nil"/>
              <w:left w:val="nil"/>
              <w:bottom w:val="single" w:sz="4" w:space="0" w:color="auto"/>
              <w:right w:val="nil"/>
            </w:tcBorders>
            <w:shd w:val="clear" w:color="auto" w:fill="auto"/>
            <w:noWrap/>
            <w:vAlign w:val="bottom"/>
            <w:hideMark/>
          </w:tcPr>
          <w:p w14:paraId="136EA51F" w14:textId="77777777" w:rsidR="00B22915" w:rsidRPr="004A6421" w:rsidRDefault="00B22915" w:rsidP="00B22915">
            <w:pPr>
              <w:jc w:val="center"/>
              <w:rPr>
                <w:color w:val="000000"/>
                <w:sz w:val="20"/>
                <w:szCs w:val="20"/>
              </w:rPr>
            </w:pPr>
            <w:r w:rsidRPr="004A6421">
              <w:rPr>
                <w:color w:val="000000"/>
                <w:sz w:val="20"/>
                <w:szCs w:val="20"/>
              </w:rPr>
              <w:t xml:space="preserve">Gr 2-5 </w:t>
            </w:r>
          </w:p>
        </w:tc>
        <w:tc>
          <w:tcPr>
            <w:tcW w:w="1425" w:type="dxa"/>
            <w:tcBorders>
              <w:top w:val="nil"/>
              <w:left w:val="nil"/>
              <w:bottom w:val="single" w:sz="4" w:space="0" w:color="auto"/>
              <w:right w:val="nil"/>
            </w:tcBorders>
            <w:shd w:val="clear" w:color="auto" w:fill="auto"/>
            <w:noWrap/>
            <w:vAlign w:val="bottom"/>
            <w:hideMark/>
          </w:tcPr>
          <w:p w14:paraId="16C14911" w14:textId="77777777" w:rsidR="00B22915" w:rsidRPr="004A6421" w:rsidRDefault="00B22915" w:rsidP="00B22915">
            <w:pPr>
              <w:jc w:val="center"/>
              <w:rPr>
                <w:color w:val="000000"/>
                <w:sz w:val="20"/>
                <w:szCs w:val="20"/>
              </w:rPr>
            </w:pPr>
            <w:r w:rsidRPr="004A6421">
              <w:rPr>
                <w:color w:val="000000"/>
                <w:sz w:val="20"/>
                <w:szCs w:val="20"/>
              </w:rPr>
              <w:t xml:space="preserve">K or Gr 1 </w:t>
            </w:r>
          </w:p>
        </w:tc>
        <w:tc>
          <w:tcPr>
            <w:tcW w:w="1426" w:type="dxa"/>
            <w:tcBorders>
              <w:top w:val="nil"/>
              <w:left w:val="nil"/>
              <w:bottom w:val="single" w:sz="4" w:space="0" w:color="auto"/>
              <w:right w:val="nil"/>
            </w:tcBorders>
            <w:shd w:val="clear" w:color="auto" w:fill="auto"/>
            <w:noWrap/>
            <w:vAlign w:val="bottom"/>
            <w:hideMark/>
          </w:tcPr>
          <w:p w14:paraId="101CCA80" w14:textId="77777777" w:rsidR="00B22915" w:rsidRPr="004A6421" w:rsidRDefault="00B22915" w:rsidP="00B22915">
            <w:pPr>
              <w:jc w:val="center"/>
              <w:rPr>
                <w:color w:val="000000"/>
                <w:sz w:val="20"/>
                <w:szCs w:val="20"/>
              </w:rPr>
            </w:pPr>
            <w:r w:rsidRPr="004A6421">
              <w:rPr>
                <w:color w:val="000000"/>
                <w:sz w:val="20"/>
                <w:szCs w:val="20"/>
              </w:rPr>
              <w:t>Reclassified</w:t>
            </w:r>
          </w:p>
        </w:tc>
        <w:tc>
          <w:tcPr>
            <w:tcW w:w="1425" w:type="dxa"/>
            <w:gridSpan w:val="2"/>
            <w:tcBorders>
              <w:top w:val="nil"/>
              <w:left w:val="nil"/>
              <w:bottom w:val="single" w:sz="4" w:space="0" w:color="auto"/>
              <w:right w:val="nil"/>
            </w:tcBorders>
            <w:shd w:val="clear" w:color="auto" w:fill="auto"/>
            <w:noWrap/>
            <w:vAlign w:val="bottom"/>
            <w:hideMark/>
          </w:tcPr>
          <w:p w14:paraId="3B914241" w14:textId="77777777" w:rsidR="00B22915" w:rsidRPr="004A6421" w:rsidRDefault="00B22915" w:rsidP="00B22915">
            <w:pPr>
              <w:jc w:val="center"/>
              <w:rPr>
                <w:color w:val="000000"/>
                <w:sz w:val="20"/>
                <w:szCs w:val="20"/>
              </w:rPr>
            </w:pPr>
            <w:r w:rsidRPr="004A6421">
              <w:rPr>
                <w:color w:val="000000"/>
                <w:sz w:val="20"/>
                <w:szCs w:val="20"/>
              </w:rPr>
              <w:t xml:space="preserve">Gr 6+ </w:t>
            </w:r>
          </w:p>
        </w:tc>
        <w:tc>
          <w:tcPr>
            <w:tcW w:w="1426" w:type="dxa"/>
            <w:tcBorders>
              <w:top w:val="nil"/>
              <w:left w:val="nil"/>
              <w:bottom w:val="single" w:sz="4" w:space="0" w:color="auto"/>
              <w:right w:val="nil"/>
            </w:tcBorders>
            <w:shd w:val="clear" w:color="auto" w:fill="auto"/>
            <w:noWrap/>
            <w:vAlign w:val="bottom"/>
            <w:hideMark/>
          </w:tcPr>
          <w:p w14:paraId="4EA78277" w14:textId="77777777" w:rsidR="00B22915" w:rsidRPr="004A6421" w:rsidRDefault="00B22915" w:rsidP="00B22915">
            <w:pPr>
              <w:jc w:val="center"/>
              <w:rPr>
                <w:color w:val="000000"/>
                <w:sz w:val="20"/>
                <w:szCs w:val="20"/>
              </w:rPr>
            </w:pPr>
            <w:r w:rsidRPr="004A6421">
              <w:rPr>
                <w:color w:val="000000"/>
                <w:sz w:val="20"/>
                <w:szCs w:val="20"/>
              </w:rPr>
              <w:t xml:space="preserve">Gr 2-5 </w:t>
            </w:r>
          </w:p>
        </w:tc>
        <w:tc>
          <w:tcPr>
            <w:tcW w:w="1425" w:type="dxa"/>
            <w:tcBorders>
              <w:top w:val="nil"/>
              <w:left w:val="nil"/>
              <w:bottom w:val="single" w:sz="4" w:space="0" w:color="auto"/>
              <w:right w:val="nil"/>
            </w:tcBorders>
            <w:shd w:val="clear" w:color="auto" w:fill="auto"/>
            <w:noWrap/>
            <w:vAlign w:val="bottom"/>
            <w:hideMark/>
          </w:tcPr>
          <w:p w14:paraId="0B44FAAE" w14:textId="77777777" w:rsidR="00B22915" w:rsidRPr="004A6421" w:rsidRDefault="00B22915" w:rsidP="00B22915">
            <w:pPr>
              <w:jc w:val="center"/>
              <w:rPr>
                <w:color w:val="000000"/>
                <w:sz w:val="20"/>
                <w:szCs w:val="20"/>
              </w:rPr>
            </w:pPr>
            <w:r w:rsidRPr="004A6421">
              <w:rPr>
                <w:color w:val="000000"/>
                <w:sz w:val="20"/>
                <w:szCs w:val="20"/>
              </w:rPr>
              <w:t xml:space="preserve">K or Gr 1 </w:t>
            </w:r>
          </w:p>
        </w:tc>
        <w:tc>
          <w:tcPr>
            <w:tcW w:w="1426" w:type="dxa"/>
            <w:tcBorders>
              <w:top w:val="nil"/>
              <w:left w:val="nil"/>
              <w:bottom w:val="single" w:sz="4" w:space="0" w:color="auto"/>
              <w:right w:val="nil"/>
            </w:tcBorders>
            <w:shd w:val="clear" w:color="auto" w:fill="auto"/>
            <w:noWrap/>
            <w:vAlign w:val="bottom"/>
            <w:hideMark/>
          </w:tcPr>
          <w:p w14:paraId="7051AAD1" w14:textId="77777777" w:rsidR="00B22915" w:rsidRPr="004A6421" w:rsidRDefault="00B22915" w:rsidP="00B22915">
            <w:pPr>
              <w:jc w:val="center"/>
              <w:rPr>
                <w:color w:val="000000"/>
                <w:sz w:val="20"/>
                <w:szCs w:val="20"/>
              </w:rPr>
            </w:pPr>
            <w:r w:rsidRPr="004A6421">
              <w:rPr>
                <w:color w:val="000000"/>
                <w:sz w:val="20"/>
                <w:szCs w:val="20"/>
              </w:rPr>
              <w:t>Reclassified</w:t>
            </w:r>
          </w:p>
        </w:tc>
      </w:tr>
      <w:tr w:rsidR="00B22915" w:rsidRPr="004A6421" w14:paraId="3EF813B9" w14:textId="77777777" w:rsidTr="00B22915">
        <w:trPr>
          <w:trHeight w:val="300"/>
        </w:trPr>
        <w:tc>
          <w:tcPr>
            <w:tcW w:w="2160" w:type="dxa"/>
            <w:tcBorders>
              <w:top w:val="single" w:sz="4" w:space="0" w:color="auto"/>
              <w:left w:val="nil"/>
              <w:bottom w:val="nil"/>
              <w:right w:val="nil"/>
            </w:tcBorders>
            <w:shd w:val="clear" w:color="auto" w:fill="auto"/>
            <w:noWrap/>
            <w:vAlign w:val="bottom"/>
            <w:hideMark/>
          </w:tcPr>
          <w:p w14:paraId="5D7F789A" w14:textId="77777777" w:rsidR="00B22915" w:rsidRPr="004A6421" w:rsidRDefault="00B22915" w:rsidP="00B22915">
            <w:pPr>
              <w:rPr>
                <w:b/>
                <w:bCs/>
                <w:color w:val="000000"/>
                <w:sz w:val="20"/>
                <w:szCs w:val="20"/>
              </w:rPr>
            </w:pPr>
            <w:r w:rsidRPr="004A6421">
              <w:rPr>
                <w:b/>
                <w:bCs/>
                <w:color w:val="000000"/>
                <w:sz w:val="20"/>
                <w:szCs w:val="20"/>
              </w:rPr>
              <w:t>Post X Treated</w:t>
            </w:r>
          </w:p>
        </w:tc>
        <w:tc>
          <w:tcPr>
            <w:tcW w:w="1182" w:type="dxa"/>
            <w:tcBorders>
              <w:top w:val="single" w:sz="4" w:space="0" w:color="auto"/>
              <w:left w:val="nil"/>
              <w:bottom w:val="nil"/>
              <w:right w:val="nil"/>
            </w:tcBorders>
            <w:shd w:val="clear" w:color="auto" w:fill="auto"/>
            <w:noWrap/>
            <w:vAlign w:val="bottom"/>
            <w:hideMark/>
          </w:tcPr>
          <w:p w14:paraId="7E42881B" w14:textId="77777777" w:rsidR="00B22915" w:rsidRPr="004A6421" w:rsidRDefault="00B22915" w:rsidP="00B22915">
            <w:pPr>
              <w:jc w:val="center"/>
              <w:rPr>
                <w:b/>
                <w:bCs/>
                <w:color w:val="000000"/>
                <w:sz w:val="20"/>
                <w:szCs w:val="20"/>
              </w:rPr>
            </w:pPr>
            <w:r w:rsidRPr="004A6421">
              <w:rPr>
                <w:b/>
                <w:bCs/>
                <w:color w:val="000000"/>
                <w:sz w:val="20"/>
                <w:szCs w:val="20"/>
              </w:rPr>
              <w:t>-0.075*</w:t>
            </w:r>
          </w:p>
        </w:tc>
        <w:tc>
          <w:tcPr>
            <w:tcW w:w="1425" w:type="dxa"/>
            <w:tcBorders>
              <w:top w:val="single" w:sz="4" w:space="0" w:color="auto"/>
              <w:left w:val="nil"/>
              <w:bottom w:val="nil"/>
              <w:right w:val="nil"/>
            </w:tcBorders>
            <w:shd w:val="clear" w:color="auto" w:fill="auto"/>
            <w:noWrap/>
            <w:vAlign w:val="bottom"/>
            <w:hideMark/>
          </w:tcPr>
          <w:p w14:paraId="596C5DAE" w14:textId="77777777" w:rsidR="00B22915" w:rsidRPr="004A6421" w:rsidRDefault="00B22915" w:rsidP="00B22915">
            <w:pPr>
              <w:jc w:val="center"/>
              <w:rPr>
                <w:b/>
                <w:bCs/>
                <w:color w:val="000000"/>
                <w:sz w:val="20"/>
                <w:szCs w:val="20"/>
              </w:rPr>
            </w:pPr>
            <w:r w:rsidRPr="004A6421">
              <w:rPr>
                <w:b/>
                <w:bCs/>
                <w:color w:val="000000"/>
                <w:sz w:val="20"/>
                <w:szCs w:val="20"/>
              </w:rPr>
              <w:t>-0.004</w:t>
            </w:r>
          </w:p>
        </w:tc>
        <w:tc>
          <w:tcPr>
            <w:tcW w:w="1425" w:type="dxa"/>
            <w:tcBorders>
              <w:top w:val="single" w:sz="4" w:space="0" w:color="auto"/>
              <w:left w:val="nil"/>
              <w:bottom w:val="nil"/>
              <w:right w:val="nil"/>
            </w:tcBorders>
            <w:shd w:val="clear" w:color="auto" w:fill="auto"/>
            <w:noWrap/>
            <w:vAlign w:val="bottom"/>
            <w:hideMark/>
          </w:tcPr>
          <w:p w14:paraId="2D52CF61" w14:textId="77777777" w:rsidR="00B22915" w:rsidRPr="004A6421" w:rsidRDefault="00B22915" w:rsidP="00B22915">
            <w:pPr>
              <w:jc w:val="center"/>
              <w:rPr>
                <w:b/>
                <w:bCs/>
                <w:color w:val="000000"/>
                <w:sz w:val="20"/>
                <w:szCs w:val="20"/>
              </w:rPr>
            </w:pPr>
            <w:r w:rsidRPr="004A6421">
              <w:rPr>
                <w:b/>
                <w:bCs/>
                <w:color w:val="000000"/>
                <w:sz w:val="20"/>
                <w:szCs w:val="20"/>
              </w:rPr>
              <w:t>0.026</w:t>
            </w:r>
          </w:p>
        </w:tc>
        <w:tc>
          <w:tcPr>
            <w:tcW w:w="1426" w:type="dxa"/>
            <w:tcBorders>
              <w:top w:val="single" w:sz="4" w:space="0" w:color="auto"/>
              <w:left w:val="nil"/>
              <w:bottom w:val="nil"/>
              <w:right w:val="nil"/>
            </w:tcBorders>
            <w:shd w:val="clear" w:color="auto" w:fill="auto"/>
            <w:noWrap/>
            <w:vAlign w:val="bottom"/>
            <w:hideMark/>
          </w:tcPr>
          <w:p w14:paraId="5CEA76AE" w14:textId="77777777" w:rsidR="00B22915" w:rsidRPr="004A6421" w:rsidRDefault="00B22915" w:rsidP="00B22915">
            <w:pPr>
              <w:jc w:val="center"/>
              <w:rPr>
                <w:b/>
                <w:bCs/>
                <w:color w:val="000000"/>
                <w:sz w:val="20"/>
                <w:szCs w:val="20"/>
              </w:rPr>
            </w:pPr>
            <w:r w:rsidRPr="004A6421">
              <w:rPr>
                <w:b/>
                <w:bCs/>
                <w:color w:val="000000"/>
                <w:sz w:val="20"/>
                <w:szCs w:val="20"/>
              </w:rPr>
              <w:t>0.007</w:t>
            </w:r>
          </w:p>
        </w:tc>
        <w:tc>
          <w:tcPr>
            <w:tcW w:w="1425" w:type="dxa"/>
            <w:gridSpan w:val="2"/>
            <w:tcBorders>
              <w:top w:val="single" w:sz="4" w:space="0" w:color="auto"/>
              <w:left w:val="nil"/>
              <w:bottom w:val="nil"/>
              <w:right w:val="nil"/>
            </w:tcBorders>
            <w:shd w:val="clear" w:color="auto" w:fill="auto"/>
            <w:noWrap/>
            <w:vAlign w:val="bottom"/>
            <w:hideMark/>
          </w:tcPr>
          <w:p w14:paraId="29D7E520" w14:textId="77777777" w:rsidR="00B22915" w:rsidRPr="004A6421" w:rsidRDefault="00B22915" w:rsidP="00B22915">
            <w:pPr>
              <w:jc w:val="center"/>
              <w:rPr>
                <w:b/>
                <w:bCs/>
                <w:color w:val="000000"/>
                <w:sz w:val="20"/>
                <w:szCs w:val="20"/>
              </w:rPr>
            </w:pPr>
            <w:r w:rsidRPr="004A6421">
              <w:rPr>
                <w:b/>
                <w:bCs/>
                <w:color w:val="000000"/>
                <w:sz w:val="20"/>
                <w:szCs w:val="20"/>
              </w:rPr>
              <w:t>0.142**</w:t>
            </w:r>
          </w:p>
        </w:tc>
        <w:tc>
          <w:tcPr>
            <w:tcW w:w="1426" w:type="dxa"/>
            <w:tcBorders>
              <w:top w:val="single" w:sz="4" w:space="0" w:color="auto"/>
              <w:left w:val="nil"/>
              <w:bottom w:val="nil"/>
              <w:right w:val="nil"/>
            </w:tcBorders>
            <w:shd w:val="clear" w:color="auto" w:fill="auto"/>
            <w:noWrap/>
            <w:vAlign w:val="bottom"/>
            <w:hideMark/>
          </w:tcPr>
          <w:p w14:paraId="5A7DD663" w14:textId="77777777" w:rsidR="00B22915" w:rsidRPr="004A6421" w:rsidRDefault="00B22915" w:rsidP="00B22915">
            <w:pPr>
              <w:jc w:val="center"/>
              <w:rPr>
                <w:b/>
                <w:bCs/>
                <w:color w:val="000000"/>
                <w:sz w:val="20"/>
                <w:szCs w:val="20"/>
              </w:rPr>
            </w:pPr>
            <w:r w:rsidRPr="004A6421">
              <w:rPr>
                <w:b/>
                <w:bCs/>
                <w:color w:val="000000"/>
                <w:sz w:val="20"/>
                <w:szCs w:val="20"/>
              </w:rPr>
              <w:t>0.029</w:t>
            </w:r>
          </w:p>
        </w:tc>
        <w:tc>
          <w:tcPr>
            <w:tcW w:w="1425" w:type="dxa"/>
            <w:tcBorders>
              <w:top w:val="single" w:sz="4" w:space="0" w:color="auto"/>
              <w:left w:val="nil"/>
              <w:bottom w:val="nil"/>
              <w:right w:val="nil"/>
            </w:tcBorders>
            <w:shd w:val="clear" w:color="auto" w:fill="auto"/>
            <w:noWrap/>
            <w:vAlign w:val="bottom"/>
            <w:hideMark/>
          </w:tcPr>
          <w:p w14:paraId="28968509" w14:textId="77777777" w:rsidR="00B22915" w:rsidRPr="004A6421" w:rsidRDefault="00B22915" w:rsidP="00B22915">
            <w:pPr>
              <w:jc w:val="center"/>
              <w:rPr>
                <w:b/>
                <w:bCs/>
                <w:color w:val="000000"/>
                <w:sz w:val="20"/>
                <w:szCs w:val="20"/>
              </w:rPr>
            </w:pPr>
            <w:r w:rsidRPr="004A6421">
              <w:rPr>
                <w:b/>
                <w:bCs/>
                <w:color w:val="000000"/>
                <w:sz w:val="20"/>
                <w:szCs w:val="20"/>
              </w:rPr>
              <w:t>0.223**</w:t>
            </w:r>
          </w:p>
        </w:tc>
        <w:tc>
          <w:tcPr>
            <w:tcW w:w="1426" w:type="dxa"/>
            <w:tcBorders>
              <w:top w:val="single" w:sz="4" w:space="0" w:color="auto"/>
              <w:left w:val="nil"/>
              <w:bottom w:val="nil"/>
              <w:right w:val="nil"/>
            </w:tcBorders>
            <w:shd w:val="clear" w:color="auto" w:fill="auto"/>
            <w:noWrap/>
            <w:vAlign w:val="bottom"/>
            <w:hideMark/>
          </w:tcPr>
          <w:p w14:paraId="317A616B" w14:textId="77777777" w:rsidR="00B22915" w:rsidRPr="004A6421" w:rsidRDefault="00B22915" w:rsidP="00B22915">
            <w:pPr>
              <w:jc w:val="center"/>
              <w:rPr>
                <w:b/>
                <w:bCs/>
                <w:color w:val="000000"/>
                <w:sz w:val="20"/>
                <w:szCs w:val="20"/>
              </w:rPr>
            </w:pPr>
            <w:r w:rsidRPr="004A6421">
              <w:rPr>
                <w:b/>
                <w:bCs/>
                <w:color w:val="000000"/>
                <w:sz w:val="20"/>
                <w:szCs w:val="20"/>
              </w:rPr>
              <w:t>0.246***</w:t>
            </w:r>
          </w:p>
        </w:tc>
      </w:tr>
      <w:tr w:rsidR="00B22915" w:rsidRPr="004A6421" w14:paraId="26A254AC" w14:textId="77777777" w:rsidTr="00B22915">
        <w:trPr>
          <w:trHeight w:val="300"/>
        </w:trPr>
        <w:tc>
          <w:tcPr>
            <w:tcW w:w="2160" w:type="dxa"/>
            <w:tcBorders>
              <w:top w:val="nil"/>
              <w:left w:val="nil"/>
              <w:bottom w:val="nil"/>
              <w:right w:val="nil"/>
            </w:tcBorders>
            <w:shd w:val="clear" w:color="auto" w:fill="auto"/>
            <w:noWrap/>
            <w:vAlign w:val="bottom"/>
            <w:hideMark/>
          </w:tcPr>
          <w:p w14:paraId="4E196F7B" w14:textId="77777777" w:rsidR="00B22915" w:rsidRPr="004A6421" w:rsidRDefault="00B22915" w:rsidP="00B22915">
            <w:pPr>
              <w:jc w:val="center"/>
              <w:rPr>
                <w:b/>
                <w:bCs/>
                <w:color w:val="000000"/>
                <w:sz w:val="20"/>
                <w:szCs w:val="20"/>
              </w:rPr>
            </w:pPr>
          </w:p>
        </w:tc>
        <w:tc>
          <w:tcPr>
            <w:tcW w:w="1182" w:type="dxa"/>
            <w:tcBorders>
              <w:top w:val="nil"/>
              <w:left w:val="nil"/>
              <w:bottom w:val="nil"/>
              <w:right w:val="nil"/>
            </w:tcBorders>
            <w:shd w:val="clear" w:color="auto" w:fill="auto"/>
            <w:noWrap/>
            <w:vAlign w:val="bottom"/>
            <w:hideMark/>
          </w:tcPr>
          <w:p w14:paraId="40D6A244" w14:textId="77777777" w:rsidR="00B22915" w:rsidRPr="004A6421" w:rsidRDefault="00B22915" w:rsidP="00B22915">
            <w:pPr>
              <w:jc w:val="center"/>
              <w:rPr>
                <w:b/>
                <w:bCs/>
                <w:color w:val="000000"/>
                <w:sz w:val="20"/>
                <w:szCs w:val="20"/>
              </w:rPr>
            </w:pPr>
            <w:r w:rsidRPr="004A6421">
              <w:rPr>
                <w:b/>
                <w:bCs/>
                <w:color w:val="000000"/>
                <w:sz w:val="20"/>
                <w:szCs w:val="20"/>
              </w:rPr>
              <w:t>(0.044)</w:t>
            </w:r>
          </w:p>
        </w:tc>
        <w:tc>
          <w:tcPr>
            <w:tcW w:w="1425" w:type="dxa"/>
            <w:tcBorders>
              <w:top w:val="nil"/>
              <w:left w:val="nil"/>
              <w:bottom w:val="nil"/>
              <w:right w:val="nil"/>
            </w:tcBorders>
            <w:shd w:val="clear" w:color="auto" w:fill="auto"/>
            <w:noWrap/>
            <w:vAlign w:val="bottom"/>
            <w:hideMark/>
          </w:tcPr>
          <w:p w14:paraId="051BE9B7" w14:textId="77777777" w:rsidR="00B22915" w:rsidRPr="004A6421" w:rsidRDefault="00B22915" w:rsidP="00B22915">
            <w:pPr>
              <w:jc w:val="center"/>
              <w:rPr>
                <w:b/>
                <w:bCs/>
                <w:color w:val="000000"/>
                <w:sz w:val="20"/>
                <w:szCs w:val="20"/>
              </w:rPr>
            </w:pPr>
            <w:r w:rsidRPr="004A6421">
              <w:rPr>
                <w:b/>
                <w:bCs/>
                <w:color w:val="000000"/>
                <w:sz w:val="20"/>
                <w:szCs w:val="20"/>
              </w:rPr>
              <w:t>(0.106)</w:t>
            </w:r>
          </w:p>
        </w:tc>
        <w:tc>
          <w:tcPr>
            <w:tcW w:w="1425" w:type="dxa"/>
            <w:tcBorders>
              <w:top w:val="nil"/>
              <w:left w:val="nil"/>
              <w:bottom w:val="nil"/>
              <w:right w:val="nil"/>
            </w:tcBorders>
            <w:shd w:val="clear" w:color="auto" w:fill="auto"/>
            <w:noWrap/>
            <w:vAlign w:val="bottom"/>
            <w:hideMark/>
          </w:tcPr>
          <w:p w14:paraId="1AE1D13F" w14:textId="77777777" w:rsidR="00B22915" w:rsidRPr="004A6421" w:rsidRDefault="00B22915" w:rsidP="00B22915">
            <w:pPr>
              <w:jc w:val="center"/>
              <w:rPr>
                <w:b/>
                <w:bCs/>
                <w:color w:val="000000"/>
                <w:sz w:val="20"/>
                <w:szCs w:val="20"/>
              </w:rPr>
            </w:pPr>
            <w:r w:rsidRPr="004A6421">
              <w:rPr>
                <w:b/>
                <w:bCs/>
                <w:color w:val="000000"/>
                <w:sz w:val="20"/>
                <w:szCs w:val="20"/>
              </w:rPr>
              <w:t>(0.078)</w:t>
            </w:r>
          </w:p>
        </w:tc>
        <w:tc>
          <w:tcPr>
            <w:tcW w:w="1426" w:type="dxa"/>
            <w:tcBorders>
              <w:top w:val="nil"/>
              <w:left w:val="nil"/>
              <w:bottom w:val="nil"/>
              <w:right w:val="nil"/>
            </w:tcBorders>
            <w:shd w:val="clear" w:color="auto" w:fill="auto"/>
            <w:noWrap/>
            <w:vAlign w:val="bottom"/>
            <w:hideMark/>
          </w:tcPr>
          <w:p w14:paraId="64252777" w14:textId="77777777" w:rsidR="00B22915" w:rsidRPr="004A6421" w:rsidRDefault="00B22915" w:rsidP="00B22915">
            <w:pPr>
              <w:jc w:val="center"/>
              <w:rPr>
                <w:b/>
                <w:bCs/>
                <w:color w:val="000000"/>
                <w:sz w:val="20"/>
                <w:szCs w:val="20"/>
              </w:rPr>
            </w:pPr>
            <w:r w:rsidRPr="004A6421">
              <w:rPr>
                <w:b/>
                <w:bCs/>
                <w:color w:val="000000"/>
                <w:sz w:val="20"/>
                <w:szCs w:val="20"/>
              </w:rPr>
              <w:t>(0.038)</w:t>
            </w:r>
          </w:p>
        </w:tc>
        <w:tc>
          <w:tcPr>
            <w:tcW w:w="1425" w:type="dxa"/>
            <w:gridSpan w:val="2"/>
            <w:tcBorders>
              <w:top w:val="nil"/>
              <w:left w:val="nil"/>
              <w:bottom w:val="nil"/>
              <w:right w:val="nil"/>
            </w:tcBorders>
            <w:shd w:val="clear" w:color="auto" w:fill="auto"/>
            <w:noWrap/>
            <w:vAlign w:val="bottom"/>
            <w:hideMark/>
          </w:tcPr>
          <w:p w14:paraId="0067E84F" w14:textId="77777777" w:rsidR="00B22915" w:rsidRPr="004A6421" w:rsidRDefault="00B22915" w:rsidP="00B22915">
            <w:pPr>
              <w:jc w:val="center"/>
              <w:rPr>
                <w:b/>
                <w:bCs/>
                <w:color w:val="000000"/>
                <w:sz w:val="20"/>
                <w:szCs w:val="20"/>
              </w:rPr>
            </w:pPr>
            <w:r w:rsidRPr="004A6421">
              <w:rPr>
                <w:b/>
                <w:bCs/>
                <w:color w:val="000000"/>
                <w:sz w:val="20"/>
                <w:szCs w:val="20"/>
              </w:rPr>
              <w:t>(0.060)</w:t>
            </w:r>
          </w:p>
        </w:tc>
        <w:tc>
          <w:tcPr>
            <w:tcW w:w="1426" w:type="dxa"/>
            <w:tcBorders>
              <w:top w:val="nil"/>
              <w:left w:val="nil"/>
              <w:bottom w:val="nil"/>
              <w:right w:val="nil"/>
            </w:tcBorders>
            <w:shd w:val="clear" w:color="auto" w:fill="auto"/>
            <w:noWrap/>
            <w:vAlign w:val="bottom"/>
            <w:hideMark/>
          </w:tcPr>
          <w:p w14:paraId="2D47DDA4" w14:textId="77777777" w:rsidR="00B22915" w:rsidRPr="004A6421" w:rsidRDefault="00B22915" w:rsidP="00B22915">
            <w:pPr>
              <w:jc w:val="center"/>
              <w:rPr>
                <w:b/>
                <w:bCs/>
                <w:color w:val="000000"/>
                <w:sz w:val="20"/>
                <w:szCs w:val="20"/>
              </w:rPr>
            </w:pPr>
            <w:r w:rsidRPr="004A6421">
              <w:rPr>
                <w:b/>
                <w:bCs/>
                <w:color w:val="000000"/>
                <w:sz w:val="20"/>
                <w:szCs w:val="20"/>
              </w:rPr>
              <w:t>(0.105)</w:t>
            </w:r>
          </w:p>
        </w:tc>
        <w:tc>
          <w:tcPr>
            <w:tcW w:w="1425" w:type="dxa"/>
            <w:tcBorders>
              <w:top w:val="nil"/>
              <w:left w:val="nil"/>
              <w:bottom w:val="nil"/>
              <w:right w:val="nil"/>
            </w:tcBorders>
            <w:shd w:val="clear" w:color="auto" w:fill="auto"/>
            <w:noWrap/>
            <w:vAlign w:val="bottom"/>
            <w:hideMark/>
          </w:tcPr>
          <w:p w14:paraId="390EA63C" w14:textId="77777777" w:rsidR="00B22915" w:rsidRPr="004A6421" w:rsidRDefault="00B22915" w:rsidP="00B22915">
            <w:pPr>
              <w:jc w:val="center"/>
              <w:rPr>
                <w:b/>
                <w:bCs/>
                <w:color w:val="000000"/>
                <w:sz w:val="20"/>
                <w:szCs w:val="20"/>
              </w:rPr>
            </w:pPr>
            <w:r w:rsidRPr="004A6421">
              <w:rPr>
                <w:b/>
                <w:bCs/>
                <w:color w:val="000000"/>
                <w:sz w:val="20"/>
                <w:szCs w:val="20"/>
              </w:rPr>
              <w:t>(0.097)</w:t>
            </w:r>
          </w:p>
        </w:tc>
        <w:tc>
          <w:tcPr>
            <w:tcW w:w="1426" w:type="dxa"/>
            <w:tcBorders>
              <w:top w:val="nil"/>
              <w:left w:val="nil"/>
              <w:bottom w:val="nil"/>
              <w:right w:val="nil"/>
            </w:tcBorders>
            <w:shd w:val="clear" w:color="auto" w:fill="auto"/>
            <w:noWrap/>
            <w:vAlign w:val="bottom"/>
            <w:hideMark/>
          </w:tcPr>
          <w:p w14:paraId="020C22DE" w14:textId="77777777" w:rsidR="00B22915" w:rsidRPr="004A6421" w:rsidRDefault="00B22915" w:rsidP="00B22915">
            <w:pPr>
              <w:jc w:val="center"/>
              <w:rPr>
                <w:b/>
                <w:bCs/>
                <w:color w:val="000000"/>
                <w:sz w:val="20"/>
                <w:szCs w:val="20"/>
              </w:rPr>
            </w:pPr>
            <w:r w:rsidRPr="004A6421">
              <w:rPr>
                <w:b/>
                <w:bCs/>
                <w:color w:val="000000"/>
                <w:sz w:val="20"/>
                <w:szCs w:val="20"/>
              </w:rPr>
              <w:t>(0.040)</w:t>
            </w:r>
          </w:p>
        </w:tc>
      </w:tr>
      <w:tr w:rsidR="00B22915" w:rsidRPr="004A6421" w14:paraId="5F059779" w14:textId="77777777" w:rsidTr="00B22915">
        <w:trPr>
          <w:trHeight w:val="300"/>
        </w:trPr>
        <w:tc>
          <w:tcPr>
            <w:tcW w:w="2160" w:type="dxa"/>
            <w:tcBorders>
              <w:top w:val="nil"/>
              <w:left w:val="nil"/>
              <w:bottom w:val="nil"/>
              <w:right w:val="nil"/>
            </w:tcBorders>
            <w:shd w:val="clear" w:color="auto" w:fill="auto"/>
            <w:noWrap/>
            <w:vAlign w:val="bottom"/>
            <w:hideMark/>
          </w:tcPr>
          <w:p w14:paraId="3C9722E7" w14:textId="77777777" w:rsidR="00B22915" w:rsidRPr="004A6421" w:rsidRDefault="00B22915" w:rsidP="00B22915">
            <w:pPr>
              <w:rPr>
                <w:color w:val="000000"/>
                <w:sz w:val="20"/>
                <w:szCs w:val="20"/>
              </w:rPr>
            </w:pPr>
            <w:r w:rsidRPr="004A6421">
              <w:rPr>
                <w:color w:val="000000"/>
                <w:sz w:val="20"/>
                <w:szCs w:val="20"/>
              </w:rPr>
              <w:t>Post</w:t>
            </w:r>
          </w:p>
        </w:tc>
        <w:tc>
          <w:tcPr>
            <w:tcW w:w="1182" w:type="dxa"/>
            <w:tcBorders>
              <w:top w:val="nil"/>
              <w:left w:val="nil"/>
              <w:bottom w:val="nil"/>
              <w:right w:val="nil"/>
            </w:tcBorders>
            <w:shd w:val="clear" w:color="auto" w:fill="auto"/>
            <w:noWrap/>
            <w:vAlign w:val="bottom"/>
            <w:hideMark/>
          </w:tcPr>
          <w:p w14:paraId="0D22CF4A" w14:textId="77777777" w:rsidR="00B22915" w:rsidRPr="004A6421" w:rsidRDefault="00B22915" w:rsidP="00B22915">
            <w:pPr>
              <w:jc w:val="center"/>
              <w:rPr>
                <w:color w:val="000000"/>
                <w:sz w:val="20"/>
                <w:szCs w:val="20"/>
              </w:rPr>
            </w:pPr>
            <w:r w:rsidRPr="004A6421">
              <w:rPr>
                <w:color w:val="000000"/>
                <w:sz w:val="20"/>
                <w:szCs w:val="20"/>
              </w:rPr>
              <w:t>-0.100***</w:t>
            </w:r>
          </w:p>
        </w:tc>
        <w:tc>
          <w:tcPr>
            <w:tcW w:w="1425" w:type="dxa"/>
            <w:tcBorders>
              <w:top w:val="nil"/>
              <w:left w:val="nil"/>
              <w:bottom w:val="nil"/>
              <w:right w:val="nil"/>
            </w:tcBorders>
            <w:shd w:val="clear" w:color="auto" w:fill="auto"/>
            <w:noWrap/>
            <w:vAlign w:val="bottom"/>
            <w:hideMark/>
          </w:tcPr>
          <w:p w14:paraId="0B76F56B" w14:textId="77777777" w:rsidR="00B22915" w:rsidRPr="004A6421" w:rsidRDefault="00B22915" w:rsidP="00B22915">
            <w:pPr>
              <w:jc w:val="center"/>
              <w:rPr>
                <w:color w:val="000000"/>
                <w:sz w:val="20"/>
                <w:szCs w:val="20"/>
              </w:rPr>
            </w:pPr>
            <w:r w:rsidRPr="004A6421">
              <w:rPr>
                <w:color w:val="000000"/>
                <w:sz w:val="20"/>
                <w:szCs w:val="20"/>
              </w:rPr>
              <w:t>0.124***</w:t>
            </w:r>
          </w:p>
        </w:tc>
        <w:tc>
          <w:tcPr>
            <w:tcW w:w="1425" w:type="dxa"/>
            <w:tcBorders>
              <w:top w:val="nil"/>
              <w:left w:val="nil"/>
              <w:bottom w:val="nil"/>
              <w:right w:val="nil"/>
            </w:tcBorders>
            <w:shd w:val="clear" w:color="auto" w:fill="auto"/>
            <w:noWrap/>
            <w:vAlign w:val="bottom"/>
            <w:hideMark/>
          </w:tcPr>
          <w:p w14:paraId="6DB1D1CD" w14:textId="77777777" w:rsidR="00B22915" w:rsidRPr="004A6421" w:rsidRDefault="00B22915" w:rsidP="00B22915">
            <w:pPr>
              <w:jc w:val="center"/>
              <w:rPr>
                <w:color w:val="000000"/>
                <w:sz w:val="20"/>
                <w:szCs w:val="20"/>
              </w:rPr>
            </w:pPr>
            <w:r w:rsidRPr="004A6421">
              <w:rPr>
                <w:color w:val="000000"/>
                <w:sz w:val="20"/>
                <w:szCs w:val="20"/>
              </w:rPr>
              <w:t>-0.018</w:t>
            </w:r>
          </w:p>
        </w:tc>
        <w:tc>
          <w:tcPr>
            <w:tcW w:w="1426" w:type="dxa"/>
            <w:tcBorders>
              <w:top w:val="nil"/>
              <w:left w:val="nil"/>
              <w:bottom w:val="nil"/>
              <w:right w:val="nil"/>
            </w:tcBorders>
            <w:shd w:val="clear" w:color="auto" w:fill="auto"/>
            <w:noWrap/>
            <w:vAlign w:val="bottom"/>
            <w:hideMark/>
          </w:tcPr>
          <w:p w14:paraId="59CA8DB2" w14:textId="77777777" w:rsidR="00B22915" w:rsidRPr="004A6421" w:rsidRDefault="00B22915" w:rsidP="00B22915">
            <w:pPr>
              <w:jc w:val="center"/>
              <w:rPr>
                <w:color w:val="000000"/>
                <w:sz w:val="20"/>
                <w:szCs w:val="20"/>
              </w:rPr>
            </w:pPr>
            <w:r w:rsidRPr="004A6421">
              <w:rPr>
                <w:color w:val="000000"/>
                <w:sz w:val="20"/>
                <w:szCs w:val="20"/>
              </w:rPr>
              <w:t>-0.001</w:t>
            </w:r>
          </w:p>
        </w:tc>
        <w:tc>
          <w:tcPr>
            <w:tcW w:w="1425" w:type="dxa"/>
            <w:gridSpan w:val="2"/>
            <w:tcBorders>
              <w:top w:val="nil"/>
              <w:left w:val="nil"/>
              <w:bottom w:val="nil"/>
              <w:right w:val="nil"/>
            </w:tcBorders>
            <w:shd w:val="clear" w:color="auto" w:fill="auto"/>
            <w:noWrap/>
            <w:vAlign w:val="bottom"/>
            <w:hideMark/>
          </w:tcPr>
          <w:p w14:paraId="4AAAD8FA" w14:textId="77777777" w:rsidR="00B22915" w:rsidRPr="004A6421" w:rsidRDefault="00B22915" w:rsidP="00B22915">
            <w:pPr>
              <w:jc w:val="center"/>
              <w:rPr>
                <w:color w:val="000000"/>
                <w:sz w:val="20"/>
                <w:szCs w:val="20"/>
              </w:rPr>
            </w:pPr>
            <w:r w:rsidRPr="004A6421">
              <w:rPr>
                <w:color w:val="000000"/>
                <w:sz w:val="20"/>
                <w:szCs w:val="20"/>
              </w:rPr>
              <w:t>-0.139***</w:t>
            </w:r>
          </w:p>
        </w:tc>
        <w:tc>
          <w:tcPr>
            <w:tcW w:w="1426" w:type="dxa"/>
            <w:tcBorders>
              <w:top w:val="nil"/>
              <w:left w:val="nil"/>
              <w:bottom w:val="nil"/>
              <w:right w:val="nil"/>
            </w:tcBorders>
            <w:shd w:val="clear" w:color="auto" w:fill="auto"/>
            <w:noWrap/>
            <w:vAlign w:val="bottom"/>
            <w:hideMark/>
          </w:tcPr>
          <w:p w14:paraId="1752DD91" w14:textId="77777777" w:rsidR="00B22915" w:rsidRPr="004A6421" w:rsidRDefault="00B22915" w:rsidP="00B22915">
            <w:pPr>
              <w:jc w:val="center"/>
              <w:rPr>
                <w:color w:val="000000"/>
                <w:sz w:val="20"/>
                <w:szCs w:val="20"/>
              </w:rPr>
            </w:pPr>
            <w:r w:rsidRPr="004A6421">
              <w:rPr>
                <w:color w:val="000000"/>
                <w:sz w:val="20"/>
                <w:szCs w:val="20"/>
              </w:rPr>
              <w:t>0.119***</w:t>
            </w:r>
          </w:p>
        </w:tc>
        <w:tc>
          <w:tcPr>
            <w:tcW w:w="1425" w:type="dxa"/>
            <w:tcBorders>
              <w:top w:val="nil"/>
              <w:left w:val="nil"/>
              <w:bottom w:val="nil"/>
              <w:right w:val="nil"/>
            </w:tcBorders>
            <w:shd w:val="clear" w:color="auto" w:fill="auto"/>
            <w:noWrap/>
            <w:vAlign w:val="bottom"/>
            <w:hideMark/>
          </w:tcPr>
          <w:p w14:paraId="610AC8FC" w14:textId="77777777" w:rsidR="00B22915" w:rsidRPr="004A6421" w:rsidRDefault="00B22915" w:rsidP="00B22915">
            <w:pPr>
              <w:jc w:val="center"/>
              <w:rPr>
                <w:color w:val="000000"/>
                <w:sz w:val="20"/>
                <w:szCs w:val="20"/>
              </w:rPr>
            </w:pPr>
            <w:r w:rsidRPr="004A6421">
              <w:rPr>
                <w:color w:val="000000"/>
                <w:sz w:val="20"/>
                <w:szCs w:val="20"/>
              </w:rPr>
              <w:t>0.030</w:t>
            </w:r>
          </w:p>
        </w:tc>
        <w:tc>
          <w:tcPr>
            <w:tcW w:w="1426" w:type="dxa"/>
            <w:tcBorders>
              <w:top w:val="nil"/>
              <w:left w:val="nil"/>
              <w:bottom w:val="nil"/>
              <w:right w:val="nil"/>
            </w:tcBorders>
            <w:shd w:val="clear" w:color="auto" w:fill="auto"/>
            <w:noWrap/>
            <w:vAlign w:val="bottom"/>
            <w:hideMark/>
          </w:tcPr>
          <w:p w14:paraId="75CD460F" w14:textId="77777777" w:rsidR="00B22915" w:rsidRPr="004A6421" w:rsidRDefault="00B22915" w:rsidP="00B22915">
            <w:pPr>
              <w:jc w:val="center"/>
              <w:rPr>
                <w:color w:val="000000"/>
                <w:sz w:val="20"/>
                <w:szCs w:val="20"/>
              </w:rPr>
            </w:pPr>
            <w:r w:rsidRPr="004A6421">
              <w:rPr>
                <w:color w:val="000000"/>
                <w:sz w:val="20"/>
                <w:szCs w:val="20"/>
              </w:rPr>
              <w:t>0.036***</w:t>
            </w:r>
          </w:p>
        </w:tc>
      </w:tr>
      <w:tr w:rsidR="00B22915" w:rsidRPr="004A6421" w14:paraId="17A605FE" w14:textId="77777777" w:rsidTr="00B22915">
        <w:trPr>
          <w:trHeight w:val="300"/>
        </w:trPr>
        <w:tc>
          <w:tcPr>
            <w:tcW w:w="2160" w:type="dxa"/>
            <w:tcBorders>
              <w:top w:val="nil"/>
              <w:left w:val="nil"/>
              <w:bottom w:val="nil"/>
              <w:right w:val="nil"/>
            </w:tcBorders>
            <w:shd w:val="clear" w:color="auto" w:fill="auto"/>
            <w:noWrap/>
            <w:vAlign w:val="bottom"/>
            <w:hideMark/>
          </w:tcPr>
          <w:p w14:paraId="7490D7B1" w14:textId="77777777" w:rsidR="00B22915" w:rsidRPr="004A6421" w:rsidRDefault="00B22915" w:rsidP="00B22915">
            <w:pPr>
              <w:jc w:val="center"/>
              <w:rPr>
                <w:color w:val="000000"/>
                <w:sz w:val="20"/>
                <w:szCs w:val="20"/>
              </w:rPr>
            </w:pPr>
          </w:p>
        </w:tc>
        <w:tc>
          <w:tcPr>
            <w:tcW w:w="1182" w:type="dxa"/>
            <w:tcBorders>
              <w:top w:val="nil"/>
              <w:left w:val="nil"/>
              <w:bottom w:val="nil"/>
              <w:right w:val="nil"/>
            </w:tcBorders>
            <w:shd w:val="clear" w:color="auto" w:fill="auto"/>
            <w:noWrap/>
            <w:vAlign w:val="bottom"/>
            <w:hideMark/>
          </w:tcPr>
          <w:p w14:paraId="73AFA03A" w14:textId="77777777" w:rsidR="00B22915" w:rsidRPr="004A6421" w:rsidRDefault="00B22915" w:rsidP="00B22915">
            <w:pPr>
              <w:jc w:val="center"/>
              <w:rPr>
                <w:color w:val="000000"/>
                <w:sz w:val="20"/>
                <w:szCs w:val="20"/>
              </w:rPr>
            </w:pPr>
            <w:r w:rsidRPr="004A6421">
              <w:rPr>
                <w:color w:val="000000"/>
                <w:sz w:val="20"/>
                <w:szCs w:val="20"/>
              </w:rPr>
              <w:t>(0.027)</w:t>
            </w:r>
          </w:p>
        </w:tc>
        <w:tc>
          <w:tcPr>
            <w:tcW w:w="1425" w:type="dxa"/>
            <w:tcBorders>
              <w:top w:val="nil"/>
              <w:left w:val="nil"/>
              <w:bottom w:val="nil"/>
              <w:right w:val="nil"/>
            </w:tcBorders>
            <w:shd w:val="clear" w:color="auto" w:fill="auto"/>
            <w:noWrap/>
            <w:vAlign w:val="bottom"/>
            <w:hideMark/>
          </w:tcPr>
          <w:p w14:paraId="33A2C5E2" w14:textId="77777777" w:rsidR="00B22915" w:rsidRPr="004A6421" w:rsidRDefault="00B22915" w:rsidP="00B22915">
            <w:pPr>
              <w:jc w:val="center"/>
              <w:rPr>
                <w:color w:val="000000"/>
                <w:sz w:val="20"/>
                <w:szCs w:val="20"/>
              </w:rPr>
            </w:pPr>
            <w:r w:rsidRPr="004A6421">
              <w:rPr>
                <w:color w:val="000000"/>
                <w:sz w:val="20"/>
                <w:szCs w:val="20"/>
              </w:rPr>
              <w:t>(0.036)</w:t>
            </w:r>
          </w:p>
        </w:tc>
        <w:tc>
          <w:tcPr>
            <w:tcW w:w="1425" w:type="dxa"/>
            <w:tcBorders>
              <w:top w:val="nil"/>
              <w:left w:val="nil"/>
              <w:bottom w:val="nil"/>
              <w:right w:val="nil"/>
            </w:tcBorders>
            <w:shd w:val="clear" w:color="auto" w:fill="auto"/>
            <w:noWrap/>
            <w:vAlign w:val="bottom"/>
            <w:hideMark/>
          </w:tcPr>
          <w:p w14:paraId="068E4FD6" w14:textId="77777777" w:rsidR="00B22915" w:rsidRPr="004A6421" w:rsidRDefault="00B22915" w:rsidP="00B22915">
            <w:pPr>
              <w:jc w:val="center"/>
              <w:rPr>
                <w:color w:val="000000"/>
                <w:sz w:val="20"/>
                <w:szCs w:val="20"/>
              </w:rPr>
            </w:pPr>
            <w:r w:rsidRPr="004A6421">
              <w:rPr>
                <w:color w:val="000000"/>
                <w:sz w:val="20"/>
                <w:szCs w:val="20"/>
              </w:rPr>
              <w:t>(0.021)</w:t>
            </w:r>
          </w:p>
        </w:tc>
        <w:tc>
          <w:tcPr>
            <w:tcW w:w="1426" w:type="dxa"/>
            <w:tcBorders>
              <w:top w:val="nil"/>
              <w:left w:val="nil"/>
              <w:bottom w:val="nil"/>
              <w:right w:val="nil"/>
            </w:tcBorders>
            <w:shd w:val="clear" w:color="auto" w:fill="auto"/>
            <w:noWrap/>
            <w:vAlign w:val="bottom"/>
            <w:hideMark/>
          </w:tcPr>
          <w:p w14:paraId="1C998B54" w14:textId="77777777" w:rsidR="00B22915" w:rsidRPr="004A6421" w:rsidRDefault="00B22915" w:rsidP="00B22915">
            <w:pPr>
              <w:jc w:val="center"/>
              <w:rPr>
                <w:color w:val="000000"/>
                <w:sz w:val="20"/>
                <w:szCs w:val="20"/>
              </w:rPr>
            </w:pPr>
            <w:r w:rsidRPr="004A6421">
              <w:rPr>
                <w:color w:val="000000"/>
                <w:sz w:val="20"/>
                <w:szCs w:val="20"/>
              </w:rPr>
              <w:t>(0.009)</w:t>
            </w:r>
          </w:p>
        </w:tc>
        <w:tc>
          <w:tcPr>
            <w:tcW w:w="1425" w:type="dxa"/>
            <w:gridSpan w:val="2"/>
            <w:tcBorders>
              <w:top w:val="nil"/>
              <w:left w:val="nil"/>
              <w:bottom w:val="nil"/>
              <w:right w:val="nil"/>
            </w:tcBorders>
            <w:shd w:val="clear" w:color="auto" w:fill="auto"/>
            <w:noWrap/>
            <w:vAlign w:val="bottom"/>
            <w:hideMark/>
          </w:tcPr>
          <w:p w14:paraId="4982CD0A" w14:textId="77777777" w:rsidR="00B22915" w:rsidRPr="004A6421" w:rsidRDefault="00B22915" w:rsidP="00B22915">
            <w:pPr>
              <w:jc w:val="center"/>
              <w:rPr>
                <w:color w:val="000000"/>
                <w:sz w:val="20"/>
                <w:szCs w:val="20"/>
              </w:rPr>
            </w:pPr>
            <w:r w:rsidRPr="004A6421">
              <w:rPr>
                <w:color w:val="000000"/>
                <w:sz w:val="20"/>
                <w:szCs w:val="20"/>
              </w:rPr>
              <w:t>(0.032)</w:t>
            </w:r>
          </w:p>
        </w:tc>
        <w:tc>
          <w:tcPr>
            <w:tcW w:w="1426" w:type="dxa"/>
            <w:tcBorders>
              <w:top w:val="nil"/>
              <w:left w:val="nil"/>
              <w:bottom w:val="nil"/>
              <w:right w:val="nil"/>
            </w:tcBorders>
            <w:shd w:val="clear" w:color="auto" w:fill="auto"/>
            <w:noWrap/>
            <w:vAlign w:val="bottom"/>
            <w:hideMark/>
          </w:tcPr>
          <w:p w14:paraId="3A00C2F6" w14:textId="77777777" w:rsidR="00B22915" w:rsidRPr="004A6421" w:rsidRDefault="00B22915" w:rsidP="00B22915">
            <w:pPr>
              <w:jc w:val="center"/>
              <w:rPr>
                <w:color w:val="000000"/>
                <w:sz w:val="20"/>
                <w:szCs w:val="20"/>
              </w:rPr>
            </w:pPr>
            <w:r w:rsidRPr="004A6421">
              <w:rPr>
                <w:color w:val="000000"/>
                <w:sz w:val="20"/>
                <w:szCs w:val="20"/>
              </w:rPr>
              <w:t>(0.030)</w:t>
            </w:r>
          </w:p>
        </w:tc>
        <w:tc>
          <w:tcPr>
            <w:tcW w:w="1425" w:type="dxa"/>
            <w:tcBorders>
              <w:top w:val="nil"/>
              <w:left w:val="nil"/>
              <w:bottom w:val="nil"/>
              <w:right w:val="nil"/>
            </w:tcBorders>
            <w:shd w:val="clear" w:color="auto" w:fill="auto"/>
            <w:noWrap/>
            <w:vAlign w:val="bottom"/>
            <w:hideMark/>
          </w:tcPr>
          <w:p w14:paraId="4A443866" w14:textId="77777777" w:rsidR="00B22915" w:rsidRPr="004A6421" w:rsidRDefault="00B22915" w:rsidP="00B22915">
            <w:pPr>
              <w:jc w:val="center"/>
              <w:rPr>
                <w:color w:val="000000"/>
                <w:sz w:val="20"/>
                <w:szCs w:val="20"/>
              </w:rPr>
            </w:pPr>
            <w:r w:rsidRPr="004A6421">
              <w:rPr>
                <w:color w:val="000000"/>
                <w:sz w:val="20"/>
                <w:szCs w:val="20"/>
              </w:rPr>
              <w:t>(0.030)</w:t>
            </w:r>
          </w:p>
        </w:tc>
        <w:tc>
          <w:tcPr>
            <w:tcW w:w="1426" w:type="dxa"/>
            <w:tcBorders>
              <w:top w:val="nil"/>
              <w:left w:val="nil"/>
              <w:bottom w:val="nil"/>
              <w:right w:val="nil"/>
            </w:tcBorders>
            <w:shd w:val="clear" w:color="auto" w:fill="auto"/>
            <w:noWrap/>
            <w:vAlign w:val="bottom"/>
            <w:hideMark/>
          </w:tcPr>
          <w:p w14:paraId="36348383" w14:textId="77777777" w:rsidR="00B22915" w:rsidRPr="004A6421" w:rsidRDefault="00B22915" w:rsidP="00B22915">
            <w:pPr>
              <w:jc w:val="center"/>
              <w:rPr>
                <w:color w:val="000000"/>
                <w:sz w:val="20"/>
                <w:szCs w:val="20"/>
              </w:rPr>
            </w:pPr>
            <w:r w:rsidRPr="004A6421">
              <w:rPr>
                <w:color w:val="000000"/>
                <w:sz w:val="20"/>
                <w:szCs w:val="20"/>
              </w:rPr>
              <w:t>(0.005)</w:t>
            </w:r>
          </w:p>
        </w:tc>
      </w:tr>
      <w:tr w:rsidR="00B22915" w:rsidRPr="004A6421" w14:paraId="5B438CEF" w14:textId="77777777" w:rsidTr="00B22915">
        <w:trPr>
          <w:trHeight w:val="300"/>
        </w:trPr>
        <w:tc>
          <w:tcPr>
            <w:tcW w:w="2160" w:type="dxa"/>
            <w:tcBorders>
              <w:top w:val="nil"/>
              <w:left w:val="nil"/>
              <w:bottom w:val="nil"/>
              <w:right w:val="nil"/>
            </w:tcBorders>
            <w:shd w:val="clear" w:color="auto" w:fill="auto"/>
            <w:noWrap/>
            <w:vAlign w:val="bottom"/>
            <w:hideMark/>
          </w:tcPr>
          <w:p w14:paraId="5740AD1A" w14:textId="77777777" w:rsidR="00B22915" w:rsidRPr="004A6421" w:rsidRDefault="00B22915" w:rsidP="00B22915">
            <w:pPr>
              <w:rPr>
                <w:color w:val="000000"/>
                <w:sz w:val="20"/>
                <w:szCs w:val="20"/>
              </w:rPr>
            </w:pPr>
            <w:r w:rsidRPr="004A6421">
              <w:rPr>
                <w:color w:val="000000"/>
                <w:sz w:val="20"/>
                <w:szCs w:val="20"/>
              </w:rPr>
              <w:t>Treated</w:t>
            </w:r>
          </w:p>
        </w:tc>
        <w:tc>
          <w:tcPr>
            <w:tcW w:w="1182" w:type="dxa"/>
            <w:tcBorders>
              <w:top w:val="nil"/>
              <w:left w:val="nil"/>
              <w:bottom w:val="nil"/>
              <w:right w:val="nil"/>
            </w:tcBorders>
            <w:shd w:val="clear" w:color="auto" w:fill="auto"/>
            <w:noWrap/>
            <w:vAlign w:val="bottom"/>
            <w:hideMark/>
          </w:tcPr>
          <w:p w14:paraId="673D9164" w14:textId="77777777" w:rsidR="00B22915" w:rsidRPr="004A6421" w:rsidRDefault="00B22915" w:rsidP="00B22915">
            <w:pPr>
              <w:jc w:val="center"/>
              <w:rPr>
                <w:color w:val="000000"/>
                <w:sz w:val="20"/>
                <w:szCs w:val="20"/>
              </w:rPr>
            </w:pPr>
            <w:r w:rsidRPr="004A6421">
              <w:rPr>
                <w:color w:val="000000"/>
                <w:sz w:val="20"/>
                <w:szCs w:val="20"/>
              </w:rPr>
              <w:t>-0.096**</w:t>
            </w:r>
          </w:p>
        </w:tc>
        <w:tc>
          <w:tcPr>
            <w:tcW w:w="1425" w:type="dxa"/>
            <w:tcBorders>
              <w:top w:val="nil"/>
              <w:left w:val="nil"/>
              <w:bottom w:val="nil"/>
              <w:right w:val="nil"/>
            </w:tcBorders>
            <w:shd w:val="clear" w:color="auto" w:fill="auto"/>
            <w:noWrap/>
            <w:vAlign w:val="bottom"/>
            <w:hideMark/>
          </w:tcPr>
          <w:p w14:paraId="3FFF8617" w14:textId="77777777" w:rsidR="00B22915" w:rsidRPr="004A6421" w:rsidRDefault="00B22915" w:rsidP="00B22915">
            <w:pPr>
              <w:jc w:val="center"/>
              <w:rPr>
                <w:color w:val="000000"/>
                <w:sz w:val="20"/>
                <w:szCs w:val="20"/>
              </w:rPr>
            </w:pPr>
            <w:r w:rsidRPr="004A6421">
              <w:rPr>
                <w:color w:val="000000"/>
                <w:sz w:val="20"/>
                <w:szCs w:val="20"/>
              </w:rPr>
              <w:t>0.011</w:t>
            </w:r>
          </w:p>
        </w:tc>
        <w:tc>
          <w:tcPr>
            <w:tcW w:w="1425" w:type="dxa"/>
            <w:tcBorders>
              <w:top w:val="nil"/>
              <w:left w:val="nil"/>
              <w:bottom w:val="nil"/>
              <w:right w:val="nil"/>
            </w:tcBorders>
            <w:shd w:val="clear" w:color="auto" w:fill="auto"/>
            <w:noWrap/>
            <w:vAlign w:val="bottom"/>
            <w:hideMark/>
          </w:tcPr>
          <w:p w14:paraId="48C7F540" w14:textId="77777777" w:rsidR="00B22915" w:rsidRPr="004A6421" w:rsidRDefault="00B22915" w:rsidP="00B22915">
            <w:pPr>
              <w:jc w:val="center"/>
              <w:rPr>
                <w:color w:val="000000"/>
                <w:sz w:val="20"/>
                <w:szCs w:val="20"/>
              </w:rPr>
            </w:pPr>
            <w:r w:rsidRPr="004A6421">
              <w:rPr>
                <w:color w:val="000000"/>
                <w:sz w:val="20"/>
                <w:szCs w:val="20"/>
              </w:rPr>
              <w:t>-0.034</w:t>
            </w:r>
          </w:p>
        </w:tc>
        <w:tc>
          <w:tcPr>
            <w:tcW w:w="1426" w:type="dxa"/>
            <w:tcBorders>
              <w:top w:val="nil"/>
              <w:left w:val="nil"/>
              <w:bottom w:val="nil"/>
              <w:right w:val="nil"/>
            </w:tcBorders>
            <w:shd w:val="clear" w:color="auto" w:fill="auto"/>
            <w:noWrap/>
            <w:vAlign w:val="bottom"/>
            <w:hideMark/>
          </w:tcPr>
          <w:p w14:paraId="3A186A5F" w14:textId="77777777" w:rsidR="00B22915" w:rsidRPr="004A6421" w:rsidRDefault="00B22915" w:rsidP="00B22915">
            <w:pPr>
              <w:jc w:val="center"/>
              <w:rPr>
                <w:color w:val="000000"/>
                <w:sz w:val="20"/>
                <w:szCs w:val="20"/>
              </w:rPr>
            </w:pPr>
            <w:r w:rsidRPr="004A6421">
              <w:rPr>
                <w:color w:val="000000"/>
                <w:sz w:val="20"/>
                <w:szCs w:val="20"/>
              </w:rPr>
              <w:t>-0.037</w:t>
            </w:r>
          </w:p>
        </w:tc>
        <w:tc>
          <w:tcPr>
            <w:tcW w:w="1425" w:type="dxa"/>
            <w:gridSpan w:val="2"/>
            <w:tcBorders>
              <w:top w:val="nil"/>
              <w:left w:val="nil"/>
              <w:bottom w:val="nil"/>
              <w:right w:val="nil"/>
            </w:tcBorders>
            <w:shd w:val="clear" w:color="auto" w:fill="auto"/>
            <w:noWrap/>
            <w:vAlign w:val="bottom"/>
            <w:hideMark/>
          </w:tcPr>
          <w:p w14:paraId="55B59B59" w14:textId="77777777" w:rsidR="00B22915" w:rsidRPr="004A6421" w:rsidRDefault="00B22915" w:rsidP="00B22915">
            <w:pPr>
              <w:jc w:val="center"/>
              <w:rPr>
                <w:color w:val="000000"/>
                <w:sz w:val="20"/>
                <w:szCs w:val="20"/>
              </w:rPr>
            </w:pPr>
            <w:r w:rsidRPr="004A6421">
              <w:rPr>
                <w:color w:val="000000"/>
                <w:sz w:val="20"/>
                <w:szCs w:val="20"/>
              </w:rPr>
              <w:t>-0.072</w:t>
            </w:r>
          </w:p>
        </w:tc>
        <w:tc>
          <w:tcPr>
            <w:tcW w:w="1426" w:type="dxa"/>
            <w:tcBorders>
              <w:top w:val="nil"/>
              <w:left w:val="nil"/>
              <w:bottom w:val="nil"/>
              <w:right w:val="nil"/>
            </w:tcBorders>
            <w:shd w:val="clear" w:color="auto" w:fill="auto"/>
            <w:noWrap/>
            <w:vAlign w:val="bottom"/>
            <w:hideMark/>
          </w:tcPr>
          <w:p w14:paraId="33158132" w14:textId="77777777" w:rsidR="00B22915" w:rsidRPr="004A6421" w:rsidRDefault="00B22915" w:rsidP="00B22915">
            <w:pPr>
              <w:jc w:val="center"/>
              <w:rPr>
                <w:color w:val="000000"/>
                <w:sz w:val="20"/>
                <w:szCs w:val="20"/>
              </w:rPr>
            </w:pPr>
            <w:r w:rsidRPr="004A6421">
              <w:rPr>
                <w:color w:val="000000"/>
                <w:sz w:val="20"/>
                <w:szCs w:val="20"/>
              </w:rPr>
              <w:t>-0.061</w:t>
            </w:r>
          </w:p>
        </w:tc>
        <w:tc>
          <w:tcPr>
            <w:tcW w:w="1425" w:type="dxa"/>
            <w:tcBorders>
              <w:top w:val="nil"/>
              <w:left w:val="nil"/>
              <w:bottom w:val="nil"/>
              <w:right w:val="nil"/>
            </w:tcBorders>
            <w:shd w:val="clear" w:color="auto" w:fill="auto"/>
            <w:noWrap/>
            <w:vAlign w:val="bottom"/>
            <w:hideMark/>
          </w:tcPr>
          <w:p w14:paraId="5B0A292A" w14:textId="77777777" w:rsidR="00B22915" w:rsidRPr="004A6421" w:rsidRDefault="00B22915" w:rsidP="00B22915">
            <w:pPr>
              <w:jc w:val="center"/>
              <w:rPr>
                <w:color w:val="000000"/>
                <w:sz w:val="20"/>
                <w:szCs w:val="20"/>
              </w:rPr>
            </w:pPr>
            <w:r w:rsidRPr="004A6421">
              <w:rPr>
                <w:color w:val="000000"/>
                <w:sz w:val="20"/>
                <w:szCs w:val="20"/>
              </w:rPr>
              <w:t>-0.200***</w:t>
            </w:r>
          </w:p>
        </w:tc>
        <w:tc>
          <w:tcPr>
            <w:tcW w:w="1426" w:type="dxa"/>
            <w:tcBorders>
              <w:top w:val="nil"/>
              <w:left w:val="nil"/>
              <w:bottom w:val="nil"/>
              <w:right w:val="nil"/>
            </w:tcBorders>
            <w:shd w:val="clear" w:color="auto" w:fill="auto"/>
            <w:noWrap/>
            <w:vAlign w:val="bottom"/>
            <w:hideMark/>
          </w:tcPr>
          <w:p w14:paraId="2FDA0D78" w14:textId="77777777" w:rsidR="00B22915" w:rsidRPr="004A6421" w:rsidRDefault="00B22915" w:rsidP="00B22915">
            <w:pPr>
              <w:jc w:val="center"/>
              <w:rPr>
                <w:color w:val="000000"/>
                <w:sz w:val="20"/>
                <w:szCs w:val="20"/>
              </w:rPr>
            </w:pPr>
            <w:r w:rsidRPr="004A6421">
              <w:rPr>
                <w:color w:val="000000"/>
                <w:sz w:val="20"/>
                <w:szCs w:val="20"/>
              </w:rPr>
              <w:t>-0.105***</w:t>
            </w:r>
          </w:p>
        </w:tc>
      </w:tr>
      <w:tr w:rsidR="00B22915" w:rsidRPr="004A6421" w14:paraId="46711F3E" w14:textId="77777777" w:rsidTr="00B22915">
        <w:trPr>
          <w:trHeight w:val="300"/>
        </w:trPr>
        <w:tc>
          <w:tcPr>
            <w:tcW w:w="2160" w:type="dxa"/>
            <w:tcBorders>
              <w:top w:val="nil"/>
              <w:left w:val="nil"/>
              <w:bottom w:val="nil"/>
              <w:right w:val="nil"/>
            </w:tcBorders>
            <w:shd w:val="clear" w:color="auto" w:fill="auto"/>
            <w:noWrap/>
            <w:vAlign w:val="bottom"/>
            <w:hideMark/>
          </w:tcPr>
          <w:p w14:paraId="49828C95" w14:textId="77777777" w:rsidR="00B22915" w:rsidRPr="004A6421" w:rsidRDefault="00B22915" w:rsidP="00B22915">
            <w:pPr>
              <w:jc w:val="center"/>
              <w:rPr>
                <w:color w:val="000000"/>
                <w:sz w:val="20"/>
                <w:szCs w:val="20"/>
              </w:rPr>
            </w:pPr>
          </w:p>
        </w:tc>
        <w:tc>
          <w:tcPr>
            <w:tcW w:w="1182" w:type="dxa"/>
            <w:tcBorders>
              <w:top w:val="nil"/>
              <w:left w:val="nil"/>
              <w:bottom w:val="nil"/>
              <w:right w:val="nil"/>
            </w:tcBorders>
            <w:shd w:val="clear" w:color="auto" w:fill="auto"/>
            <w:noWrap/>
            <w:vAlign w:val="bottom"/>
            <w:hideMark/>
          </w:tcPr>
          <w:p w14:paraId="30580F37" w14:textId="77777777" w:rsidR="00B22915" w:rsidRPr="004A6421" w:rsidRDefault="00B22915" w:rsidP="00B22915">
            <w:pPr>
              <w:jc w:val="center"/>
              <w:rPr>
                <w:color w:val="000000"/>
                <w:sz w:val="20"/>
                <w:szCs w:val="20"/>
              </w:rPr>
            </w:pPr>
            <w:r w:rsidRPr="004A6421">
              <w:rPr>
                <w:color w:val="000000"/>
                <w:sz w:val="20"/>
                <w:szCs w:val="20"/>
              </w:rPr>
              <w:t>(0.046)</w:t>
            </w:r>
          </w:p>
        </w:tc>
        <w:tc>
          <w:tcPr>
            <w:tcW w:w="1425" w:type="dxa"/>
            <w:tcBorders>
              <w:top w:val="nil"/>
              <w:left w:val="nil"/>
              <w:bottom w:val="nil"/>
              <w:right w:val="nil"/>
            </w:tcBorders>
            <w:shd w:val="clear" w:color="auto" w:fill="auto"/>
            <w:noWrap/>
            <w:vAlign w:val="bottom"/>
            <w:hideMark/>
          </w:tcPr>
          <w:p w14:paraId="3D4C77B7" w14:textId="77777777" w:rsidR="00B22915" w:rsidRPr="004A6421" w:rsidRDefault="00B22915" w:rsidP="00B22915">
            <w:pPr>
              <w:jc w:val="center"/>
              <w:rPr>
                <w:color w:val="000000"/>
                <w:sz w:val="20"/>
                <w:szCs w:val="20"/>
              </w:rPr>
            </w:pPr>
            <w:r w:rsidRPr="004A6421">
              <w:rPr>
                <w:color w:val="000000"/>
                <w:sz w:val="20"/>
                <w:szCs w:val="20"/>
              </w:rPr>
              <w:t>(0.080)</w:t>
            </w:r>
          </w:p>
        </w:tc>
        <w:tc>
          <w:tcPr>
            <w:tcW w:w="1425" w:type="dxa"/>
            <w:tcBorders>
              <w:top w:val="nil"/>
              <w:left w:val="nil"/>
              <w:bottom w:val="nil"/>
              <w:right w:val="nil"/>
            </w:tcBorders>
            <w:shd w:val="clear" w:color="auto" w:fill="auto"/>
            <w:noWrap/>
            <w:vAlign w:val="bottom"/>
            <w:hideMark/>
          </w:tcPr>
          <w:p w14:paraId="39996CF1" w14:textId="77777777" w:rsidR="00B22915" w:rsidRPr="004A6421" w:rsidRDefault="00B22915" w:rsidP="00B22915">
            <w:pPr>
              <w:jc w:val="center"/>
              <w:rPr>
                <w:color w:val="000000"/>
                <w:sz w:val="20"/>
                <w:szCs w:val="20"/>
              </w:rPr>
            </w:pPr>
            <w:r w:rsidRPr="004A6421">
              <w:rPr>
                <w:color w:val="000000"/>
                <w:sz w:val="20"/>
                <w:szCs w:val="20"/>
              </w:rPr>
              <w:t>(0.050)</w:t>
            </w:r>
          </w:p>
        </w:tc>
        <w:tc>
          <w:tcPr>
            <w:tcW w:w="1426" w:type="dxa"/>
            <w:tcBorders>
              <w:top w:val="nil"/>
              <w:left w:val="nil"/>
              <w:bottom w:val="nil"/>
              <w:right w:val="nil"/>
            </w:tcBorders>
            <w:shd w:val="clear" w:color="auto" w:fill="auto"/>
            <w:noWrap/>
            <w:vAlign w:val="bottom"/>
            <w:hideMark/>
          </w:tcPr>
          <w:p w14:paraId="4DF51BA3" w14:textId="77777777" w:rsidR="00B22915" w:rsidRPr="004A6421" w:rsidRDefault="00B22915" w:rsidP="00B22915">
            <w:pPr>
              <w:jc w:val="center"/>
              <w:rPr>
                <w:color w:val="000000"/>
                <w:sz w:val="20"/>
                <w:szCs w:val="20"/>
              </w:rPr>
            </w:pPr>
            <w:r w:rsidRPr="004A6421">
              <w:rPr>
                <w:color w:val="000000"/>
                <w:sz w:val="20"/>
                <w:szCs w:val="20"/>
              </w:rPr>
              <w:t>(0.028)</w:t>
            </w:r>
          </w:p>
        </w:tc>
        <w:tc>
          <w:tcPr>
            <w:tcW w:w="1425" w:type="dxa"/>
            <w:gridSpan w:val="2"/>
            <w:tcBorders>
              <w:top w:val="nil"/>
              <w:left w:val="nil"/>
              <w:bottom w:val="nil"/>
              <w:right w:val="nil"/>
            </w:tcBorders>
            <w:shd w:val="clear" w:color="auto" w:fill="auto"/>
            <w:noWrap/>
            <w:vAlign w:val="bottom"/>
            <w:hideMark/>
          </w:tcPr>
          <w:p w14:paraId="4F321DFF" w14:textId="77777777" w:rsidR="00B22915" w:rsidRPr="004A6421" w:rsidRDefault="00B22915" w:rsidP="00B22915">
            <w:pPr>
              <w:jc w:val="center"/>
              <w:rPr>
                <w:color w:val="000000"/>
                <w:sz w:val="20"/>
                <w:szCs w:val="20"/>
              </w:rPr>
            </w:pPr>
            <w:r w:rsidRPr="004A6421">
              <w:rPr>
                <w:color w:val="000000"/>
                <w:sz w:val="20"/>
                <w:szCs w:val="20"/>
              </w:rPr>
              <w:t>(0.050)</w:t>
            </w:r>
          </w:p>
        </w:tc>
        <w:tc>
          <w:tcPr>
            <w:tcW w:w="1426" w:type="dxa"/>
            <w:tcBorders>
              <w:top w:val="nil"/>
              <w:left w:val="nil"/>
              <w:bottom w:val="nil"/>
              <w:right w:val="nil"/>
            </w:tcBorders>
            <w:shd w:val="clear" w:color="auto" w:fill="auto"/>
            <w:noWrap/>
            <w:vAlign w:val="bottom"/>
            <w:hideMark/>
          </w:tcPr>
          <w:p w14:paraId="50B59B0C" w14:textId="77777777" w:rsidR="00B22915" w:rsidRPr="004A6421" w:rsidRDefault="00B22915" w:rsidP="00B22915">
            <w:pPr>
              <w:jc w:val="center"/>
              <w:rPr>
                <w:color w:val="000000"/>
                <w:sz w:val="20"/>
                <w:szCs w:val="20"/>
              </w:rPr>
            </w:pPr>
            <w:r w:rsidRPr="004A6421">
              <w:rPr>
                <w:color w:val="000000"/>
                <w:sz w:val="20"/>
                <w:szCs w:val="20"/>
              </w:rPr>
              <w:t>(0.068)</w:t>
            </w:r>
          </w:p>
        </w:tc>
        <w:tc>
          <w:tcPr>
            <w:tcW w:w="1425" w:type="dxa"/>
            <w:tcBorders>
              <w:top w:val="nil"/>
              <w:left w:val="nil"/>
              <w:bottom w:val="nil"/>
              <w:right w:val="nil"/>
            </w:tcBorders>
            <w:shd w:val="clear" w:color="auto" w:fill="auto"/>
            <w:noWrap/>
            <w:vAlign w:val="bottom"/>
            <w:hideMark/>
          </w:tcPr>
          <w:p w14:paraId="620A0C46" w14:textId="77777777" w:rsidR="00B22915" w:rsidRPr="004A6421" w:rsidRDefault="00B22915" w:rsidP="00B22915">
            <w:pPr>
              <w:jc w:val="center"/>
              <w:rPr>
                <w:color w:val="000000"/>
                <w:sz w:val="20"/>
                <w:szCs w:val="20"/>
              </w:rPr>
            </w:pPr>
            <w:r w:rsidRPr="004A6421">
              <w:rPr>
                <w:color w:val="000000"/>
                <w:sz w:val="20"/>
                <w:szCs w:val="20"/>
              </w:rPr>
              <w:t>(0.077)</w:t>
            </w:r>
          </w:p>
        </w:tc>
        <w:tc>
          <w:tcPr>
            <w:tcW w:w="1426" w:type="dxa"/>
            <w:tcBorders>
              <w:top w:val="nil"/>
              <w:left w:val="nil"/>
              <w:bottom w:val="nil"/>
              <w:right w:val="nil"/>
            </w:tcBorders>
            <w:shd w:val="clear" w:color="auto" w:fill="auto"/>
            <w:noWrap/>
            <w:vAlign w:val="bottom"/>
            <w:hideMark/>
          </w:tcPr>
          <w:p w14:paraId="3685CF5E" w14:textId="77777777" w:rsidR="00B22915" w:rsidRPr="004A6421" w:rsidRDefault="00B22915" w:rsidP="00B22915">
            <w:pPr>
              <w:jc w:val="center"/>
              <w:rPr>
                <w:color w:val="000000"/>
                <w:sz w:val="20"/>
                <w:szCs w:val="20"/>
              </w:rPr>
            </w:pPr>
            <w:r w:rsidRPr="004A6421">
              <w:rPr>
                <w:color w:val="000000"/>
                <w:sz w:val="20"/>
                <w:szCs w:val="20"/>
              </w:rPr>
              <w:t>(0.022)</w:t>
            </w:r>
          </w:p>
        </w:tc>
      </w:tr>
      <w:tr w:rsidR="00B22915" w:rsidRPr="004A6421" w14:paraId="736E3DDE" w14:textId="77777777" w:rsidTr="00B22915">
        <w:trPr>
          <w:trHeight w:val="300"/>
        </w:trPr>
        <w:tc>
          <w:tcPr>
            <w:tcW w:w="2160" w:type="dxa"/>
            <w:tcBorders>
              <w:top w:val="nil"/>
              <w:left w:val="nil"/>
              <w:right w:val="nil"/>
            </w:tcBorders>
            <w:shd w:val="clear" w:color="auto" w:fill="auto"/>
            <w:noWrap/>
            <w:vAlign w:val="bottom"/>
            <w:hideMark/>
          </w:tcPr>
          <w:p w14:paraId="7CC85C0B" w14:textId="77777777" w:rsidR="00B22915" w:rsidRPr="004A6421" w:rsidRDefault="00B22915" w:rsidP="00B22915">
            <w:pPr>
              <w:rPr>
                <w:color w:val="000000"/>
                <w:sz w:val="20"/>
                <w:szCs w:val="20"/>
              </w:rPr>
            </w:pPr>
            <w:r w:rsidRPr="004A6421">
              <w:rPr>
                <w:color w:val="000000"/>
                <w:sz w:val="20"/>
                <w:szCs w:val="20"/>
              </w:rPr>
              <w:t>Observations</w:t>
            </w:r>
          </w:p>
        </w:tc>
        <w:tc>
          <w:tcPr>
            <w:tcW w:w="1182" w:type="dxa"/>
            <w:tcBorders>
              <w:top w:val="nil"/>
              <w:left w:val="nil"/>
              <w:right w:val="nil"/>
            </w:tcBorders>
            <w:shd w:val="clear" w:color="auto" w:fill="auto"/>
            <w:noWrap/>
            <w:vAlign w:val="bottom"/>
            <w:hideMark/>
          </w:tcPr>
          <w:p w14:paraId="2D801FFD" w14:textId="77777777" w:rsidR="00B22915" w:rsidRPr="004A6421" w:rsidRDefault="00B22915" w:rsidP="00B22915">
            <w:pPr>
              <w:jc w:val="center"/>
              <w:rPr>
                <w:color w:val="000000"/>
                <w:sz w:val="20"/>
                <w:szCs w:val="20"/>
              </w:rPr>
            </w:pPr>
            <w:r w:rsidRPr="004A6421">
              <w:rPr>
                <w:color w:val="000000"/>
                <w:sz w:val="20"/>
                <w:szCs w:val="20"/>
              </w:rPr>
              <w:t>1,611</w:t>
            </w:r>
          </w:p>
        </w:tc>
        <w:tc>
          <w:tcPr>
            <w:tcW w:w="1425" w:type="dxa"/>
            <w:tcBorders>
              <w:top w:val="nil"/>
              <w:left w:val="nil"/>
              <w:right w:val="nil"/>
            </w:tcBorders>
            <w:shd w:val="clear" w:color="auto" w:fill="auto"/>
            <w:noWrap/>
            <w:vAlign w:val="bottom"/>
            <w:hideMark/>
          </w:tcPr>
          <w:p w14:paraId="2757E87B" w14:textId="77777777" w:rsidR="00B22915" w:rsidRPr="004A6421" w:rsidRDefault="00B22915" w:rsidP="00B22915">
            <w:pPr>
              <w:jc w:val="center"/>
              <w:rPr>
                <w:color w:val="000000"/>
                <w:sz w:val="20"/>
                <w:szCs w:val="20"/>
              </w:rPr>
            </w:pPr>
            <w:r w:rsidRPr="004A6421">
              <w:rPr>
                <w:color w:val="000000"/>
                <w:sz w:val="20"/>
                <w:szCs w:val="20"/>
              </w:rPr>
              <w:t>866</w:t>
            </w:r>
          </w:p>
        </w:tc>
        <w:tc>
          <w:tcPr>
            <w:tcW w:w="1425" w:type="dxa"/>
            <w:tcBorders>
              <w:top w:val="nil"/>
              <w:left w:val="nil"/>
              <w:right w:val="nil"/>
            </w:tcBorders>
            <w:shd w:val="clear" w:color="auto" w:fill="auto"/>
            <w:noWrap/>
            <w:vAlign w:val="bottom"/>
            <w:hideMark/>
          </w:tcPr>
          <w:p w14:paraId="727E79AB" w14:textId="77777777" w:rsidR="00B22915" w:rsidRPr="004A6421" w:rsidRDefault="00B22915" w:rsidP="00B22915">
            <w:pPr>
              <w:jc w:val="center"/>
              <w:rPr>
                <w:color w:val="000000"/>
                <w:sz w:val="20"/>
                <w:szCs w:val="20"/>
              </w:rPr>
            </w:pPr>
            <w:r w:rsidRPr="004A6421">
              <w:rPr>
                <w:color w:val="000000"/>
                <w:sz w:val="20"/>
                <w:szCs w:val="20"/>
              </w:rPr>
              <w:t>1,155</w:t>
            </w:r>
          </w:p>
        </w:tc>
        <w:tc>
          <w:tcPr>
            <w:tcW w:w="1426" w:type="dxa"/>
            <w:tcBorders>
              <w:top w:val="nil"/>
              <w:left w:val="nil"/>
              <w:right w:val="nil"/>
            </w:tcBorders>
            <w:shd w:val="clear" w:color="auto" w:fill="auto"/>
            <w:noWrap/>
            <w:vAlign w:val="bottom"/>
            <w:hideMark/>
          </w:tcPr>
          <w:p w14:paraId="790E7DCB" w14:textId="77777777" w:rsidR="00B22915" w:rsidRPr="004A6421" w:rsidRDefault="00B22915" w:rsidP="00B22915">
            <w:pPr>
              <w:jc w:val="center"/>
              <w:rPr>
                <w:color w:val="000000"/>
                <w:sz w:val="20"/>
                <w:szCs w:val="20"/>
              </w:rPr>
            </w:pPr>
            <w:r w:rsidRPr="004A6421">
              <w:rPr>
                <w:color w:val="000000"/>
                <w:sz w:val="20"/>
                <w:szCs w:val="20"/>
              </w:rPr>
              <w:t>11,458</w:t>
            </w:r>
          </w:p>
        </w:tc>
        <w:tc>
          <w:tcPr>
            <w:tcW w:w="1425" w:type="dxa"/>
            <w:gridSpan w:val="2"/>
            <w:tcBorders>
              <w:top w:val="nil"/>
              <w:left w:val="nil"/>
              <w:right w:val="nil"/>
            </w:tcBorders>
            <w:shd w:val="clear" w:color="auto" w:fill="auto"/>
            <w:noWrap/>
            <w:vAlign w:val="bottom"/>
            <w:hideMark/>
          </w:tcPr>
          <w:p w14:paraId="3BFCCB82" w14:textId="77777777" w:rsidR="00B22915" w:rsidRPr="004A6421" w:rsidRDefault="00B22915" w:rsidP="00B22915">
            <w:pPr>
              <w:jc w:val="center"/>
              <w:rPr>
                <w:color w:val="000000"/>
                <w:sz w:val="20"/>
                <w:szCs w:val="20"/>
              </w:rPr>
            </w:pPr>
            <w:r w:rsidRPr="004A6421">
              <w:rPr>
                <w:color w:val="000000"/>
                <w:sz w:val="20"/>
                <w:szCs w:val="20"/>
              </w:rPr>
              <w:t>1,611</w:t>
            </w:r>
          </w:p>
        </w:tc>
        <w:tc>
          <w:tcPr>
            <w:tcW w:w="1426" w:type="dxa"/>
            <w:tcBorders>
              <w:top w:val="nil"/>
              <w:left w:val="nil"/>
              <w:right w:val="nil"/>
            </w:tcBorders>
            <w:shd w:val="clear" w:color="auto" w:fill="auto"/>
            <w:noWrap/>
            <w:vAlign w:val="bottom"/>
            <w:hideMark/>
          </w:tcPr>
          <w:p w14:paraId="6C181051" w14:textId="77777777" w:rsidR="00B22915" w:rsidRPr="004A6421" w:rsidRDefault="00B22915" w:rsidP="00B22915">
            <w:pPr>
              <w:jc w:val="center"/>
              <w:rPr>
                <w:color w:val="000000"/>
                <w:sz w:val="20"/>
                <w:szCs w:val="20"/>
              </w:rPr>
            </w:pPr>
            <w:r w:rsidRPr="004A6421">
              <w:rPr>
                <w:color w:val="000000"/>
                <w:sz w:val="20"/>
                <w:szCs w:val="20"/>
              </w:rPr>
              <w:t>866</w:t>
            </w:r>
          </w:p>
        </w:tc>
        <w:tc>
          <w:tcPr>
            <w:tcW w:w="1425" w:type="dxa"/>
            <w:tcBorders>
              <w:top w:val="nil"/>
              <w:left w:val="nil"/>
              <w:right w:val="nil"/>
            </w:tcBorders>
            <w:shd w:val="clear" w:color="auto" w:fill="auto"/>
            <w:noWrap/>
            <w:vAlign w:val="bottom"/>
            <w:hideMark/>
          </w:tcPr>
          <w:p w14:paraId="7236E850" w14:textId="77777777" w:rsidR="00B22915" w:rsidRPr="004A6421" w:rsidRDefault="00B22915" w:rsidP="00B22915">
            <w:pPr>
              <w:jc w:val="center"/>
              <w:rPr>
                <w:color w:val="000000"/>
                <w:sz w:val="20"/>
                <w:szCs w:val="20"/>
              </w:rPr>
            </w:pPr>
            <w:r w:rsidRPr="004A6421">
              <w:rPr>
                <w:color w:val="000000"/>
                <w:sz w:val="20"/>
                <w:szCs w:val="20"/>
              </w:rPr>
              <w:t>1,155</w:t>
            </w:r>
          </w:p>
        </w:tc>
        <w:tc>
          <w:tcPr>
            <w:tcW w:w="1426" w:type="dxa"/>
            <w:tcBorders>
              <w:top w:val="nil"/>
              <w:left w:val="nil"/>
              <w:right w:val="nil"/>
            </w:tcBorders>
            <w:shd w:val="clear" w:color="auto" w:fill="auto"/>
            <w:noWrap/>
            <w:vAlign w:val="bottom"/>
            <w:hideMark/>
          </w:tcPr>
          <w:p w14:paraId="3F7B2CB0" w14:textId="77777777" w:rsidR="00B22915" w:rsidRPr="004A6421" w:rsidRDefault="00B22915" w:rsidP="00B22915">
            <w:pPr>
              <w:jc w:val="center"/>
              <w:rPr>
                <w:color w:val="000000"/>
                <w:sz w:val="20"/>
                <w:szCs w:val="20"/>
              </w:rPr>
            </w:pPr>
            <w:r w:rsidRPr="004A6421">
              <w:rPr>
                <w:color w:val="000000"/>
                <w:sz w:val="20"/>
                <w:szCs w:val="20"/>
              </w:rPr>
              <w:t>11,458</w:t>
            </w:r>
          </w:p>
        </w:tc>
      </w:tr>
      <w:tr w:rsidR="00B22915" w:rsidRPr="004A6421" w14:paraId="17FB6A80" w14:textId="77777777" w:rsidTr="00B22915">
        <w:trPr>
          <w:trHeight w:val="300"/>
        </w:trPr>
        <w:tc>
          <w:tcPr>
            <w:tcW w:w="2160" w:type="dxa"/>
            <w:tcBorders>
              <w:top w:val="nil"/>
              <w:left w:val="nil"/>
              <w:bottom w:val="single" w:sz="4" w:space="0" w:color="auto"/>
              <w:right w:val="nil"/>
            </w:tcBorders>
            <w:shd w:val="clear" w:color="auto" w:fill="auto"/>
            <w:noWrap/>
            <w:vAlign w:val="bottom"/>
            <w:hideMark/>
          </w:tcPr>
          <w:p w14:paraId="674856FF" w14:textId="77777777" w:rsidR="00B22915" w:rsidRPr="004A6421" w:rsidRDefault="00B22915" w:rsidP="00B22915">
            <w:pPr>
              <w:rPr>
                <w:color w:val="000000"/>
                <w:sz w:val="20"/>
                <w:szCs w:val="20"/>
              </w:rPr>
            </w:pPr>
            <w:r w:rsidRPr="004A6421">
              <w:rPr>
                <w:color w:val="000000"/>
                <w:sz w:val="20"/>
                <w:szCs w:val="20"/>
              </w:rPr>
              <w:t>R-squared</w:t>
            </w:r>
          </w:p>
        </w:tc>
        <w:tc>
          <w:tcPr>
            <w:tcW w:w="1182" w:type="dxa"/>
            <w:tcBorders>
              <w:top w:val="nil"/>
              <w:left w:val="nil"/>
              <w:bottom w:val="single" w:sz="4" w:space="0" w:color="auto"/>
              <w:right w:val="nil"/>
            </w:tcBorders>
            <w:shd w:val="clear" w:color="auto" w:fill="auto"/>
            <w:noWrap/>
            <w:vAlign w:val="bottom"/>
            <w:hideMark/>
          </w:tcPr>
          <w:p w14:paraId="5D3E5D76" w14:textId="77777777" w:rsidR="00B22915" w:rsidRPr="004A6421" w:rsidRDefault="00B22915" w:rsidP="00B22915">
            <w:pPr>
              <w:jc w:val="center"/>
              <w:rPr>
                <w:color w:val="000000"/>
                <w:sz w:val="20"/>
                <w:szCs w:val="20"/>
              </w:rPr>
            </w:pPr>
            <w:r w:rsidRPr="004A6421">
              <w:rPr>
                <w:color w:val="000000"/>
                <w:sz w:val="20"/>
                <w:szCs w:val="20"/>
              </w:rPr>
              <w:t>0.220</w:t>
            </w:r>
          </w:p>
        </w:tc>
        <w:tc>
          <w:tcPr>
            <w:tcW w:w="1425" w:type="dxa"/>
            <w:tcBorders>
              <w:top w:val="nil"/>
              <w:left w:val="nil"/>
              <w:bottom w:val="single" w:sz="4" w:space="0" w:color="auto"/>
              <w:right w:val="nil"/>
            </w:tcBorders>
            <w:shd w:val="clear" w:color="auto" w:fill="auto"/>
            <w:noWrap/>
            <w:vAlign w:val="bottom"/>
            <w:hideMark/>
          </w:tcPr>
          <w:p w14:paraId="3C945621" w14:textId="77777777" w:rsidR="00B22915" w:rsidRPr="004A6421" w:rsidRDefault="00B22915" w:rsidP="00B22915">
            <w:pPr>
              <w:jc w:val="center"/>
              <w:rPr>
                <w:color w:val="000000"/>
                <w:sz w:val="20"/>
                <w:szCs w:val="20"/>
              </w:rPr>
            </w:pPr>
            <w:r w:rsidRPr="004A6421">
              <w:rPr>
                <w:color w:val="000000"/>
                <w:sz w:val="20"/>
                <w:szCs w:val="20"/>
              </w:rPr>
              <w:t>0.256</w:t>
            </w:r>
          </w:p>
        </w:tc>
        <w:tc>
          <w:tcPr>
            <w:tcW w:w="1425" w:type="dxa"/>
            <w:tcBorders>
              <w:top w:val="nil"/>
              <w:left w:val="nil"/>
              <w:bottom w:val="single" w:sz="4" w:space="0" w:color="auto"/>
              <w:right w:val="nil"/>
            </w:tcBorders>
            <w:shd w:val="clear" w:color="auto" w:fill="auto"/>
            <w:noWrap/>
            <w:vAlign w:val="bottom"/>
            <w:hideMark/>
          </w:tcPr>
          <w:p w14:paraId="21B8F6CC" w14:textId="77777777" w:rsidR="00B22915" w:rsidRPr="004A6421" w:rsidRDefault="00B22915" w:rsidP="00B22915">
            <w:pPr>
              <w:jc w:val="center"/>
              <w:rPr>
                <w:color w:val="000000"/>
                <w:sz w:val="20"/>
                <w:szCs w:val="20"/>
              </w:rPr>
            </w:pPr>
            <w:r w:rsidRPr="004A6421">
              <w:rPr>
                <w:color w:val="000000"/>
                <w:sz w:val="20"/>
                <w:szCs w:val="20"/>
              </w:rPr>
              <w:t>0.168</w:t>
            </w:r>
          </w:p>
        </w:tc>
        <w:tc>
          <w:tcPr>
            <w:tcW w:w="1426" w:type="dxa"/>
            <w:tcBorders>
              <w:top w:val="nil"/>
              <w:left w:val="nil"/>
              <w:bottom w:val="single" w:sz="4" w:space="0" w:color="auto"/>
              <w:right w:val="nil"/>
            </w:tcBorders>
            <w:shd w:val="clear" w:color="auto" w:fill="auto"/>
            <w:noWrap/>
            <w:vAlign w:val="bottom"/>
            <w:hideMark/>
          </w:tcPr>
          <w:p w14:paraId="4FE0BC89" w14:textId="77777777" w:rsidR="00B22915" w:rsidRPr="004A6421" w:rsidRDefault="00B22915" w:rsidP="00B22915">
            <w:pPr>
              <w:jc w:val="center"/>
              <w:rPr>
                <w:color w:val="000000"/>
                <w:sz w:val="20"/>
                <w:szCs w:val="20"/>
              </w:rPr>
            </w:pPr>
            <w:r w:rsidRPr="004A6421">
              <w:rPr>
                <w:color w:val="000000"/>
                <w:sz w:val="20"/>
                <w:szCs w:val="20"/>
              </w:rPr>
              <w:t>0.189</w:t>
            </w:r>
          </w:p>
        </w:tc>
        <w:tc>
          <w:tcPr>
            <w:tcW w:w="1425" w:type="dxa"/>
            <w:gridSpan w:val="2"/>
            <w:tcBorders>
              <w:top w:val="nil"/>
              <w:left w:val="nil"/>
              <w:bottom w:val="single" w:sz="4" w:space="0" w:color="auto"/>
              <w:right w:val="nil"/>
            </w:tcBorders>
            <w:shd w:val="clear" w:color="auto" w:fill="auto"/>
            <w:noWrap/>
            <w:vAlign w:val="bottom"/>
            <w:hideMark/>
          </w:tcPr>
          <w:p w14:paraId="7BADB818" w14:textId="77777777" w:rsidR="00B22915" w:rsidRPr="004A6421" w:rsidRDefault="00B22915" w:rsidP="00B22915">
            <w:pPr>
              <w:jc w:val="center"/>
              <w:rPr>
                <w:color w:val="000000"/>
                <w:sz w:val="20"/>
                <w:szCs w:val="20"/>
              </w:rPr>
            </w:pPr>
            <w:r w:rsidRPr="004A6421">
              <w:rPr>
                <w:color w:val="000000"/>
                <w:sz w:val="20"/>
                <w:szCs w:val="20"/>
              </w:rPr>
              <w:t>0.219</w:t>
            </w:r>
          </w:p>
        </w:tc>
        <w:tc>
          <w:tcPr>
            <w:tcW w:w="1426" w:type="dxa"/>
            <w:tcBorders>
              <w:top w:val="nil"/>
              <w:left w:val="nil"/>
              <w:bottom w:val="single" w:sz="4" w:space="0" w:color="auto"/>
              <w:right w:val="nil"/>
            </w:tcBorders>
            <w:shd w:val="clear" w:color="auto" w:fill="auto"/>
            <w:noWrap/>
            <w:vAlign w:val="bottom"/>
            <w:hideMark/>
          </w:tcPr>
          <w:p w14:paraId="527C793D" w14:textId="77777777" w:rsidR="00B22915" w:rsidRPr="004A6421" w:rsidRDefault="00B22915" w:rsidP="00B22915">
            <w:pPr>
              <w:jc w:val="center"/>
              <w:rPr>
                <w:color w:val="000000"/>
                <w:sz w:val="20"/>
                <w:szCs w:val="20"/>
              </w:rPr>
            </w:pPr>
            <w:r w:rsidRPr="004A6421">
              <w:rPr>
                <w:color w:val="000000"/>
                <w:sz w:val="20"/>
                <w:szCs w:val="20"/>
              </w:rPr>
              <w:t>0.286</w:t>
            </w:r>
          </w:p>
        </w:tc>
        <w:tc>
          <w:tcPr>
            <w:tcW w:w="1425" w:type="dxa"/>
            <w:tcBorders>
              <w:top w:val="nil"/>
              <w:left w:val="nil"/>
              <w:bottom w:val="single" w:sz="4" w:space="0" w:color="auto"/>
              <w:right w:val="nil"/>
            </w:tcBorders>
            <w:shd w:val="clear" w:color="auto" w:fill="auto"/>
            <w:noWrap/>
            <w:vAlign w:val="bottom"/>
            <w:hideMark/>
          </w:tcPr>
          <w:p w14:paraId="0C43F134" w14:textId="77777777" w:rsidR="00B22915" w:rsidRPr="004A6421" w:rsidRDefault="00B22915" w:rsidP="00B22915">
            <w:pPr>
              <w:jc w:val="center"/>
              <w:rPr>
                <w:color w:val="000000"/>
                <w:sz w:val="20"/>
                <w:szCs w:val="20"/>
              </w:rPr>
            </w:pPr>
            <w:r w:rsidRPr="004A6421">
              <w:rPr>
                <w:color w:val="000000"/>
                <w:sz w:val="20"/>
                <w:szCs w:val="20"/>
              </w:rPr>
              <w:t>0.198</w:t>
            </w:r>
          </w:p>
        </w:tc>
        <w:tc>
          <w:tcPr>
            <w:tcW w:w="1426" w:type="dxa"/>
            <w:tcBorders>
              <w:top w:val="nil"/>
              <w:left w:val="nil"/>
              <w:bottom w:val="single" w:sz="4" w:space="0" w:color="auto"/>
              <w:right w:val="nil"/>
            </w:tcBorders>
            <w:shd w:val="clear" w:color="auto" w:fill="auto"/>
            <w:noWrap/>
            <w:vAlign w:val="bottom"/>
            <w:hideMark/>
          </w:tcPr>
          <w:p w14:paraId="25891BC7" w14:textId="77777777" w:rsidR="00B22915" w:rsidRPr="004A6421" w:rsidRDefault="00B22915" w:rsidP="00B22915">
            <w:pPr>
              <w:jc w:val="center"/>
              <w:rPr>
                <w:color w:val="000000"/>
                <w:sz w:val="20"/>
                <w:szCs w:val="20"/>
              </w:rPr>
            </w:pPr>
            <w:r w:rsidRPr="004A6421">
              <w:rPr>
                <w:color w:val="000000"/>
                <w:sz w:val="20"/>
                <w:szCs w:val="20"/>
              </w:rPr>
              <w:t>0.281</w:t>
            </w:r>
          </w:p>
        </w:tc>
      </w:tr>
      <w:tr w:rsidR="00B22915" w:rsidRPr="004A6421" w14:paraId="7F21A63F" w14:textId="77777777" w:rsidTr="00B22915">
        <w:trPr>
          <w:trHeight w:val="300"/>
        </w:trPr>
        <w:tc>
          <w:tcPr>
            <w:tcW w:w="13320" w:type="dxa"/>
            <w:gridSpan w:val="10"/>
            <w:tcBorders>
              <w:top w:val="single" w:sz="4" w:space="0" w:color="auto"/>
              <w:left w:val="nil"/>
              <w:bottom w:val="nil"/>
              <w:right w:val="nil"/>
            </w:tcBorders>
            <w:shd w:val="clear" w:color="auto" w:fill="auto"/>
            <w:noWrap/>
            <w:vAlign w:val="bottom"/>
            <w:hideMark/>
          </w:tcPr>
          <w:p w14:paraId="233175BC" w14:textId="77777777" w:rsidR="00B22915" w:rsidRPr="0095387F" w:rsidRDefault="00B22915" w:rsidP="00B22915">
            <w:pPr>
              <w:rPr>
                <w:sz w:val="20"/>
                <w:szCs w:val="20"/>
              </w:rPr>
            </w:pPr>
            <w:r w:rsidRPr="004A6421">
              <w:rPr>
                <w:color w:val="000000"/>
                <w:sz w:val="20"/>
                <w:szCs w:val="20"/>
              </w:rPr>
              <w:t>Robust standard errors in parentheses. *** p&lt;0.01, ** p&lt;0.05, * p&lt;0.1</w:t>
            </w:r>
            <w:r>
              <w:rPr>
                <w:color w:val="000000"/>
                <w:sz w:val="20"/>
                <w:szCs w:val="20"/>
              </w:rPr>
              <w:t xml:space="preserve">. </w:t>
            </w:r>
            <w:r>
              <w:rPr>
                <w:sz w:val="20"/>
                <w:szCs w:val="20"/>
              </w:rPr>
              <w:t xml:space="preserve">Estimates were obtained using DiD model (1). </w:t>
            </w:r>
            <w:r w:rsidRPr="0095387F">
              <w:rPr>
                <w:sz w:val="20"/>
                <w:szCs w:val="20"/>
              </w:rPr>
              <w:t xml:space="preserve">Each column </w:t>
            </w:r>
            <w:r>
              <w:rPr>
                <w:sz w:val="20"/>
                <w:szCs w:val="20"/>
              </w:rPr>
              <w:t>is</w:t>
            </w:r>
            <w:r w:rsidRPr="0095387F">
              <w:rPr>
                <w:sz w:val="20"/>
                <w:szCs w:val="20"/>
              </w:rPr>
              <w:t xml:space="preserve"> a separate regression</w:t>
            </w:r>
            <w:r>
              <w:rPr>
                <w:sz w:val="20"/>
                <w:szCs w:val="20"/>
              </w:rPr>
              <w:t xml:space="preserve"> for a subsample of ever-ELs. For current ELs in 11</w:t>
            </w:r>
            <w:r w:rsidRPr="003D2852">
              <w:rPr>
                <w:sz w:val="20"/>
                <w:szCs w:val="20"/>
                <w:vertAlign w:val="superscript"/>
              </w:rPr>
              <w:t>th</w:t>
            </w:r>
            <w:r>
              <w:rPr>
                <w:sz w:val="20"/>
                <w:szCs w:val="20"/>
              </w:rPr>
              <w:t xml:space="preserve"> grade, the first grade of identification is specified (Gr 6+ = 6</w:t>
            </w:r>
            <w:r w:rsidRPr="003D2852">
              <w:rPr>
                <w:sz w:val="20"/>
                <w:szCs w:val="20"/>
                <w:vertAlign w:val="superscript"/>
              </w:rPr>
              <w:t>th</w:t>
            </w:r>
            <w:r>
              <w:rPr>
                <w:sz w:val="20"/>
                <w:szCs w:val="20"/>
              </w:rPr>
              <w:t xml:space="preserve"> grade or later)</w:t>
            </w:r>
            <w:r w:rsidRPr="0095387F">
              <w:rPr>
                <w:sz w:val="20"/>
                <w:szCs w:val="20"/>
              </w:rPr>
              <w:t xml:space="preserve">. </w:t>
            </w:r>
            <w:r>
              <w:rPr>
                <w:sz w:val="20"/>
                <w:szCs w:val="20"/>
              </w:rPr>
              <w:t>Reclassified = exited EL status. Ten</w:t>
            </w:r>
            <w:r w:rsidRPr="0095387F">
              <w:rPr>
                <w:sz w:val="20"/>
                <w:szCs w:val="20"/>
              </w:rPr>
              <w:t xml:space="preserve"> credits are the equivalent of 2 semester-long courses.  “</w:t>
            </w:r>
            <w:r>
              <w:rPr>
                <w:sz w:val="20"/>
                <w:szCs w:val="20"/>
              </w:rPr>
              <w:t>I</w:t>
            </w:r>
            <w:r w:rsidRPr="0095387F">
              <w:rPr>
                <w:sz w:val="20"/>
                <w:szCs w:val="20"/>
              </w:rPr>
              <w:t xml:space="preserve">mmediate </w:t>
            </w:r>
            <w:r>
              <w:rPr>
                <w:sz w:val="20"/>
                <w:szCs w:val="20"/>
              </w:rPr>
              <w:t>C</w:t>
            </w:r>
            <w:r w:rsidRPr="0095387F">
              <w:rPr>
                <w:sz w:val="20"/>
                <w:szCs w:val="20"/>
              </w:rPr>
              <w:t xml:space="preserve">ollege” </w:t>
            </w:r>
            <w:r>
              <w:rPr>
                <w:sz w:val="20"/>
                <w:szCs w:val="20"/>
              </w:rPr>
              <w:t xml:space="preserve">= </w:t>
            </w:r>
            <w:r w:rsidRPr="0095387F">
              <w:rPr>
                <w:sz w:val="20"/>
                <w:szCs w:val="20"/>
              </w:rPr>
              <w:t xml:space="preserve">enrolling in college the fall after </w:t>
            </w:r>
            <w:r>
              <w:rPr>
                <w:sz w:val="20"/>
                <w:szCs w:val="20"/>
              </w:rPr>
              <w:t>12</w:t>
            </w:r>
            <w:r w:rsidRPr="003D2852">
              <w:rPr>
                <w:sz w:val="20"/>
                <w:szCs w:val="20"/>
                <w:vertAlign w:val="superscript"/>
              </w:rPr>
              <w:t>th</w:t>
            </w:r>
            <w:r>
              <w:rPr>
                <w:sz w:val="20"/>
                <w:szCs w:val="20"/>
              </w:rPr>
              <w:t xml:space="preserve"> grade</w:t>
            </w:r>
            <w:r w:rsidRPr="0095387F">
              <w:rPr>
                <w:sz w:val="20"/>
                <w:szCs w:val="20"/>
              </w:rPr>
              <w:t>. “</w:t>
            </w:r>
            <w:r>
              <w:rPr>
                <w:sz w:val="20"/>
                <w:szCs w:val="20"/>
              </w:rPr>
              <w:t>4</w:t>
            </w:r>
            <w:r w:rsidRPr="0095387F">
              <w:rPr>
                <w:sz w:val="20"/>
                <w:szCs w:val="20"/>
              </w:rPr>
              <w:t>-</w:t>
            </w:r>
            <w:r>
              <w:rPr>
                <w:sz w:val="20"/>
                <w:szCs w:val="20"/>
              </w:rPr>
              <w:t>Y</w:t>
            </w:r>
            <w:r w:rsidRPr="0095387F">
              <w:rPr>
                <w:sz w:val="20"/>
                <w:szCs w:val="20"/>
              </w:rPr>
              <w:t xml:space="preserve">ear </w:t>
            </w:r>
            <w:r>
              <w:rPr>
                <w:sz w:val="20"/>
                <w:szCs w:val="20"/>
              </w:rPr>
              <w:t>C</w:t>
            </w:r>
            <w:r w:rsidRPr="0095387F">
              <w:rPr>
                <w:sz w:val="20"/>
                <w:szCs w:val="20"/>
              </w:rPr>
              <w:t xml:space="preserve">ollege” represents directly enrolling in a 4-year college. </w:t>
            </w:r>
            <w:r>
              <w:rPr>
                <w:sz w:val="20"/>
                <w:szCs w:val="20"/>
              </w:rPr>
              <w:t>Model includes student covariates (female, ethnicity, home language, mother’s education, father’s education, special education participation, 10th grade school suspensions, and AP tests taken prior to the end of 10</w:t>
            </w:r>
            <w:r w:rsidRPr="002770A2">
              <w:rPr>
                <w:sz w:val="20"/>
                <w:szCs w:val="20"/>
                <w:vertAlign w:val="superscript"/>
              </w:rPr>
              <w:t>th</w:t>
            </w:r>
            <w:r>
              <w:rPr>
                <w:sz w:val="20"/>
                <w:szCs w:val="20"/>
              </w:rPr>
              <w:t xml:space="preserve"> grade, as well as high school fixed effects (coefficients suppressed). </w:t>
            </w:r>
          </w:p>
          <w:p w14:paraId="3B7E80D8" w14:textId="77777777" w:rsidR="00B22915" w:rsidRPr="004A6421" w:rsidRDefault="00B22915" w:rsidP="00B22915">
            <w:pPr>
              <w:rPr>
                <w:sz w:val="20"/>
                <w:szCs w:val="20"/>
              </w:rPr>
            </w:pPr>
          </w:p>
        </w:tc>
      </w:tr>
    </w:tbl>
    <w:p w14:paraId="0EFF7CD7" w14:textId="07752574" w:rsidR="003921B5" w:rsidRPr="00F82D72" w:rsidRDefault="003921B5" w:rsidP="00B22915">
      <w:pPr>
        <w:pStyle w:val="PlainText"/>
        <w:spacing w:line="480" w:lineRule="auto"/>
      </w:pPr>
    </w:p>
    <w:sectPr w:rsidR="003921B5" w:rsidRPr="00F82D72" w:rsidSect="00B229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A7E9" w14:textId="77777777" w:rsidR="00B36AFE" w:rsidRDefault="00B36AFE" w:rsidP="00593545">
      <w:r>
        <w:separator/>
      </w:r>
    </w:p>
  </w:endnote>
  <w:endnote w:type="continuationSeparator" w:id="0">
    <w:p w14:paraId="24A0D9CB" w14:textId="77777777" w:rsidR="00B36AFE" w:rsidRDefault="00B36AFE" w:rsidP="0059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6"/>
    <w:family w:val="roman"/>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00F" w14:textId="77777777" w:rsidR="00104264" w:rsidRDefault="0010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6653"/>
      <w:docPartObj>
        <w:docPartGallery w:val="Page Numbers (Bottom of Page)"/>
        <w:docPartUnique/>
      </w:docPartObj>
    </w:sdtPr>
    <w:sdtEndPr>
      <w:rPr>
        <w:rFonts w:ascii="Times New Roman" w:hAnsi="Times New Roman" w:cs="Times New Roman"/>
        <w:noProof/>
      </w:rPr>
    </w:sdtEndPr>
    <w:sdtContent>
      <w:p w14:paraId="5752E029" w14:textId="53E012B7" w:rsidR="00195B8F" w:rsidRPr="00767B52" w:rsidRDefault="00195B8F">
        <w:pPr>
          <w:pStyle w:val="Footer"/>
          <w:jc w:val="center"/>
          <w:rPr>
            <w:rFonts w:ascii="Times New Roman" w:hAnsi="Times New Roman" w:cs="Times New Roman"/>
          </w:rPr>
        </w:pPr>
        <w:r w:rsidRPr="00767B52">
          <w:rPr>
            <w:rFonts w:ascii="Times New Roman" w:hAnsi="Times New Roman" w:cs="Times New Roman"/>
          </w:rPr>
          <w:fldChar w:fldCharType="begin"/>
        </w:r>
        <w:r w:rsidRPr="00767B52">
          <w:rPr>
            <w:rFonts w:ascii="Times New Roman" w:hAnsi="Times New Roman" w:cs="Times New Roman"/>
          </w:rPr>
          <w:instrText xml:space="preserve"> PAGE   \* MERGEFORMAT </w:instrText>
        </w:r>
        <w:r w:rsidRPr="00767B52">
          <w:rPr>
            <w:rFonts w:ascii="Times New Roman" w:hAnsi="Times New Roman" w:cs="Times New Roman"/>
          </w:rPr>
          <w:fldChar w:fldCharType="separate"/>
        </w:r>
        <w:r>
          <w:rPr>
            <w:rFonts w:ascii="Times New Roman" w:hAnsi="Times New Roman" w:cs="Times New Roman"/>
            <w:noProof/>
          </w:rPr>
          <w:t>2</w:t>
        </w:r>
        <w:r w:rsidRPr="00767B52">
          <w:rPr>
            <w:rFonts w:ascii="Times New Roman" w:hAnsi="Times New Roman" w:cs="Times New Roman"/>
            <w:noProof/>
          </w:rPr>
          <w:fldChar w:fldCharType="end"/>
        </w:r>
      </w:p>
    </w:sdtContent>
  </w:sdt>
  <w:p w14:paraId="18E080AE" w14:textId="77777777" w:rsidR="00195B8F" w:rsidRDefault="00195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1253" w14:textId="77777777" w:rsidR="00104264" w:rsidRDefault="00104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62671"/>
      <w:docPartObj>
        <w:docPartGallery w:val="Page Numbers (Bottom of Page)"/>
        <w:docPartUnique/>
      </w:docPartObj>
    </w:sdtPr>
    <w:sdtEndPr>
      <w:rPr>
        <w:rFonts w:ascii="Times New Roman" w:hAnsi="Times New Roman" w:cs="Times New Roman"/>
        <w:noProof/>
      </w:rPr>
    </w:sdtEndPr>
    <w:sdtContent>
      <w:p w14:paraId="340F7D9C" w14:textId="77777777" w:rsidR="00195B8F" w:rsidRPr="00767B52" w:rsidRDefault="00195B8F">
        <w:pPr>
          <w:pStyle w:val="Footer"/>
          <w:jc w:val="center"/>
          <w:rPr>
            <w:rFonts w:ascii="Times New Roman" w:hAnsi="Times New Roman" w:cs="Times New Roman"/>
          </w:rPr>
        </w:pPr>
        <w:r w:rsidRPr="00767B52">
          <w:rPr>
            <w:rFonts w:ascii="Times New Roman" w:hAnsi="Times New Roman" w:cs="Times New Roman"/>
          </w:rPr>
          <w:fldChar w:fldCharType="begin"/>
        </w:r>
        <w:r w:rsidRPr="00767B52">
          <w:rPr>
            <w:rFonts w:ascii="Times New Roman" w:hAnsi="Times New Roman" w:cs="Times New Roman"/>
          </w:rPr>
          <w:instrText xml:space="preserve"> PAGE   \* MERGEFORMAT </w:instrText>
        </w:r>
        <w:r w:rsidRPr="00767B52">
          <w:rPr>
            <w:rFonts w:ascii="Times New Roman" w:hAnsi="Times New Roman" w:cs="Times New Roman"/>
          </w:rPr>
          <w:fldChar w:fldCharType="separate"/>
        </w:r>
        <w:r>
          <w:rPr>
            <w:rFonts w:ascii="Times New Roman" w:hAnsi="Times New Roman" w:cs="Times New Roman"/>
            <w:noProof/>
          </w:rPr>
          <w:t>2</w:t>
        </w:r>
        <w:r w:rsidRPr="00767B52">
          <w:rPr>
            <w:rFonts w:ascii="Times New Roman" w:hAnsi="Times New Roman" w:cs="Times New Roman"/>
            <w:noProof/>
          </w:rPr>
          <w:fldChar w:fldCharType="end"/>
        </w:r>
      </w:p>
    </w:sdtContent>
  </w:sdt>
  <w:p w14:paraId="51529307" w14:textId="77777777" w:rsidR="00195B8F" w:rsidRDefault="0019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40D8" w14:textId="77777777" w:rsidR="00B36AFE" w:rsidRDefault="00B36AFE" w:rsidP="00593545">
      <w:r>
        <w:separator/>
      </w:r>
    </w:p>
  </w:footnote>
  <w:footnote w:type="continuationSeparator" w:id="0">
    <w:p w14:paraId="256EAF4D" w14:textId="77777777" w:rsidR="00B36AFE" w:rsidRDefault="00B36AFE" w:rsidP="0059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6DA0" w14:textId="77777777" w:rsidR="00104264" w:rsidRDefault="0010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92E5" w14:textId="77777777" w:rsidR="00104264" w:rsidRDefault="00104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5CAF" w14:textId="77777777" w:rsidR="00104264" w:rsidRDefault="00104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CD"/>
    <w:rsid w:val="000002FF"/>
    <w:rsid w:val="00000B39"/>
    <w:rsid w:val="00000C31"/>
    <w:rsid w:val="00001157"/>
    <w:rsid w:val="00001324"/>
    <w:rsid w:val="000014AA"/>
    <w:rsid w:val="0000188D"/>
    <w:rsid w:val="00001AA2"/>
    <w:rsid w:val="00001AA4"/>
    <w:rsid w:val="00001C34"/>
    <w:rsid w:val="00001E7A"/>
    <w:rsid w:val="00001EFF"/>
    <w:rsid w:val="0000256E"/>
    <w:rsid w:val="00002590"/>
    <w:rsid w:val="0000283F"/>
    <w:rsid w:val="00002E83"/>
    <w:rsid w:val="00004189"/>
    <w:rsid w:val="00004A45"/>
    <w:rsid w:val="00005D4C"/>
    <w:rsid w:val="000062F3"/>
    <w:rsid w:val="00006E02"/>
    <w:rsid w:val="00006E71"/>
    <w:rsid w:val="000078C8"/>
    <w:rsid w:val="00007B93"/>
    <w:rsid w:val="000108CC"/>
    <w:rsid w:val="00010F65"/>
    <w:rsid w:val="000112FD"/>
    <w:rsid w:val="00011A24"/>
    <w:rsid w:val="000123AE"/>
    <w:rsid w:val="00013022"/>
    <w:rsid w:val="00013B4A"/>
    <w:rsid w:val="00013D3D"/>
    <w:rsid w:val="00014075"/>
    <w:rsid w:val="000140B3"/>
    <w:rsid w:val="0001439F"/>
    <w:rsid w:val="000153A8"/>
    <w:rsid w:val="00016212"/>
    <w:rsid w:val="00016B91"/>
    <w:rsid w:val="00016E16"/>
    <w:rsid w:val="00016F61"/>
    <w:rsid w:val="00017261"/>
    <w:rsid w:val="0001748C"/>
    <w:rsid w:val="00017B59"/>
    <w:rsid w:val="00017E64"/>
    <w:rsid w:val="00017F9F"/>
    <w:rsid w:val="00017FB4"/>
    <w:rsid w:val="000201B3"/>
    <w:rsid w:val="00020D83"/>
    <w:rsid w:val="00021FF7"/>
    <w:rsid w:val="00022074"/>
    <w:rsid w:val="000220A4"/>
    <w:rsid w:val="000221A0"/>
    <w:rsid w:val="000222BF"/>
    <w:rsid w:val="000225E8"/>
    <w:rsid w:val="00022805"/>
    <w:rsid w:val="00022D03"/>
    <w:rsid w:val="00022E72"/>
    <w:rsid w:val="0002301D"/>
    <w:rsid w:val="000232CC"/>
    <w:rsid w:val="00023351"/>
    <w:rsid w:val="00023577"/>
    <w:rsid w:val="0002382A"/>
    <w:rsid w:val="00023D28"/>
    <w:rsid w:val="00023F35"/>
    <w:rsid w:val="00023F4E"/>
    <w:rsid w:val="0002400F"/>
    <w:rsid w:val="000244E9"/>
    <w:rsid w:val="00025004"/>
    <w:rsid w:val="000251C1"/>
    <w:rsid w:val="00025E85"/>
    <w:rsid w:val="0002717A"/>
    <w:rsid w:val="00027B33"/>
    <w:rsid w:val="0003023F"/>
    <w:rsid w:val="00030380"/>
    <w:rsid w:val="000304AA"/>
    <w:rsid w:val="0003097D"/>
    <w:rsid w:val="000309DB"/>
    <w:rsid w:val="00030E06"/>
    <w:rsid w:val="000310B8"/>
    <w:rsid w:val="00031489"/>
    <w:rsid w:val="00032309"/>
    <w:rsid w:val="0003245E"/>
    <w:rsid w:val="0003304C"/>
    <w:rsid w:val="00033582"/>
    <w:rsid w:val="000335C5"/>
    <w:rsid w:val="00033658"/>
    <w:rsid w:val="000336B2"/>
    <w:rsid w:val="000336D9"/>
    <w:rsid w:val="00033A49"/>
    <w:rsid w:val="00033EBE"/>
    <w:rsid w:val="00033F45"/>
    <w:rsid w:val="000341C4"/>
    <w:rsid w:val="000341E6"/>
    <w:rsid w:val="00034244"/>
    <w:rsid w:val="000345A2"/>
    <w:rsid w:val="00034D26"/>
    <w:rsid w:val="00034F27"/>
    <w:rsid w:val="00035128"/>
    <w:rsid w:val="000359CC"/>
    <w:rsid w:val="00035F1C"/>
    <w:rsid w:val="00036357"/>
    <w:rsid w:val="00036EEC"/>
    <w:rsid w:val="00036F14"/>
    <w:rsid w:val="00037111"/>
    <w:rsid w:val="00037EA7"/>
    <w:rsid w:val="000402A3"/>
    <w:rsid w:val="000407EB"/>
    <w:rsid w:val="00040AA4"/>
    <w:rsid w:val="000410A3"/>
    <w:rsid w:val="000412A4"/>
    <w:rsid w:val="000412DE"/>
    <w:rsid w:val="00041816"/>
    <w:rsid w:val="00041C4C"/>
    <w:rsid w:val="00043192"/>
    <w:rsid w:val="0004321D"/>
    <w:rsid w:val="000433FC"/>
    <w:rsid w:val="00043665"/>
    <w:rsid w:val="000439BA"/>
    <w:rsid w:val="00043C1E"/>
    <w:rsid w:val="00043FA1"/>
    <w:rsid w:val="00043FAB"/>
    <w:rsid w:val="0004413A"/>
    <w:rsid w:val="0004424A"/>
    <w:rsid w:val="0004443F"/>
    <w:rsid w:val="00044E48"/>
    <w:rsid w:val="00045A4B"/>
    <w:rsid w:val="0004679B"/>
    <w:rsid w:val="000471D9"/>
    <w:rsid w:val="0004743D"/>
    <w:rsid w:val="000476C9"/>
    <w:rsid w:val="00047799"/>
    <w:rsid w:val="000479B9"/>
    <w:rsid w:val="00047B4B"/>
    <w:rsid w:val="000511E1"/>
    <w:rsid w:val="00051ACF"/>
    <w:rsid w:val="00051B52"/>
    <w:rsid w:val="00051C93"/>
    <w:rsid w:val="00051F97"/>
    <w:rsid w:val="000521D5"/>
    <w:rsid w:val="000525F6"/>
    <w:rsid w:val="00052754"/>
    <w:rsid w:val="00052DF5"/>
    <w:rsid w:val="00052FF1"/>
    <w:rsid w:val="00053087"/>
    <w:rsid w:val="000533CE"/>
    <w:rsid w:val="00053620"/>
    <w:rsid w:val="00053B3A"/>
    <w:rsid w:val="00053EA5"/>
    <w:rsid w:val="00053F9D"/>
    <w:rsid w:val="00054738"/>
    <w:rsid w:val="00054918"/>
    <w:rsid w:val="00055192"/>
    <w:rsid w:val="00055352"/>
    <w:rsid w:val="0005560B"/>
    <w:rsid w:val="00055726"/>
    <w:rsid w:val="00055D70"/>
    <w:rsid w:val="00055EF7"/>
    <w:rsid w:val="000562CE"/>
    <w:rsid w:val="00056345"/>
    <w:rsid w:val="00056E6E"/>
    <w:rsid w:val="00056ECB"/>
    <w:rsid w:val="00056F80"/>
    <w:rsid w:val="000570B5"/>
    <w:rsid w:val="00057390"/>
    <w:rsid w:val="000574F3"/>
    <w:rsid w:val="00057646"/>
    <w:rsid w:val="00060686"/>
    <w:rsid w:val="0006103D"/>
    <w:rsid w:val="00061420"/>
    <w:rsid w:val="000620A2"/>
    <w:rsid w:val="0006227D"/>
    <w:rsid w:val="000625E0"/>
    <w:rsid w:val="00062766"/>
    <w:rsid w:val="00063416"/>
    <w:rsid w:val="0006347F"/>
    <w:rsid w:val="00063763"/>
    <w:rsid w:val="000640B1"/>
    <w:rsid w:val="000643DF"/>
    <w:rsid w:val="0006503E"/>
    <w:rsid w:val="00065054"/>
    <w:rsid w:val="00065ED0"/>
    <w:rsid w:val="000671AD"/>
    <w:rsid w:val="00067325"/>
    <w:rsid w:val="000673DB"/>
    <w:rsid w:val="000678D4"/>
    <w:rsid w:val="00067A88"/>
    <w:rsid w:val="00067F22"/>
    <w:rsid w:val="00067FCB"/>
    <w:rsid w:val="0007030B"/>
    <w:rsid w:val="00070A92"/>
    <w:rsid w:val="00070AD3"/>
    <w:rsid w:val="00070DBE"/>
    <w:rsid w:val="00070DDF"/>
    <w:rsid w:val="00071391"/>
    <w:rsid w:val="000718B6"/>
    <w:rsid w:val="00071B21"/>
    <w:rsid w:val="00071E41"/>
    <w:rsid w:val="00072100"/>
    <w:rsid w:val="000726CA"/>
    <w:rsid w:val="00073562"/>
    <w:rsid w:val="00073C0B"/>
    <w:rsid w:val="00074312"/>
    <w:rsid w:val="00075AD5"/>
    <w:rsid w:val="00075D0E"/>
    <w:rsid w:val="00075F34"/>
    <w:rsid w:val="00075F62"/>
    <w:rsid w:val="00076B55"/>
    <w:rsid w:val="00076F6B"/>
    <w:rsid w:val="00077D63"/>
    <w:rsid w:val="00080443"/>
    <w:rsid w:val="00081470"/>
    <w:rsid w:val="00081717"/>
    <w:rsid w:val="0008197B"/>
    <w:rsid w:val="000819A3"/>
    <w:rsid w:val="00081A0F"/>
    <w:rsid w:val="00081F75"/>
    <w:rsid w:val="00082376"/>
    <w:rsid w:val="00082574"/>
    <w:rsid w:val="00082617"/>
    <w:rsid w:val="00082904"/>
    <w:rsid w:val="00082A49"/>
    <w:rsid w:val="00082B0A"/>
    <w:rsid w:val="00082CF3"/>
    <w:rsid w:val="0008348B"/>
    <w:rsid w:val="000844AA"/>
    <w:rsid w:val="0008465B"/>
    <w:rsid w:val="00084753"/>
    <w:rsid w:val="00084E71"/>
    <w:rsid w:val="000853F5"/>
    <w:rsid w:val="00085426"/>
    <w:rsid w:val="0008597F"/>
    <w:rsid w:val="00085FC2"/>
    <w:rsid w:val="00086066"/>
    <w:rsid w:val="000864AA"/>
    <w:rsid w:val="00086A6A"/>
    <w:rsid w:val="00086DAE"/>
    <w:rsid w:val="000873DD"/>
    <w:rsid w:val="00087A44"/>
    <w:rsid w:val="00090C32"/>
    <w:rsid w:val="00090DE4"/>
    <w:rsid w:val="000922EF"/>
    <w:rsid w:val="000924EF"/>
    <w:rsid w:val="000924F9"/>
    <w:rsid w:val="0009281F"/>
    <w:rsid w:val="00093EC5"/>
    <w:rsid w:val="00094248"/>
    <w:rsid w:val="00094256"/>
    <w:rsid w:val="00094353"/>
    <w:rsid w:val="00094489"/>
    <w:rsid w:val="00094A9B"/>
    <w:rsid w:val="00094B2E"/>
    <w:rsid w:val="000951CA"/>
    <w:rsid w:val="000954C4"/>
    <w:rsid w:val="00095A32"/>
    <w:rsid w:val="00096794"/>
    <w:rsid w:val="00096A7F"/>
    <w:rsid w:val="00096AA0"/>
    <w:rsid w:val="00096EEB"/>
    <w:rsid w:val="00096FE3"/>
    <w:rsid w:val="000974E6"/>
    <w:rsid w:val="000978A1"/>
    <w:rsid w:val="00097B8B"/>
    <w:rsid w:val="00097EA3"/>
    <w:rsid w:val="000A007C"/>
    <w:rsid w:val="000A014F"/>
    <w:rsid w:val="000A1C46"/>
    <w:rsid w:val="000A25A8"/>
    <w:rsid w:val="000A2AD6"/>
    <w:rsid w:val="000A2B45"/>
    <w:rsid w:val="000A2CA4"/>
    <w:rsid w:val="000A3068"/>
    <w:rsid w:val="000A3994"/>
    <w:rsid w:val="000A3C06"/>
    <w:rsid w:val="000A3D17"/>
    <w:rsid w:val="000A3D70"/>
    <w:rsid w:val="000A4138"/>
    <w:rsid w:val="000A421D"/>
    <w:rsid w:val="000A442E"/>
    <w:rsid w:val="000A47CA"/>
    <w:rsid w:val="000A47DB"/>
    <w:rsid w:val="000A4EDD"/>
    <w:rsid w:val="000A4EF7"/>
    <w:rsid w:val="000A5614"/>
    <w:rsid w:val="000A5E8C"/>
    <w:rsid w:val="000A6095"/>
    <w:rsid w:val="000A62BF"/>
    <w:rsid w:val="000A6955"/>
    <w:rsid w:val="000A6CD5"/>
    <w:rsid w:val="000A6EEE"/>
    <w:rsid w:val="000A7ABE"/>
    <w:rsid w:val="000A7B6F"/>
    <w:rsid w:val="000A7DFF"/>
    <w:rsid w:val="000B0174"/>
    <w:rsid w:val="000B039D"/>
    <w:rsid w:val="000B0447"/>
    <w:rsid w:val="000B16D2"/>
    <w:rsid w:val="000B1F0F"/>
    <w:rsid w:val="000B21E9"/>
    <w:rsid w:val="000B2792"/>
    <w:rsid w:val="000B29A6"/>
    <w:rsid w:val="000B2BBA"/>
    <w:rsid w:val="000B2DDA"/>
    <w:rsid w:val="000B3219"/>
    <w:rsid w:val="000B37B3"/>
    <w:rsid w:val="000B41B7"/>
    <w:rsid w:val="000B4201"/>
    <w:rsid w:val="000B4323"/>
    <w:rsid w:val="000B4DD6"/>
    <w:rsid w:val="000B5027"/>
    <w:rsid w:val="000B51C4"/>
    <w:rsid w:val="000B526C"/>
    <w:rsid w:val="000B5AFE"/>
    <w:rsid w:val="000B5C99"/>
    <w:rsid w:val="000B704D"/>
    <w:rsid w:val="000B719A"/>
    <w:rsid w:val="000B71CF"/>
    <w:rsid w:val="000B71D8"/>
    <w:rsid w:val="000B7D29"/>
    <w:rsid w:val="000C09E7"/>
    <w:rsid w:val="000C0EC9"/>
    <w:rsid w:val="000C138D"/>
    <w:rsid w:val="000C1F79"/>
    <w:rsid w:val="000C264D"/>
    <w:rsid w:val="000C2A52"/>
    <w:rsid w:val="000C2BF6"/>
    <w:rsid w:val="000C3969"/>
    <w:rsid w:val="000C3D03"/>
    <w:rsid w:val="000C3DC1"/>
    <w:rsid w:val="000C3F52"/>
    <w:rsid w:val="000C4510"/>
    <w:rsid w:val="000C4658"/>
    <w:rsid w:val="000C500C"/>
    <w:rsid w:val="000C5108"/>
    <w:rsid w:val="000C5208"/>
    <w:rsid w:val="000C520A"/>
    <w:rsid w:val="000C60A1"/>
    <w:rsid w:val="000C6DBF"/>
    <w:rsid w:val="000C74A1"/>
    <w:rsid w:val="000D01E2"/>
    <w:rsid w:val="000D044C"/>
    <w:rsid w:val="000D0C5E"/>
    <w:rsid w:val="000D14A4"/>
    <w:rsid w:val="000D23FC"/>
    <w:rsid w:val="000D257F"/>
    <w:rsid w:val="000D2952"/>
    <w:rsid w:val="000D2F95"/>
    <w:rsid w:val="000D31B5"/>
    <w:rsid w:val="000D3296"/>
    <w:rsid w:val="000D3631"/>
    <w:rsid w:val="000D3A7A"/>
    <w:rsid w:val="000D4285"/>
    <w:rsid w:val="000D433C"/>
    <w:rsid w:val="000D44FF"/>
    <w:rsid w:val="000D501D"/>
    <w:rsid w:val="000D5151"/>
    <w:rsid w:val="000D5335"/>
    <w:rsid w:val="000D5396"/>
    <w:rsid w:val="000D5A62"/>
    <w:rsid w:val="000D6356"/>
    <w:rsid w:val="000D678E"/>
    <w:rsid w:val="000D6BE2"/>
    <w:rsid w:val="000D6DF7"/>
    <w:rsid w:val="000D74FE"/>
    <w:rsid w:val="000D7846"/>
    <w:rsid w:val="000D7B2C"/>
    <w:rsid w:val="000E0291"/>
    <w:rsid w:val="000E034F"/>
    <w:rsid w:val="000E0353"/>
    <w:rsid w:val="000E0517"/>
    <w:rsid w:val="000E0867"/>
    <w:rsid w:val="000E0893"/>
    <w:rsid w:val="000E0C3B"/>
    <w:rsid w:val="000E13E8"/>
    <w:rsid w:val="000E1C76"/>
    <w:rsid w:val="000E25D8"/>
    <w:rsid w:val="000E2B02"/>
    <w:rsid w:val="000E3C5B"/>
    <w:rsid w:val="000E3CE2"/>
    <w:rsid w:val="000E4918"/>
    <w:rsid w:val="000E49A0"/>
    <w:rsid w:val="000E4CD0"/>
    <w:rsid w:val="000E53AB"/>
    <w:rsid w:val="000E63FA"/>
    <w:rsid w:val="000E6916"/>
    <w:rsid w:val="000E6A4F"/>
    <w:rsid w:val="000E6F5C"/>
    <w:rsid w:val="000E743C"/>
    <w:rsid w:val="000F0522"/>
    <w:rsid w:val="000F1BA0"/>
    <w:rsid w:val="000F2210"/>
    <w:rsid w:val="000F236D"/>
    <w:rsid w:val="000F29C7"/>
    <w:rsid w:val="000F3948"/>
    <w:rsid w:val="000F411C"/>
    <w:rsid w:val="000F468A"/>
    <w:rsid w:val="000F510E"/>
    <w:rsid w:val="000F61ED"/>
    <w:rsid w:val="000F6C63"/>
    <w:rsid w:val="000F6EF9"/>
    <w:rsid w:val="000F7E01"/>
    <w:rsid w:val="000F7F25"/>
    <w:rsid w:val="000F7F99"/>
    <w:rsid w:val="00100C71"/>
    <w:rsid w:val="00100DF8"/>
    <w:rsid w:val="00100F3F"/>
    <w:rsid w:val="00101224"/>
    <w:rsid w:val="00101512"/>
    <w:rsid w:val="00101568"/>
    <w:rsid w:val="00102295"/>
    <w:rsid w:val="001027D1"/>
    <w:rsid w:val="00103044"/>
    <w:rsid w:val="001035BC"/>
    <w:rsid w:val="00103BA0"/>
    <w:rsid w:val="00103F73"/>
    <w:rsid w:val="00104018"/>
    <w:rsid w:val="001040BD"/>
    <w:rsid w:val="00104264"/>
    <w:rsid w:val="001044C8"/>
    <w:rsid w:val="00104617"/>
    <w:rsid w:val="00104725"/>
    <w:rsid w:val="00104B81"/>
    <w:rsid w:val="00104CA9"/>
    <w:rsid w:val="00105C08"/>
    <w:rsid w:val="0010627B"/>
    <w:rsid w:val="001065F3"/>
    <w:rsid w:val="00106800"/>
    <w:rsid w:val="001069AC"/>
    <w:rsid w:val="0010756B"/>
    <w:rsid w:val="0010775C"/>
    <w:rsid w:val="001102F5"/>
    <w:rsid w:val="00110B30"/>
    <w:rsid w:val="00110C64"/>
    <w:rsid w:val="00110D49"/>
    <w:rsid w:val="00110F72"/>
    <w:rsid w:val="00110FA5"/>
    <w:rsid w:val="00111236"/>
    <w:rsid w:val="00111FA6"/>
    <w:rsid w:val="001126DF"/>
    <w:rsid w:val="0011279E"/>
    <w:rsid w:val="00112B2B"/>
    <w:rsid w:val="00112B4C"/>
    <w:rsid w:val="00112F5C"/>
    <w:rsid w:val="001135B3"/>
    <w:rsid w:val="001137F2"/>
    <w:rsid w:val="001138C7"/>
    <w:rsid w:val="00114D37"/>
    <w:rsid w:val="001156FC"/>
    <w:rsid w:val="00115A78"/>
    <w:rsid w:val="00115EE3"/>
    <w:rsid w:val="0011603F"/>
    <w:rsid w:val="00116169"/>
    <w:rsid w:val="001165EB"/>
    <w:rsid w:val="00116B8A"/>
    <w:rsid w:val="0011756E"/>
    <w:rsid w:val="001175C9"/>
    <w:rsid w:val="001175DA"/>
    <w:rsid w:val="00117EFE"/>
    <w:rsid w:val="00117F3C"/>
    <w:rsid w:val="001204FB"/>
    <w:rsid w:val="0012128E"/>
    <w:rsid w:val="00121F3E"/>
    <w:rsid w:val="001223C1"/>
    <w:rsid w:val="0012292D"/>
    <w:rsid w:val="00122B9F"/>
    <w:rsid w:val="00122E73"/>
    <w:rsid w:val="00122EC3"/>
    <w:rsid w:val="00123255"/>
    <w:rsid w:val="001234C2"/>
    <w:rsid w:val="001235BD"/>
    <w:rsid w:val="00123640"/>
    <w:rsid w:val="00123D55"/>
    <w:rsid w:val="001241A1"/>
    <w:rsid w:val="00124A64"/>
    <w:rsid w:val="001257F3"/>
    <w:rsid w:val="00125D0A"/>
    <w:rsid w:val="0012614A"/>
    <w:rsid w:val="0012621F"/>
    <w:rsid w:val="00126D54"/>
    <w:rsid w:val="0012726F"/>
    <w:rsid w:val="001301F7"/>
    <w:rsid w:val="0013023B"/>
    <w:rsid w:val="001302F3"/>
    <w:rsid w:val="0013032E"/>
    <w:rsid w:val="001308EF"/>
    <w:rsid w:val="00130F79"/>
    <w:rsid w:val="00131214"/>
    <w:rsid w:val="00131EA9"/>
    <w:rsid w:val="0013257D"/>
    <w:rsid w:val="001328A9"/>
    <w:rsid w:val="00132D19"/>
    <w:rsid w:val="00132F43"/>
    <w:rsid w:val="001331D8"/>
    <w:rsid w:val="00133970"/>
    <w:rsid w:val="0013453F"/>
    <w:rsid w:val="001346CD"/>
    <w:rsid w:val="001352D4"/>
    <w:rsid w:val="00135AAA"/>
    <w:rsid w:val="00135B1F"/>
    <w:rsid w:val="001361DF"/>
    <w:rsid w:val="001365D3"/>
    <w:rsid w:val="00136982"/>
    <w:rsid w:val="001370B3"/>
    <w:rsid w:val="00137463"/>
    <w:rsid w:val="00137BB1"/>
    <w:rsid w:val="00137BF8"/>
    <w:rsid w:val="00137DF4"/>
    <w:rsid w:val="00140152"/>
    <w:rsid w:val="001405AB"/>
    <w:rsid w:val="0014089E"/>
    <w:rsid w:val="00140A34"/>
    <w:rsid w:val="0014127B"/>
    <w:rsid w:val="00141418"/>
    <w:rsid w:val="00141493"/>
    <w:rsid w:val="00141586"/>
    <w:rsid w:val="0014169F"/>
    <w:rsid w:val="00141BF6"/>
    <w:rsid w:val="00142140"/>
    <w:rsid w:val="001425BD"/>
    <w:rsid w:val="00142855"/>
    <w:rsid w:val="00142BFD"/>
    <w:rsid w:val="00142F6B"/>
    <w:rsid w:val="0014332A"/>
    <w:rsid w:val="00143A01"/>
    <w:rsid w:val="00143A46"/>
    <w:rsid w:val="001442BA"/>
    <w:rsid w:val="0014433F"/>
    <w:rsid w:val="00144A09"/>
    <w:rsid w:val="00144A9C"/>
    <w:rsid w:val="00144DBF"/>
    <w:rsid w:val="00145042"/>
    <w:rsid w:val="00145629"/>
    <w:rsid w:val="0014590F"/>
    <w:rsid w:val="00145AB9"/>
    <w:rsid w:val="00145B6B"/>
    <w:rsid w:val="00145CF7"/>
    <w:rsid w:val="001462F0"/>
    <w:rsid w:val="001466D5"/>
    <w:rsid w:val="00146852"/>
    <w:rsid w:val="00146888"/>
    <w:rsid w:val="00146A1B"/>
    <w:rsid w:val="00146D12"/>
    <w:rsid w:val="00146DD1"/>
    <w:rsid w:val="00146ED0"/>
    <w:rsid w:val="00147A63"/>
    <w:rsid w:val="00147D19"/>
    <w:rsid w:val="00147EDC"/>
    <w:rsid w:val="00147EDE"/>
    <w:rsid w:val="0015027D"/>
    <w:rsid w:val="00150A9B"/>
    <w:rsid w:val="00151322"/>
    <w:rsid w:val="00151B93"/>
    <w:rsid w:val="0015255D"/>
    <w:rsid w:val="001525A2"/>
    <w:rsid w:val="0015266F"/>
    <w:rsid w:val="00152D5E"/>
    <w:rsid w:val="0015345B"/>
    <w:rsid w:val="0015347C"/>
    <w:rsid w:val="00153564"/>
    <w:rsid w:val="00153D45"/>
    <w:rsid w:val="00154044"/>
    <w:rsid w:val="001541EC"/>
    <w:rsid w:val="00154274"/>
    <w:rsid w:val="00155253"/>
    <w:rsid w:val="0015538D"/>
    <w:rsid w:val="0015551F"/>
    <w:rsid w:val="00156A49"/>
    <w:rsid w:val="00157152"/>
    <w:rsid w:val="00157332"/>
    <w:rsid w:val="0015786F"/>
    <w:rsid w:val="00157FAE"/>
    <w:rsid w:val="00160022"/>
    <w:rsid w:val="00160265"/>
    <w:rsid w:val="001602A8"/>
    <w:rsid w:val="00160A9D"/>
    <w:rsid w:val="00160B06"/>
    <w:rsid w:val="00160F2E"/>
    <w:rsid w:val="001611CE"/>
    <w:rsid w:val="0016150C"/>
    <w:rsid w:val="00161903"/>
    <w:rsid w:val="00161CBF"/>
    <w:rsid w:val="001620A4"/>
    <w:rsid w:val="00162106"/>
    <w:rsid w:val="00162920"/>
    <w:rsid w:val="00163464"/>
    <w:rsid w:val="00163522"/>
    <w:rsid w:val="0016367D"/>
    <w:rsid w:val="001638DC"/>
    <w:rsid w:val="0016422F"/>
    <w:rsid w:val="0016501C"/>
    <w:rsid w:val="00165406"/>
    <w:rsid w:val="001656D6"/>
    <w:rsid w:val="00165B86"/>
    <w:rsid w:val="00165FA5"/>
    <w:rsid w:val="001663BB"/>
    <w:rsid w:val="001664C5"/>
    <w:rsid w:val="00166898"/>
    <w:rsid w:val="00166B73"/>
    <w:rsid w:val="00166EB5"/>
    <w:rsid w:val="001673BB"/>
    <w:rsid w:val="001674D1"/>
    <w:rsid w:val="001674E2"/>
    <w:rsid w:val="001676B5"/>
    <w:rsid w:val="00167AE1"/>
    <w:rsid w:val="00167B4C"/>
    <w:rsid w:val="00167EF3"/>
    <w:rsid w:val="0017031B"/>
    <w:rsid w:val="00170D2A"/>
    <w:rsid w:val="00170E2F"/>
    <w:rsid w:val="001713E8"/>
    <w:rsid w:val="00172152"/>
    <w:rsid w:val="001725EC"/>
    <w:rsid w:val="00172C7C"/>
    <w:rsid w:val="00172CE4"/>
    <w:rsid w:val="001733A2"/>
    <w:rsid w:val="00173AE1"/>
    <w:rsid w:val="00173F6A"/>
    <w:rsid w:val="0017575E"/>
    <w:rsid w:val="00175AF5"/>
    <w:rsid w:val="00175C27"/>
    <w:rsid w:val="00175FFE"/>
    <w:rsid w:val="00176120"/>
    <w:rsid w:val="00176262"/>
    <w:rsid w:val="00176CCE"/>
    <w:rsid w:val="00176D46"/>
    <w:rsid w:val="00176FC3"/>
    <w:rsid w:val="00177301"/>
    <w:rsid w:val="00177662"/>
    <w:rsid w:val="0017766B"/>
    <w:rsid w:val="00177733"/>
    <w:rsid w:val="0017794C"/>
    <w:rsid w:val="00180332"/>
    <w:rsid w:val="00180643"/>
    <w:rsid w:val="00180FC5"/>
    <w:rsid w:val="0018122A"/>
    <w:rsid w:val="00181756"/>
    <w:rsid w:val="001819F1"/>
    <w:rsid w:val="00181EE2"/>
    <w:rsid w:val="00181F91"/>
    <w:rsid w:val="001822F1"/>
    <w:rsid w:val="00182A6B"/>
    <w:rsid w:val="00182F97"/>
    <w:rsid w:val="00183017"/>
    <w:rsid w:val="001831EC"/>
    <w:rsid w:val="00183502"/>
    <w:rsid w:val="001838F7"/>
    <w:rsid w:val="00183AC7"/>
    <w:rsid w:val="00183AD4"/>
    <w:rsid w:val="00183C1E"/>
    <w:rsid w:val="0018412F"/>
    <w:rsid w:val="0018577C"/>
    <w:rsid w:val="00185ADA"/>
    <w:rsid w:val="00186AA6"/>
    <w:rsid w:val="0018789B"/>
    <w:rsid w:val="00190203"/>
    <w:rsid w:val="001902A4"/>
    <w:rsid w:val="001905FE"/>
    <w:rsid w:val="00190914"/>
    <w:rsid w:val="00190C2F"/>
    <w:rsid w:val="00190E65"/>
    <w:rsid w:val="00191127"/>
    <w:rsid w:val="00191972"/>
    <w:rsid w:val="00191AC9"/>
    <w:rsid w:val="00191BCA"/>
    <w:rsid w:val="00192752"/>
    <w:rsid w:val="001929FC"/>
    <w:rsid w:val="00192D53"/>
    <w:rsid w:val="001934EF"/>
    <w:rsid w:val="00193AB1"/>
    <w:rsid w:val="00193BE1"/>
    <w:rsid w:val="001945A8"/>
    <w:rsid w:val="001946D6"/>
    <w:rsid w:val="0019473E"/>
    <w:rsid w:val="00194965"/>
    <w:rsid w:val="00194B1A"/>
    <w:rsid w:val="00195B8F"/>
    <w:rsid w:val="00195DD0"/>
    <w:rsid w:val="00195DEB"/>
    <w:rsid w:val="00195E64"/>
    <w:rsid w:val="00197E65"/>
    <w:rsid w:val="00197F02"/>
    <w:rsid w:val="001A03EB"/>
    <w:rsid w:val="001A0ACA"/>
    <w:rsid w:val="001A10B9"/>
    <w:rsid w:val="001A1143"/>
    <w:rsid w:val="001A1506"/>
    <w:rsid w:val="001A1CEC"/>
    <w:rsid w:val="001A21D9"/>
    <w:rsid w:val="001A2254"/>
    <w:rsid w:val="001A27C9"/>
    <w:rsid w:val="001A2B92"/>
    <w:rsid w:val="001A3783"/>
    <w:rsid w:val="001A4098"/>
    <w:rsid w:val="001A42D1"/>
    <w:rsid w:val="001A477D"/>
    <w:rsid w:val="001A483D"/>
    <w:rsid w:val="001A4AA4"/>
    <w:rsid w:val="001A516A"/>
    <w:rsid w:val="001A6062"/>
    <w:rsid w:val="001A641B"/>
    <w:rsid w:val="001A7085"/>
    <w:rsid w:val="001A760F"/>
    <w:rsid w:val="001B00A3"/>
    <w:rsid w:val="001B019F"/>
    <w:rsid w:val="001B0BBA"/>
    <w:rsid w:val="001B1200"/>
    <w:rsid w:val="001B159F"/>
    <w:rsid w:val="001B16E8"/>
    <w:rsid w:val="001B171A"/>
    <w:rsid w:val="001B1729"/>
    <w:rsid w:val="001B18D3"/>
    <w:rsid w:val="001B1C84"/>
    <w:rsid w:val="001B1CF1"/>
    <w:rsid w:val="001B1FE9"/>
    <w:rsid w:val="001B211B"/>
    <w:rsid w:val="001B233D"/>
    <w:rsid w:val="001B250E"/>
    <w:rsid w:val="001B2669"/>
    <w:rsid w:val="001B2A30"/>
    <w:rsid w:val="001B32E9"/>
    <w:rsid w:val="001B350F"/>
    <w:rsid w:val="001B38B1"/>
    <w:rsid w:val="001B39F3"/>
    <w:rsid w:val="001B3C4C"/>
    <w:rsid w:val="001B3CBD"/>
    <w:rsid w:val="001B3E67"/>
    <w:rsid w:val="001B3F4A"/>
    <w:rsid w:val="001B4385"/>
    <w:rsid w:val="001B4532"/>
    <w:rsid w:val="001B45F7"/>
    <w:rsid w:val="001B4CAB"/>
    <w:rsid w:val="001B4D13"/>
    <w:rsid w:val="001B5077"/>
    <w:rsid w:val="001B53BA"/>
    <w:rsid w:val="001B54CD"/>
    <w:rsid w:val="001B555E"/>
    <w:rsid w:val="001B57CA"/>
    <w:rsid w:val="001B5BC1"/>
    <w:rsid w:val="001B5EBD"/>
    <w:rsid w:val="001B60DF"/>
    <w:rsid w:val="001B60E4"/>
    <w:rsid w:val="001B6227"/>
    <w:rsid w:val="001B66C3"/>
    <w:rsid w:val="001B68BD"/>
    <w:rsid w:val="001B6903"/>
    <w:rsid w:val="001B6E88"/>
    <w:rsid w:val="001B7312"/>
    <w:rsid w:val="001B73D6"/>
    <w:rsid w:val="001B7A30"/>
    <w:rsid w:val="001B7CA8"/>
    <w:rsid w:val="001B7F35"/>
    <w:rsid w:val="001C004D"/>
    <w:rsid w:val="001C0D2D"/>
    <w:rsid w:val="001C0DBE"/>
    <w:rsid w:val="001C0F8D"/>
    <w:rsid w:val="001C1193"/>
    <w:rsid w:val="001C1501"/>
    <w:rsid w:val="001C1566"/>
    <w:rsid w:val="001C2748"/>
    <w:rsid w:val="001C2856"/>
    <w:rsid w:val="001C28DC"/>
    <w:rsid w:val="001C29F2"/>
    <w:rsid w:val="001C2F1A"/>
    <w:rsid w:val="001C31D6"/>
    <w:rsid w:val="001C32E0"/>
    <w:rsid w:val="001C355A"/>
    <w:rsid w:val="001C3640"/>
    <w:rsid w:val="001C38B2"/>
    <w:rsid w:val="001C3EAA"/>
    <w:rsid w:val="001C40B4"/>
    <w:rsid w:val="001C43FF"/>
    <w:rsid w:val="001C440F"/>
    <w:rsid w:val="001C49B4"/>
    <w:rsid w:val="001C51A9"/>
    <w:rsid w:val="001C55CE"/>
    <w:rsid w:val="001C5768"/>
    <w:rsid w:val="001C5B86"/>
    <w:rsid w:val="001C5C06"/>
    <w:rsid w:val="001C5CEC"/>
    <w:rsid w:val="001C65C5"/>
    <w:rsid w:val="001C71D9"/>
    <w:rsid w:val="001C7564"/>
    <w:rsid w:val="001C762F"/>
    <w:rsid w:val="001C7679"/>
    <w:rsid w:val="001C7ADF"/>
    <w:rsid w:val="001C7FC6"/>
    <w:rsid w:val="001D044D"/>
    <w:rsid w:val="001D0A92"/>
    <w:rsid w:val="001D0D84"/>
    <w:rsid w:val="001D14BD"/>
    <w:rsid w:val="001D157B"/>
    <w:rsid w:val="001D162A"/>
    <w:rsid w:val="001D19B5"/>
    <w:rsid w:val="001D2627"/>
    <w:rsid w:val="001D268A"/>
    <w:rsid w:val="001D29AE"/>
    <w:rsid w:val="001D2C52"/>
    <w:rsid w:val="001D42B1"/>
    <w:rsid w:val="001D489F"/>
    <w:rsid w:val="001D4BFA"/>
    <w:rsid w:val="001D5462"/>
    <w:rsid w:val="001D638F"/>
    <w:rsid w:val="001D6A8D"/>
    <w:rsid w:val="001D6B09"/>
    <w:rsid w:val="001D6BC3"/>
    <w:rsid w:val="001D6EE2"/>
    <w:rsid w:val="001D7457"/>
    <w:rsid w:val="001D7626"/>
    <w:rsid w:val="001D7677"/>
    <w:rsid w:val="001D78B7"/>
    <w:rsid w:val="001E0225"/>
    <w:rsid w:val="001E033B"/>
    <w:rsid w:val="001E0505"/>
    <w:rsid w:val="001E06E2"/>
    <w:rsid w:val="001E0895"/>
    <w:rsid w:val="001E0AE9"/>
    <w:rsid w:val="001E1017"/>
    <w:rsid w:val="001E104F"/>
    <w:rsid w:val="001E1AC0"/>
    <w:rsid w:val="001E1AF9"/>
    <w:rsid w:val="001E1B6E"/>
    <w:rsid w:val="001E1D69"/>
    <w:rsid w:val="001E230A"/>
    <w:rsid w:val="001E27F8"/>
    <w:rsid w:val="001E2ADE"/>
    <w:rsid w:val="001E2C69"/>
    <w:rsid w:val="001E30D8"/>
    <w:rsid w:val="001E34DD"/>
    <w:rsid w:val="001E358B"/>
    <w:rsid w:val="001E392F"/>
    <w:rsid w:val="001E39A7"/>
    <w:rsid w:val="001E43B1"/>
    <w:rsid w:val="001E44DC"/>
    <w:rsid w:val="001E4524"/>
    <w:rsid w:val="001E4750"/>
    <w:rsid w:val="001E495C"/>
    <w:rsid w:val="001E4D5C"/>
    <w:rsid w:val="001E4DBA"/>
    <w:rsid w:val="001E4E82"/>
    <w:rsid w:val="001E4EC9"/>
    <w:rsid w:val="001E507E"/>
    <w:rsid w:val="001E53BA"/>
    <w:rsid w:val="001E5DDA"/>
    <w:rsid w:val="001E5DF5"/>
    <w:rsid w:val="001E5DF9"/>
    <w:rsid w:val="001E61CA"/>
    <w:rsid w:val="001E65A0"/>
    <w:rsid w:val="001E6C5A"/>
    <w:rsid w:val="001E74C1"/>
    <w:rsid w:val="001E7D66"/>
    <w:rsid w:val="001E7F88"/>
    <w:rsid w:val="001F0013"/>
    <w:rsid w:val="001F0141"/>
    <w:rsid w:val="001F0359"/>
    <w:rsid w:val="001F0963"/>
    <w:rsid w:val="001F0B25"/>
    <w:rsid w:val="001F14D5"/>
    <w:rsid w:val="001F1760"/>
    <w:rsid w:val="001F1A18"/>
    <w:rsid w:val="001F2CEC"/>
    <w:rsid w:val="001F2D78"/>
    <w:rsid w:val="001F3302"/>
    <w:rsid w:val="001F3625"/>
    <w:rsid w:val="001F3A1B"/>
    <w:rsid w:val="001F3C1C"/>
    <w:rsid w:val="001F3E8A"/>
    <w:rsid w:val="001F3E96"/>
    <w:rsid w:val="001F3E9E"/>
    <w:rsid w:val="001F46AF"/>
    <w:rsid w:val="001F484B"/>
    <w:rsid w:val="001F48A4"/>
    <w:rsid w:val="001F4B62"/>
    <w:rsid w:val="001F5086"/>
    <w:rsid w:val="001F51DC"/>
    <w:rsid w:val="001F5564"/>
    <w:rsid w:val="001F5898"/>
    <w:rsid w:val="001F5BEF"/>
    <w:rsid w:val="001F5DD0"/>
    <w:rsid w:val="001F6832"/>
    <w:rsid w:val="001F701A"/>
    <w:rsid w:val="001F705A"/>
    <w:rsid w:val="001F7089"/>
    <w:rsid w:val="001F713A"/>
    <w:rsid w:val="001F76F9"/>
    <w:rsid w:val="001F782B"/>
    <w:rsid w:val="001F7D22"/>
    <w:rsid w:val="0020034A"/>
    <w:rsid w:val="00201822"/>
    <w:rsid w:val="00201A96"/>
    <w:rsid w:val="00201C25"/>
    <w:rsid w:val="002020EB"/>
    <w:rsid w:val="00202143"/>
    <w:rsid w:val="002021AF"/>
    <w:rsid w:val="00202414"/>
    <w:rsid w:val="002030E0"/>
    <w:rsid w:val="00203611"/>
    <w:rsid w:val="002038E6"/>
    <w:rsid w:val="00203A6D"/>
    <w:rsid w:val="002040BD"/>
    <w:rsid w:val="00204B50"/>
    <w:rsid w:val="00204FDC"/>
    <w:rsid w:val="00205069"/>
    <w:rsid w:val="00205736"/>
    <w:rsid w:val="00205BF9"/>
    <w:rsid w:val="002063CB"/>
    <w:rsid w:val="0020652F"/>
    <w:rsid w:val="00206530"/>
    <w:rsid w:val="002066B5"/>
    <w:rsid w:val="00206993"/>
    <w:rsid w:val="00206B79"/>
    <w:rsid w:val="00206FD4"/>
    <w:rsid w:val="002071F6"/>
    <w:rsid w:val="002076CD"/>
    <w:rsid w:val="002078CA"/>
    <w:rsid w:val="002079EF"/>
    <w:rsid w:val="00207DB0"/>
    <w:rsid w:val="00210323"/>
    <w:rsid w:val="00211299"/>
    <w:rsid w:val="002116FC"/>
    <w:rsid w:val="002119D7"/>
    <w:rsid w:val="0021238A"/>
    <w:rsid w:val="00212D9F"/>
    <w:rsid w:val="002132C9"/>
    <w:rsid w:val="00213498"/>
    <w:rsid w:val="002136C5"/>
    <w:rsid w:val="00213DF4"/>
    <w:rsid w:val="00214583"/>
    <w:rsid w:val="00214FE3"/>
    <w:rsid w:val="00215049"/>
    <w:rsid w:val="00215702"/>
    <w:rsid w:val="002159D7"/>
    <w:rsid w:val="0021662E"/>
    <w:rsid w:val="00216A43"/>
    <w:rsid w:val="00216B42"/>
    <w:rsid w:val="00217389"/>
    <w:rsid w:val="00217570"/>
    <w:rsid w:val="002176E2"/>
    <w:rsid w:val="00217725"/>
    <w:rsid w:val="0021788D"/>
    <w:rsid w:val="0022024F"/>
    <w:rsid w:val="00220C06"/>
    <w:rsid w:val="00220C8A"/>
    <w:rsid w:val="00220E6A"/>
    <w:rsid w:val="002215FE"/>
    <w:rsid w:val="00221910"/>
    <w:rsid w:val="002221EE"/>
    <w:rsid w:val="00222543"/>
    <w:rsid w:val="00222FAF"/>
    <w:rsid w:val="00223033"/>
    <w:rsid w:val="002230ED"/>
    <w:rsid w:val="00223718"/>
    <w:rsid w:val="002238A7"/>
    <w:rsid w:val="00223D65"/>
    <w:rsid w:val="00223F88"/>
    <w:rsid w:val="00224DCD"/>
    <w:rsid w:val="00224DCF"/>
    <w:rsid w:val="00224FB0"/>
    <w:rsid w:val="00225183"/>
    <w:rsid w:val="0022525B"/>
    <w:rsid w:val="00225404"/>
    <w:rsid w:val="002257D4"/>
    <w:rsid w:val="002259A0"/>
    <w:rsid w:val="00225A70"/>
    <w:rsid w:val="00225AB7"/>
    <w:rsid w:val="0022647D"/>
    <w:rsid w:val="00226755"/>
    <w:rsid w:val="0022687D"/>
    <w:rsid w:val="0022723C"/>
    <w:rsid w:val="002279E9"/>
    <w:rsid w:val="00227E56"/>
    <w:rsid w:val="00227F82"/>
    <w:rsid w:val="00230650"/>
    <w:rsid w:val="00230CE4"/>
    <w:rsid w:val="0023122D"/>
    <w:rsid w:val="00231B91"/>
    <w:rsid w:val="0023214F"/>
    <w:rsid w:val="00232A8E"/>
    <w:rsid w:val="002332E7"/>
    <w:rsid w:val="00233395"/>
    <w:rsid w:val="00233732"/>
    <w:rsid w:val="002338C2"/>
    <w:rsid w:val="00233E06"/>
    <w:rsid w:val="00233E67"/>
    <w:rsid w:val="002340BE"/>
    <w:rsid w:val="00234F56"/>
    <w:rsid w:val="002353DC"/>
    <w:rsid w:val="002358A1"/>
    <w:rsid w:val="00235DE6"/>
    <w:rsid w:val="00235F7B"/>
    <w:rsid w:val="00236D2B"/>
    <w:rsid w:val="00236DB5"/>
    <w:rsid w:val="00237533"/>
    <w:rsid w:val="00240079"/>
    <w:rsid w:val="002405BE"/>
    <w:rsid w:val="00240C44"/>
    <w:rsid w:val="00241466"/>
    <w:rsid w:val="002417AF"/>
    <w:rsid w:val="002419B4"/>
    <w:rsid w:val="00241B5B"/>
    <w:rsid w:val="00241BE7"/>
    <w:rsid w:val="00241F20"/>
    <w:rsid w:val="002427BE"/>
    <w:rsid w:val="00242A2C"/>
    <w:rsid w:val="00242DAE"/>
    <w:rsid w:val="00243264"/>
    <w:rsid w:val="00243778"/>
    <w:rsid w:val="00243FA9"/>
    <w:rsid w:val="00244430"/>
    <w:rsid w:val="00244A38"/>
    <w:rsid w:val="00244BDF"/>
    <w:rsid w:val="00244F55"/>
    <w:rsid w:val="00245787"/>
    <w:rsid w:val="00245ED7"/>
    <w:rsid w:val="002463E0"/>
    <w:rsid w:val="0024660D"/>
    <w:rsid w:val="00246813"/>
    <w:rsid w:val="002476B2"/>
    <w:rsid w:val="00247CD0"/>
    <w:rsid w:val="00250059"/>
    <w:rsid w:val="0025034F"/>
    <w:rsid w:val="002504D7"/>
    <w:rsid w:val="00250A2C"/>
    <w:rsid w:val="00250BDD"/>
    <w:rsid w:val="00250FED"/>
    <w:rsid w:val="002518CA"/>
    <w:rsid w:val="0025192E"/>
    <w:rsid w:val="00251A69"/>
    <w:rsid w:val="00251F2B"/>
    <w:rsid w:val="00252C73"/>
    <w:rsid w:val="002538F4"/>
    <w:rsid w:val="00253CE7"/>
    <w:rsid w:val="00253E20"/>
    <w:rsid w:val="00253F4C"/>
    <w:rsid w:val="00254137"/>
    <w:rsid w:val="002543C1"/>
    <w:rsid w:val="00254474"/>
    <w:rsid w:val="00255108"/>
    <w:rsid w:val="00255A2F"/>
    <w:rsid w:val="00255F41"/>
    <w:rsid w:val="002561D9"/>
    <w:rsid w:val="002562BD"/>
    <w:rsid w:val="00256B81"/>
    <w:rsid w:val="00256FB1"/>
    <w:rsid w:val="0025735F"/>
    <w:rsid w:val="00257364"/>
    <w:rsid w:val="002576F2"/>
    <w:rsid w:val="00257D42"/>
    <w:rsid w:val="002600F7"/>
    <w:rsid w:val="002609B7"/>
    <w:rsid w:val="00260BE7"/>
    <w:rsid w:val="002626D8"/>
    <w:rsid w:val="00262BD7"/>
    <w:rsid w:val="002630CA"/>
    <w:rsid w:val="0026379E"/>
    <w:rsid w:val="00263E13"/>
    <w:rsid w:val="00264018"/>
    <w:rsid w:val="0026406E"/>
    <w:rsid w:val="0026471A"/>
    <w:rsid w:val="0026494C"/>
    <w:rsid w:val="00264E33"/>
    <w:rsid w:val="00266AFB"/>
    <w:rsid w:val="0026741A"/>
    <w:rsid w:val="00267D9D"/>
    <w:rsid w:val="00271735"/>
    <w:rsid w:val="00272325"/>
    <w:rsid w:val="0027249E"/>
    <w:rsid w:val="00272B11"/>
    <w:rsid w:val="00272C29"/>
    <w:rsid w:val="00272E31"/>
    <w:rsid w:val="00273812"/>
    <w:rsid w:val="00274112"/>
    <w:rsid w:val="0027420C"/>
    <w:rsid w:val="00274FB5"/>
    <w:rsid w:val="002750F9"/>
    <w:rsid w:val="00275346"/>
    <w:rsid w:val="00275597"/>
    <w:rsid w:val="002756FA"/>
    <w:rsid w:val="00275ECE"/>
    <w:rsid w:val="002760BC"/>
    <w:rsid w:val="0027652E"/>
    <w:rsid w:val="00276AA7"/>
    <w:rsid w:val="002770A2"/>
    <w:rsid w:val="00277A6F"/>
    <w:rsid w:val="00277A7B"/>
    <w:rsid w:val="002800F6"/>
    <w:rsid w:val="00280939"/>
    <w:rsid w:val="00280B91"/>
    <w:rsid w:val="00281001"/>
    <w:rsid w:val="00281E78"/>
    <w:rsid w:val="0028252A"/>
    <w:rsid w:val="00282859"/>
    <w:rsid w:val="00282D85"/>
    <w:rsid w:val="00282DB0"/>
    <w:rsid w:val="00283823"/>
    <w:rsid w:val="00283993"/>
    <w:rsid w:val="00283F49"/>
    <w:rsid w:val="0028440F"/>
    <w:rsid w:val="00284CDD"/>
    <w:rsid w:val="002855B5"/>
    <w:rsid w:val="002858A8"/>
    <w:rsid w:val="00285F0F"/>
    <w:rsid w:val="00285F8B"/>
    <w:rsid w:val="002867DD"/>
    <w:rsid w:val="0028737F"/>
    <w:rsid w:val="002873FF"/>
    <w:rsid w:val="0028743D"/>
    <w:rsid w:val="002879A0"/>
    <w:rsid w:val="00287F45"/>
    <w:rsid w:val="00290657"/>
    <w:rsid w:val="00290969"/>
    <w:rsid w:val="00290EBA"/>
    <w:rsid w:val="0029104E"/>
    <w:rsid w:val="002910A2"/>
    <w:rsid w:val="00291907"/>
    <w:rsid w:val="00291A8D"/>
    <w:rsid w:val="00291BB7"/>
    <w:rsid w:val="00291C03"/>
    <w:rsid w:val="00291DED"/>
    <w:rsid w:val="00291F77"/>
    <w:rsid w:val="002920E0"/>
    <w:rsid w:val="0029268B"/>
    <w:rsid w:val="002926B3"/>
    <w:rsid w:val="00292B82"/>
    <w:rsid w:val="00292F0D"/>
    <w:rsid w:val="002934CB"/>
    <w:rsid w:val="002936CE"/>
    <w:rsid w:val="002937A8"/>
    <w:rsid w:val="00293B05"/>
    <w:rsid w:val="002942F9"/>
    <w:rsid w:val="0029434F"/>
    <w:rsid w:val="002947E1"/>
    <w:rsid w:val="00295210"/>
    <w:rsid w:val="002952E4"/>
    <w:rsid w:val="00295841"/>
    <w:rsid w:val="00295CEA"/>
    <w:rsid w:val="00295F67"/>
    <w:rsid w:val="00296089"/>
    <w:rsid w:val="00296707"/>
    <w:rsid w:val="00296A47"/>
    <w:rsid w:val="00297068"/>
    <w:rsid w:val="002972FF"/>
    <w:rsid w:val="00297558"/>
    <w:rsid w:val="00297D48"/>
    <w:rsid w:val="002A0402"/>
    <w:rsid w:val="002A0548"/>
    <w:rsid w:val="002A09DF"/>
    <w:rsid w:val="002A0E96"/>
    <w:rsid w:val="002A17FD"/>
    <w:rsid w:val="002A1896"/>
    <w:rsid w:val="002A275F"/>
    <w:rsid w:val="002A2A84"/>
    <w:rsid w:val="002A2F48"/>
    <w:rsid w:val="002A3592"/>
    <w:rsid w:val="002A367A"/>
    <w:rsid w:val="002A368B"/>
    <w:rsid w:val="002A373E"/>
    <w:rsid w:val="002A389A"/>
    <w:rsid w:val="002A43B6"/>
    <w:rsid w:val="002A43C2"/>
    <w:rsid w:val="002A4821"/>
    <w:rsid w:val="002A567A"/>
    <w:rsid w:val="002A5AC9"/>
    <w:rsid w:val="002A6842"/>
    <w:rsid w:val="002A6A1D"/>
    <w:rsid w:val="002A6BBC"/>
    <w:rsid w:val="002A6C07"/>
    <w:rsid w:val="002A6C67"/>
    <w:rsid w:val="002A707B"/>
    <w:rsid w:val="002A73B4"/>
    <w:rsid w:val="002A782E"/>
    <w:rsid w:val="002A7854"/>
    <w:rsid w:val="002A7D50"/>
    <w:rsid w:val="002A7E45"/>
    <w:rsid w:val="002A7E4B"/>
    <w:rsid w:val="002B09C9"/>
    <w:rsid w:val="002B110E"/>
    <w:rsid w:val="002B14F6"/>
    <w:rsid w:val="002B18B1"/>
    <w:rsid w:val="002B1AC8"/>
    <w:rsid w:val="002B1AF9"/>
    <w:rsid w:val="002B1E66"/>
    <w:rsid w:val="002B3477"/>
    <w:rsid w:val="002B384B"/>
    <w:rsid w:val="002B3F70"/>
    <w:rsid w:val="002B3FE9"/>
    <w:rsid w:val="002B4285"/>
    <w:rsid w:val="002B45E3"/>
    <w:rsid w:val="002B4D5F"/>
    <w:rsid w:val="002B4DA6"/>
    <w:rsid w:val="002B4E38"/>
    <w:rsid w:val="002B4E4B"/>
    <w:rsid w:val="002B51F8"/>
    <w:rsid w:val="002B532C"/>
    <w:rsid w:val="002B5682"/>
    <w:rsid w:val="002B5905"/>
    <w:rsid w:val="002B5C09"/>
    <w:rsid w:val="002B6496"/>
    <w:rsid w:val="002B6685"/>
    <w:rsid w:val="002B6799"/>
    <w:rsid w:val="002B6E2B"/>
    <w:rsid w:val="002B6EAE"/>
    <w:rsid w:val="002B734A"/>
    <w:rsid w:val="002B78B2"/>
    <w:rsid w:val="002C00EB"/>
    <w:rsid w:val="002C0B9D"/>
    <w:rsid w:val="002C0D80"/>
    <w:rsid w:val="002C0FC2"/>
    <w:rsid w:val="002C11F8"/>
    <w:rsid w:val="002C2098"/>
    <w:rsid w:val="002C272E"/>
    <w:rsid w:val="002C280D"/>
    <w:rsid w:val="002C2ABA"/>
    <w:rsid w:val="002C2AF1"/>
    <w:rsid w:val="002C2FCB"/>
    <w:rsid w:val="002C315F"/>
    <w:rsid w:val="002C3166"/>
    <w:rsid w:val="002C31B4"/>
    <w:rsid w:val="002C42CF"/>
    <w:rsid w:val="002C4815"/>
    <w:rsid w:val="002C4DFC"/>
    <w:rsid w:val="002C4F48"/>
    <w:rsid w:val="002C5376"/>
    <w:rsid w:val="002C55A0"/>
    <w:rsid w:val="002C589F"/>
    <w:rsid w:val="002C58F6"/>
    <w:rsid w:val="002C5FF0"/>
    <w:rsid w:val="002C606D"/>
    <w:rsid w:val="002C6A3E"/>
    <w:rsid w:val="002C6A82"/>
    <w:rsid w:val="002C6B30"/>
    <w:rsid w:val="002C6F8C"/>
    <w:rsid w:val="002C7BE9"/>
    <w:rsid w:val="002D0335"/>
    <w:rsid w:val="002D0860"/>
    <w:rsid w:val="002D156F"/>
    <w:rsid w:val="002D2253"/>
    <w:rsid w:val="002D2BFA"/>
    <w:rsid w:val="002D2D58"/>
    <w:rsid w:val="002D34AC"/>
    <w:rsid w:val="002D4697"/>
    <w:rsid w:val="002D4786"/>
    <w:rsid w:val="002D5BE1"/>
    <w:rsid w:val="002D5FF3"/>
    <w:rsid w:val="002D6414"/>
    <w:rsid w:val="002D6AFA"/>
    <w:rsid w:val="002D6EFE"/>
    <w:rsid w:val="002D79BC"/>
    <w:rsid w:val="002D7B22"/>
    <w:rsid w:val="002D7C6A"/>
    <w:rsid w:val="002E0A70"/>
    <w:rsid w:val="002E0E05"/>
    <w:rsid w:val="002E0F60"/>
    <w:rsid w:val="002E16FB"/>
    <w:rsid w:val="002E2195"/>
    <w:rsid w:val="002E21E3"/>
    <w:rsid w:val="002E2875"/>
    <w:rsid w:val="002E2E92"/>
    <w:rsid w:val="002E3A21"/>
    <w:rsid w:val="002E3D11"/>
    <w:rsid w:val="002E3DC9"/>
    <w:rsid w:val="002E4970"/>
    <w:rsid w:val="002E4A9F"/>
    <w:rsid w:val="002E4B75"/>
    <w:rsid w:val="002E4C67"/>
    <w:rsid w:val="002E4FF1"/>
    <w:rsid w:val="002E589F"/>
    <w:rsid w:val="002E5998"/>
    <w:rsid w:val="002E5C5B"/>
    <w:rsid w:val="002E6173"/>
    <w:rsid w:val="002E642A"/>
    <w:rsid w:val="002E6930"/>
    <w:rsid w:val="002E6BF3"/>
    <w:rsid w:val="002E6E48"/>
    <w:rsid w:val="002E71BF"/>
    <w:rsid w:val="002E73EA"/>
    <w:rsid w:val="002E7600"/>
    <w:rsid w:val="002E78DF"/>
    <w:rsid w:val="002F0527"/>
    <w:rsid w:val="002F064C"/>
    <w:rsid w:val="002F065B"/>
    <w:rsid w:val="002F0665"/>
    <w:rsid w:val="002F07CF"/>
    <w:rsid w:val="002F0893"/>
    <w:rsid w:val="002F099C"/>
    <w:rsid w:val="002F0E33"/>
    <w:rsid w:val="002F0E9C"/>
    <w:rsid w:val="002F1456"/>
    <w:rsid w:val="002F146D"/>
    <w:rsid w:val="002F1638"/>
    <w:rsid w:val="002F2388"/>
    <w:rsid w:val="002F2458"/>
    <w:rsid w:val="002F2465"/>
    <w:rsid w:val="002F3125"/>
    <w:rsid w:val="002F37B3"/>
    <w:rsid w:val="002F3A5E"/>
    <w:rsid w:val="002F4063"/>
    <w:rsid w:val="002F437B"/>
    <w:rsid w:val="002F4D90"/>
    <w:rsid w:val="002F501C"/>
    <w:rsid w:val="002F50D7"/>
    <w:rsid w:val="002F5302"/>
    <w:rsid w:val="002F5A1A"/>
    <w:rsid w:val="002F5FCF"/>
    <w:rsid w:val="002F647B"/>
    <w:rsid w:val="002F65B8"/>
    <w:rsid w:val="002F6B15"/>
    <w:rsid w:val="002F70E6"/>
    <w:rsid w:val="002F7262"/>
    <w:rsid w:val="002F78E8"/>
    <w:rsid w:val="0030063A"/>
    <w:rsid w:val="00300862"/>
    <w:rsid w:val="0030147B"/>
    <w:rsid w:val="0030150E"/>
    <w:rsid w:val="0030170C"/>
    <w:rsid w:val="00301984"/>
    <w:rsid w:val="00301E71"/>
    <w:rsid w:val="0030217A"/>
    <w:rsid w:val="00302562"/>
    <w:rsid w:val="00302767"/>
    <w:rsid w:val="003028D9"/>
    <w:rsid w:val="003031AC"/>
    <w:rsid w:val="00303C4B"/>
    <w:rsid w:val="00303F18"/>
    <w:rsid w:val="003041FF"/>
    <w:rsid w:val="003043B3"/>
    <w:rsid w:val="00304609"/>
    <w:rsid w:val="00304E45"/>
    <w:rsid w:val="00305005"/>
    <w:rsid w:val="00305088"/>
    <w:rsid w:val="003052F1"/>
    <w:rsid w:val="00305DC4"/>
    <w:rsid w:val="00305F72"/>
    <w:rsid w:val="003061A1"/>
    <w:rsid w:val="003061E0"/>
    <w:rsid w:val="003076E7"/>
    <w:rsid w:val="003078B1"/>
    <w:rsid w:val="00307B57"/>
    <w:rsid w:val="003102F7"/>
    <w:rsid w:val="003105D9"/>
    <w:rsid w:val="003106A9"/>
    <w:rsid w:val="00310AEA"/>
    <w:rsid w:val="00310D37"/>
    <w:rsid w:val="003113AD"/>
    <w:rsid w:val="00311498"/>
    <w:rsid w:val="0031158D"/>
    <w:rsid w:val="00312638"/>
    <w:rsid w:val="003126ED"/>
    <w:rsid w:val="003129FA"/>
    <w:rsid w:val="00312FEA"/>
    <w:rsid w:val="00313101"/>
    <w:rsid w:val="003131BA"/>
    <w:rsid w:val="0031365F"/>
    <w:rsid w:val="00313EEA"/>
    <w:rsid w:val="00314355"/>
    <w:rsid w:val="0031499C"/>
    <w:rsid w:val="003149D2"/>
    <w:rsid w:val="00315119"/>
    <w:rsid w:val="0031569C"/>
    <w:rsid w:val="003160C5"/>
    <w:rsid w:val="003163AE"/>
    <w:rsid w:val="003163B4"/>
    <w:rsid w:val="00316467"/>
    <w:rsid w:val="00316E06"/>
    <w:rsid w:val="00317139"/>
    <w:rsid w:val="00317613"/>
    <w:rsid w:val="00317856"/>
    <w:rsid w:val="00317E92"/>
    <w:rsid w:val="00320371"/>
    <w:rsid w:val="003203D2"/>
    <w:rsid w:val="003203E4"/>
    <w:rsid w:val="003204C5"/>
    <w:rsid w:val="003204D5"/>
    <w:rsid w:val="00320C2A"/>
    <w:rsid w:val="0032163E"/>
    <w:rsid w:val="00321684"/>
    <w:rsid w:val="00321E11"/>
    <w:rsid w:val="00322521"/>
    <w:rsid w:val="00322550"/>
    <w:rsid w:val="00322A56"/>
    <w:rsid w:val="00322FF9"/>
    <w:rsid w:val="00323364"/>
    <w:rsid w:val="003233F3"/>
    <w:rsid w:val="00323712"/>
    <w:rsid w:val="003239E3"/>
    <w:rsid w:val="00323CCE"/>
    <w:rsid w:val="003243A5"/>
    <w:rsid w:val="00324F53"/>
    <w:rsid w:val="0032569A"/>
    <w:rsid w:val="003257D3"/>
    <w:rsid w:val="00325814"/>
    <w:rsid w:val="00325C6B"/>
    <w:rsid w:val="00325CA2"/>
    <w:rsid w:val="00326297"/>
    <w:rsid w:val="0032643F"/>
    <w:rsid w:val="00326AD0"/>
    <w:rsid w:val="00326EB6"/>
    <w:rsid w:val="00326EE9"/>
    <w:rsid w:val="00327048"/>
    <w:rsid w:val="00327727"/>
    <w:rsid w:val="00327819"/>
    <w:rsid w:val="00327B65"/>
    <w:rsid w:val="00327B73"/>
    <w:rsid w:val="003307E6"/>
    <w:rsid w:val="00330B4C"/>
    <w:rsid w:val="00330DA1"/>
    <w:rsid w:val="00330DFD"/>
    <w:rsid w:val="003313E9"/>
    <w:rsid w:val="00331416"/>
    <w:rsid w:val="00331464"/>
    <w:rsid w:val="00331988"/>
    <w:rsid w:val="00332342"/>
    <w:rsid w:val="00332392"/>
    <w:rsid w:val="00332BF8"/>
    <w:rsid w:val="00333BAE"/>
    <w:rsid w:val="0033405B"/>
    <w:rsid w:val="003342D5"/>
    <w:rsid w:val="00334408"/>
    <w:rsid w:val="003345A8"/>
    <w:rsid w:val="00334F48"/>
    <w:rsid w:val="003351B9"/>
    <w:rsid w:val="00335FE1"/>
    <w:rsid w:val="00336247"/>
    <w:rsid w:val="003364AD"/>
    <w:rsid w:val="003366E2"/>
    <w:rsid w:val="003373E5"/>
    <w:rsid w:val="00337631"/>
    <w:rsid w:val="00340072"/>
    <w:rsid w:val="00340362"/>
    <w:rsid w:val="00340515"/>
    <w:rsid w:val="0034075E"/>
    <w:rsid w:val="00340A5B"/>
    <w:rsid w:val="00340CA8"/>
    <w:rsid w:val="00340D58"/>
    <w:rsid w:val="003411E5"/>
    <w:rsid w:val="00341209"/>
    <w:rsid w:val="00341FAB"/>
    <w:rsid w:val="00342006"/>
    <w:rsid w:val="003421C2"/>
    <w:rsid w:val="00342AE8"/>
    <w:rsid w:val="00342D2D"/>
    <w:rsid w:val="00343160"/>
    <w:rsid w:val="00343342"/>
    <w:rsid w:val="00343737"/>
    <w:rsid w:val="0034377A"/>
    <w:rsid w:val="00343B18"/>
    <w:rsid w:val="00343C82"/>
    <w:rsid w:val="00343D87"/>
    <w:rsid w:val="00344075"/>
    <w:rsid w:val="003445C9"/>
    <w:rsid w:val="0034465A"/>
    <w:rsid w:val="0034468A"/>
    <w:rsid w:val="0034588B"/>
    <w:rsid w:val="00345D4A"/>
    <w:rsid w:val="0034670A"/>
    <w:rsid w:val="00346ECB"/>
    <w:rsid w:val="0034718D"/>
    <w:rsid w:val="00347332"/>
    <w:rsid w:val="003479B2"/>
    <w:rsid w:val="00347A62"/>
    <w:rsid w:val="00347CB9"/>
    <w:rsid w:val="00347D45"/>
    <w:rsid w:val="00347D5A"/>
    <w:rsid w:val="0035050C"/>
    <w:rsid w:val="0035098A"/>
    <w:rsid w:val="003509DE"/>
    <w:rsid w:val="00351BC8"/>
    <w:rsid w:val="00352285"/>
    <w:rsid w:val="003528E5"/>
    <w:rsid w:val="00352AE1"/>
    <w:rsid w:val="00353051"/>
    <w:rsid w:val="0035339C"/>
    <w:rsid w:val="00353FBD"/>
    <w:rsid w:val="003545AD"/>
    <w:rsid w:val="003549C0"/>
    <w:rsid w:val="00354A68"/>
    <w:rsid w:val="00355A02"/>
    <w:rsid w:val="00355A3A"/>
    <w:rsid w:val="00355D3A"/>
    <w:rsid w:val="003565C2"/>
    <w:rsid w:val="003567EA"/>
    <w:rsid w:val="00356918"/>
    <w:rsid w:val="00356B40"/>
    <w:rsid w:val="00357537"/>
    <w:rsid w:val="003576B8"/>
    <w:rsid w:val="00357752"/>
    <w:rsid w:val="003578C2"/>
    <w:rsid w:val="00357EA6"/>
    <w:rsid w:val="00360217"/>
    <w:rsid w:val="00360BD5"/>
    <w:rsid w:val="003616B2"/>
    <w:rsid w:val="00362318"/>
    <w:rsid w:val="003623AA"/>
    <w:rsid w:val="003624C2"/>
    <w:rsid w:val="00362D86"/>
    <w:rsid w:val="00362DFE"/>
    <w:rsid w:val="00362FAD"/>
    <w:rsid w:val="0036330D"/>
    <w:rsid w:val="00363650"/>
    <w:rsid w:val="003639F7"/>
    <w:rsid w:val="00363FF4"/>
    <w:rsid w:val="00364337"/>
    <w:rsid w:val="00364F9A"/>
    <w:rsid w:val="0036519A"/>
    <w:rsid w:val="003655A3"/>
    <w:rsid w:val="003655FC"/>
    <w:rsid w:val="00365976"/>
    <w:rsid w:val="00365A28"/>
    <w:rsid w:val="00365C51"/>
    <w:rsid w:val="00366058"/>
    <w:rsid w:val="00366A5B"/>
    <w:rsid w:val="00366A5C"/>
    <w:rsid w:val="00366F2C"/>
    <w:rsid w:val="00366F4C"/>
    <w:rsid w:val="003673CA"/>
    <w:rsid w:val="00367A00"/>
    <w:rsid w:val="00370829"/>
    <w:rsid w:val="0037094E"/>
    <w:rsid w:val="00370B6B"/>
    <w:rsid w:val="00370CE8"/>
    <w:rsid w:val="003712F4"/>
    <w:rsid w:val="003714B3"/>
    <w:rsid w:val="003714DA"/>
    <w:rsid w:val="00371871"/>
    <w:rsid w:val="00371A36"/>
    <w:rsid w:val="00372120"/>
    <w:rsid w:val="00372EA9"/>
    <w:rsid w:val="003734A5"/>
    <w:rsid w:val="00373769"/>
    <w:rsid w:val="00373E06"/>
    <w:rsid w:val="00374398"/>
    <w:rsid w:val="003744BF"/>
    <w:rsid w:val="00374F29"/>
    <w:rsid w:val="00374FD1"/>
    <w:rsid w:val="00375389"/>
    <w:rsid w:val="0037583B"/>
    <w:rsid w:val="00375E75"/>
    <w:rsid w:val="0037608F"/>
    <w:rsid w:val="00376657"/>
    <w:rsid w:val="00376AED"/>
    <w:rsid w:val="00376C50"/>
    <w:rsid w:val="00376DD6"/>
    <w:rsid w:val="00376E6A"/>
    <w:rsid w:val="00377C3C"/>
    <w:rsid w:val="00377CD0"/>
    <w:rsid w:val="00377D3F"/>
    <w:rsid w:val="00377DD0"/>
    <w:rsid w:val="00377E2D"/>
    <w:rsid w:val="0038006E"/>
    <w:rsid w:val="00380EDA"/>
    <w:rsid w:val="003814C4"/>
    <w:rsid w:val="003816E5"/>
    <w:rsid w:val="00381788"/>
    <w:rsid w:val="00381EAB"/>
    <w:rsid w:val="003820C6"/>
    <w:rsid w:val="003821B2"/>
    <w:rsid w:val="00382604"/>
    <w:rsid w:val="00382B59"/>
    <w:rsid w:val="00382C07"/>
    <w:rsid w:val="00382C12"/>
    <w:rsid w:val="00382F10"/>
    <w:rsid w:val="00382F84"/>
    <w:rsid w:val="00383104"/>
    <w:rsid w:val="0038315A"/>
    <w:rsid w:val="003834F8"/>
    <w:rsid w:val="00383977"/>
    <w:rsid w:val="00383AD9"/>
    <w:rsid w:val="00383AF5"/>
    <w:rsid w:val="00384230"/>
    <w:rsid w:val="003845A2"/>
    <w:rsid w:val="003847BD"/>
    <w:rsid w:val="00384F94"/>
    <w:rsid w:val="003854C2"/>
    <w:rsid w:val="00385EE3"/>
    <w:rsid w:val="00386019"/>
    <w:rsid w:val="003861BC"/>
    <w:rsid w:val="003864E9"/>
    <w:rsid w:val="00386C93"/>
    <w:rsid w:val="00386EA8"/>
    <w:rsid w:val="00387CD9"/>
    <w:rsid w:val="00390391"/>
    <w:rsid w:val="00390400"/>
    <w:rsid w:val="00390AF8"/>
    <w:rsid w:val="00392036"/>
    <w:rsid w:val="003921B5"/>
    <w:rsid w:val="003923DE"/>
    <w:rsid w:val="003924D7"/>
    <w:rsid w:val="003927AC"/>
    <w:rsid w:val="00392D06"/>
    <w:rsid w:val="00393167"/>
    <w:rsid w:val="003932CF"/>
    <w:rsid w:val="003936B1"/>
    <w:rsid w:val="003946CE"/>
    <w:rsid w:val="00394B9D"/>
    <w:rsid w:val="00394C39"/>
    <w:rsid w:val="0039528B"/>
    <w:rsid w:val="0039534B"/>
    <w:rsid w:val="0039535A"/>
    <w:rsid w:val="003953CD"/>
    <w:rsid w:val="0039555A"/>
    <w:rsid w:val="0039610B"/>
    <w:rsid w:val="0039659C"/>
    <w:rsid w:val="003978D2"/>
    <w:rsid w:val="00397EC0"/>
    <w:rsid w:val="00397F0E"/>
    <w:rsid w:val="003A0538"/>
    <w:rsid w:val="003A0F1B"/>
    <w:rsid w:val="003A11CF"/>
    <w:rsid w:val="003A1274"/>
    <w:rsid w:val="003A146C"/>
    <w:rsid w:val="003A1793"/>
    <w:rsid w:val="003A263E"/>
    <w:rsid w:val="003A2D48"/>
    <w:rsid w:val="003A3303"/>
    <w:rsid w:val="003A3539"/>
    <w:rsid w:val="003A3A7C"/>
    <w:rsid w:val="003A4086"/>
    <w:rsid w:val="003A425A"/>
    <w:rsid w:val="003A46B6"/>
    <w:rsid w:val="003A4764"/>
    <w:rsid w:val="003A4E5C"/>
    <w:rsid w:val="003A4EB5"/>
    <w:rsid w:val="003A50FF"/>
    <w:rsid w:val="003A54EA"/>
    <w:rsid w:val="003A5843"/>
    <w:rsid w:val="003A5ACB"/>
    <w:rsid w:val="003A5DE2"/>
    <w:rsid w:val="003A6F63"/>
    <w:rsid w:val="003A6F8E"/>
    <w:rsid w:val="003A77D9"/>
    <w:rsid w:val="003B0279"/>
    <w:rsid w:val="003B0675"/>
    <w:rsid w:val="003B1313"/>
    <w:rsid w:val="003B1C6A"/>
    <w:rsid w:val="003B1E29"/>
    <w:rsid w:val="003B21C0"/>
    <w:rsid w:val="003B2760"/>
    <w:rsid w:val="003B2929"/>
    <w:rsid w:val="003B2D07"/>
    <w:rsid w:val="003B308E"/>
    <w:rsid w:val="003B31F8"/>
    <w:rsid w:val="003B3621"/>
    <w:rsid w:val="003B427B"/>
    <w:rsid w:val="003B537B"/>
    <w:rsid w:val="003B59E5"/>
    <w:rsid w:val="003B5CFD"/>
    <w:rsid w:val="003B5DC9"/>
    <w:rsid w:val="003B623B"/>
    <w:rsid w:val="003B62B2"/>
    <w:rsid w:val="003B666D"/>
    <w:rsid w:val="003B726F"/>
    <w:rsid w:val="003B7476"/>
    <w:rsid w:val="003B760D"/>
    <w:rsid w:val="003B7A76"/>
    <w:rsid w:val="003C04B0"/>
    <w:rsid w:val="003C085F"/>
    <w:rsid w:val="003C0AB9"/>
    <w:rsid w:val="003C0CA5"/>
    <w:rsid w:val="003C1985"/>
    <w:rsid w:val="003C1E9F"/>
    <w:rsid w:val="003C206A"/>
    <w:rsid w:val="003C2DA1"/>
    <w:rsid w:val="003C2E41"/>
    <w:rsid w:val="003C3355"/>
    <w:rsid w:val="003C399B"/>
    <w:rsid w:val="003C4045"/>
    <w:rsid w:val="003C4210"/>
    <w:rsid w:val="003C4413"/>
    <w:rsid w:val="003C48CE"/>
    <w:rsid w:val="003C4C29"/>
    <w:rsid w:val="003C4E68"/>
    <w:rsid w:val="003C5C3A"/>
    <w:rsid w:val="003C646B"/>
    <w:rsid w:val="003C66F8"/>
    <w:rsid w:val="003C6ED2"/>
    <w:rsid w:val="003C72FD"/>
    <w:rsid w:val="003C7569"/>
    <w:rsid w:val="003C769E"/>
    <w:rsid w:val="003C7772"/>
    <w:rsid w:val="003C7DC1"/>
    <w:rsid w:val="003D06FC"/>
    <w:rsid w:val="003D0928"/>
    <w:rsid w:val="003D0AC2"/>
    <w:rsid w:val="003D0C55"/>
    <w:rsid w:val="003D0E04"/>
    <w:rsid w:val="003D128E"/>
    <w:rsid w:val="003D15AB"/>
    <w:rsid w:val="003D1760"/>
    <w:rsid w:val="003D18A1"/>
    <w:rsid w:val="003D1A29"/>
    <w:rsid w:val="003D1AB3"/>
    <w:rsid w:val="003D1BE6"/>
    <w:rsid w:val="003D22E3"/>
    <w:rsid w:val="003D23D2"/>
    <w:rsid w:val="003D24BC"/>
    <w:rsid w:val="003D2785"/>
    <w:rsid w:val="003D2D61"/>
    <w:rsid w:val="003D2DE8"/>
    <w:rsid w:val="003D3161"/>
    <w:rsid w:val="003D3627"/>
    <w:rsid w:val="003D3F44"/>
    <w:rsid w:val="003D483A"/>
    <w:rsid w:val="003D5589"/>
    <w:rsid w:val="003D58EF"/>
    <w:rsid w:val="003D5DEB"/>
    <w:rsid w:val="003D6535"/>
    <w:rsid w:val="003D6815"/>
    <w:rsid w:val="003D6FCB"/>
    <w:rsid w:val="003D72B3"/>
    <w:rsid w:val="003D73AD"/>
    <w:rsid w:val="003D7FD8"/>
    <w:rsid w:val="003E0181"/>
    <w:rsid w:val="003E0385"/>
    <w:rsid w:val="003E057A"/>
    <w:rsid w:val="003E102D"/>
    <w:rsid w:val="003E10F3"/>
    <w:rsid w:val="003E14A1"/>
    <w:rsid w:val="003E14A7"/>
    <w:rsid w:val="003E1707"/>
    <w:rsid w:val="003E1FBB"/>
    <w:rsid w:val="003E2520"/>
    <w:rsid w:val="003E2BD9"/>
    <w:rsid w:val="003E34FB"/>
    <w:rsid w:val="003E420B"/>
    <w:rsid w:val="003E43A6"/>
    <w:rsid w:val="003E4497"/>
    <w:rsid w:val="003E44D9"/>
    <w:rsid w:val="003E4542"/>
    <w:rsid w:val="003E487A"/>
    <w:rsid w:val="003E4986"/>
    <w:rsid w:val="003E4B9F"/>
    <w:rsid w:val="003E4FCE"/>
    <w:rsid w:val="003E5679"/>
    <w:rsid w:val="003E642A"/>
    <w:rsid w:val="003E6A48"/>
    <w:rsid w:val="003E6A96"/>
    <w:rsid w:val="003E761C"/>
    <w:rsid w:val="003E7668"/>
    <w:rsid w:val="003E7710"/>
    <w:rsid w:val="003E7E65"/>
    <w:rsid w:val="003F05BC"/>
    <w:rsid w:val="003F089B"/>
    <w:rsid w:val="003F121B"/>
    <w:rsid w:val="003F1652"/>
    <w:rsid w:val="003F19F3"/>
    <w:rsid w:val="003F1D94"/>
    <w:rsid w:val="003F246A"/>
    <w:rsid w:val="003F2882"/>
    <w:rsid w:val="003F2DF0"/>
    <w:rsid w:val="003F2E04"/>
    <w:rsid w:val="003F346F"/>
    <w:rsid w:val="003F4278"/>
    <w:rsid w:val="003F4459"/>
    <w:rsid w:val="003F456A"/>
    <w:rsid w:val="003F4B91"/>
    <w:rsid w:val="003F4F61"/>
    <w:rsid w:val="003F4F65"/>
    <w:rsid w:val="003F52B3"/>
    <w:rsid w:val="003F58E1"/>
    <w:rsid w:val="003F5D08"/>
    <w:rsid w:val="003F5F24"/>
    <w:rsid w:val="003F6426"/>
    <w:rsid w:val="003F6CAE"/>
    <w:rsid w:val="003F6FBD"/>
    <w:rsid w:val="003F70A0"/>
    <w:rsid w:val="003F757F"/>
    <w:rsid w:val="003F76E6"/>
    <w:rsid w:val="003F790C"/>
    <w:rsid w:val="003F7A15"/>
    <w:rsid w:val="003F7E8E"/>
    <w:rsid w:val="004000F1"/>
    <w:rsid w:val="00400147"/>
    <w:rsid w:val="0040035A"/>
    <w:rsid w:val="00400858"/>
    <w:rsid w:val="00400CB3"/>
    <w:rsid w:val="00400ECB"/>
    <w:rsid w:val="00400F7E"/>
    <w:rsid w:val="00400FB9"/>
    <w:rsid w:val="0040114D"/>
    <w:rsid w:val="00401DE5"/>
    <w:rsid w:val="00402169"/>
    <w:rsid w:val="004022F9"/>
    <w:rsid w:val="00402416"/>
    <w:rsid w:val="0040267A"/>
    <w:rsid w:val="0040270A"/>
    <w:rsid w:val="00402A16"/>
    <w:rsid w:val="00402BE5"/>
    <w:rsid w:val="00402F10"/>
    <w:rsid w:val="00403317"/>
    <w:rsid w:val="0040424E"/>
    <w:rsid w:val="00404FE3"/>
    <w:rsid w:val="00404FF3"/>
    <w:rsid w:val="004054D9"/>
    <w:rsid w:val="00405CA1"/>
    <w:rsid w:val="00405DA5"/>
    <w:rsid w:val="00405F06"/>
    <w:rsid w:val="0040628C"/>
    <w:rsid w:val="0040649E"/>
    <w:rsid w:val="00406AD3"/>
    <w:rsid w:val="00406B67"/>
    <w:rsid w:val="00406D9D"/>
    <w:rsid w:val="004071D7"/>
    <w:rsid w:val="0040723A"/>
    <w:rsid w:val="00407645"/>
    <w:rsid w:val="00407701"/>
    <w:rsid w:val="00407C2B"/>
    <w:rsid w:val="0041028E"/>
    <w:rsid w:val="004105EE"/>
    <w:rsid w:val="00410949"/>
    <w:rsid w:val="0041125D"/>
    <w:rsid w:val="00411477"/>
    <w:rsid w:val="004118A6"/>
    <w:rsid w:val="004119AF"/>
    <w:rsid w:val="00411B48"/>
    <w:rsid w:val="00411D57"/>
    <w:rsid w:val="00412713"/>
    <w:rsid w:val="004127B3"/>
    <w:rsid w:val="00412882"/>
    <w:rsid w:val="00412887"/>
    <w:rsid w:val="00413016"/>
    <w:rsid w:val="004132C3"/>
    <w:rsid w:val="00413491"/>
    <w:rsid w:val="004139D5"/>
    <w:rsid w:val="00413B76"/>
    <w:rsid w:val="00413DF7"/>
    <w:rsid w:val="004144BE"/>
    <w:rsid w:val="0041452E"/>
    <w:rsid w:val="00414599"/>
    <w:rsid w:val="00414715"/>
    <w:rsid w:val="00414902"/>
    <w:rsid w:val="0041526E"/>
    <w:rsid w:val="004153DC"/>
    <w:rsid w:val="00415BBB"/>
    <w:rsid w:val="00416AE9"/>
    <w:rsid w:val="00416E65"/>
    <w:rsid w:val="00417210"/>
    <w:rsid w:val="004174E1"/>
    <w:rsid w:val="00417A44"/>
    <w:rsid w:val="00417DAB"/>
    <w:rsid w:val="00420004"/>
    <w:rsid w:val="00420032"/>
    <w:rsid w:val="0042037C"/>
    <w:rsid w:val="004210A6"/>
    <w:rsid w:val="00421253"/>
    <w:rsid w:val="00421661"/>
    <w:rsid w:val="00421D74"/>
    <w:rsid w:val="00421F5D"/>
    <w:rsid w:val="00422265"/>
    <w:rsid w:val="00422431"/>
    <w:rsid w:val="00422798"/>
    <w:rsid w:val="004228EE"/>
    <w:rsid w:val="00423405"/>
    <w:rsid w:val="00423B33"/>
    <w:rsid w:val="0042426B"/>
    <w:rsid w:val="00424382"/>
    <w:rsid w:val="004245F5"/>
    <w:rsid w:val="00424CAC"/>
    <w:rsid w:val="00424CD6"/>
    <w:rsid w:val="00424E69"/>
    <w:rsid w:val="00425723"/>
    <w:rsid w:val="00425B42"/>
    <w:rsid w:val="00425C24"/>
    <w:rsid w:val="00425D02"/>
    <w:rsid w:val="00425DE0"/>
    <w:rsid w:val="00426146"/>
    <w:rsid w:val="00426192"/>
    <w:rsid w:val="004265DD"/>
    <w:rsid w:val="00426932"/>
    <w:rsid w:val="00426EB4"/>
    <w:rsid w:val="00426FE1"/>
    <w:rsid w:val="004279FB"/>
    <w:rsid w:val="00427EAF"/>
    <w:rsid w:val="004303D1"/>
    <w:rsid w:val="004308A7"/>
    <w:rsid w:val="00430E85"/>
    <w:rsid w:val="004310B4"/>
    <w:rsid w:val="0043112F"/>
    <w:rsid w:val="004312B5"/>
    <w:rsid w:val="00431F2D"/>
    <w:rsid w:val="004321B6"/>
    <w:rsid w:val="00432606"/>
    <w:rsid w:val="00432BEE"/>
    <w:rsid w:val="00432C0E"/>
    <w:rsid w:val="00432CEC"/>
    <w:rsid w:val="00432F3D"/>
    <w:rsid w:val="00432F80"/>
    <w:rsid w:val="0043330E"/>
    <w:rsid w:val="004338CF"/>
    <w:rsid w:val="00433D1B"/>
    <w:rsid w:val="0043437C"/>
    <w:rsid w:val="00434AEB"/>
    <w:rsid w:val="004352B8"/>
    <w:rsid w:val="00435995"/>
    <w:rsid w:val="00435EAD"/>
    <w:rsid w:val="004368F4"/>
    <w:rsid w:val="00436A12"/>
    <w:rsid w:val="00436B3C"/>
    <w:rsid w:val="00436DA9"/>
    <w:rsid w:val="004371D0"/>
    <w:rsid w:val="0043739F"/>
    <w:rsid w:val="004373D1"/>
    <w:rsid w:val="00437432"/>
    <w:rsid w:val="0043762C"/>
    <w:rsid w:val="00437A80"/>
    <w:rsid w:val="00437EF4"/>
    <w:rsid w:val="00440317"/>
    <w:rsid w:val="004403A3"/>
    <w:rsid w:val="0044042D"/>
    <w:rsid w:val="00440718"/>
    <w:rsid w:val="00440795"/>
    <w:rsid w:val="00440B28"/>
    <w:rsid w:val="00440E2B"/>
    <w:rsid w:val="00441349"/>
    <w:rsid w:val="00441528"/>
    <w:rsid w:val="00441B81"/>
    <w:rsid w:val="00441E28"/>
    <w:rsid w:val="00441F14"/>
    <w:rsid w:val="00442D24"/>
    <w:rsid w:val="00442D88"/>
    <w:rsid w:val="004434FC"/>
    <w:rsid w:val="00443933"/>
    <w:rsid w:val="00443B13"/>
    <w:rsid w:val="00443B31"/>
    <w:rsid w:val="00443C92"/>
    <w:rsid w:val="00443F05"/>
    <w:rsid w:val="00444535"/>
    <w:rsid w:val="004450FF"/>
    <w:rsid w:val="004451BF"/>
    <w:rsid w:val="0044576B"/>
    <w:rsid w:val="00446009"/>
    <w:rsid w:val="00446234"/>
    <w:rsid w:val="0044647E"/>
    <w:rsid w:val="00446937"/>
    <w:rsid w:val="00446D7C"/>
    <w:rsid w:val="00447AF6"/>
    <w:rsid w:val="00447EE8"/>
    <w:rsid w:val="004501E0"/>
    <w:rsid w:val="004502E3"/>
    <w:rsid w:val="00450948"/>
    <w:rsid w:val="004509E4"/>
    <w:rsid w:val="00450BC7"/>
    <w:rsid w:val="00450C21"/>
    <w:rsid w:val="0045139C"/>
    <w:rsid w:val="00451602"/>
    <w:rsid w:val="00451768"/>
    <w:rsid w:val="004517A8"/>
    <w:rsid w:val="004517B3"/>
    <w:rsid w:val="00451926"/>
    <w:rsid w:val="004520DF"/>
    <w:rsid w:val="00452896"/>
    <w:rsid w:val="00452D98"/>
    <w:rsid w:val="00452DEC"/>
    <w:rsid w:val="00452EA9"/>
    <w:rsid w:val="00452FA8"/>
    <w:rsid w:val="004531D1"/>
    <w:rsid w:val="004536B1"/>
    <w:rsid w:val="00453A88"/>
    <w:rsid w:val="00453ABC"/>
    <w:rsid w:val="00453BB7"/>
    <w:rsid w:val="00453C4F"/>
    <w:rsid w:val="0045423F"/>
    <w:rsid w:val="00454964"/>
    <w:rsid w:val="00454991"/>
    <w:rsid w:val="00454D42"/>
    <w:rsid w:val="00455377"/>
    <w:rsid w:val="00455593"/>
    <w:rsid w:val="0045586C"/>
    <w:rsid w:val="00455ACD"/>
    <w:rsid w:val="00455B81"/>
    <w:rsid w:val="00457403"/>
    <w:rsid w:val="004601C5"/>
    <w:rsid w:val="00460E8C"/>
    <w:rsid w:val="0046133A"/>
    <w:rsid w:val="004616FB"/>
    <w:rsid w:val="00461891"/>
    <w:rsid w:val="004620CD"/>
    <w:rsid w:val="004622A1"/>
    <w:rsid w:val="0046358E"/>
    <w:rsid w:val="00463C08"/>
    <w:rsid w:val="0046475B"/>
    <w:rsid w:val="00464827"/>
    <w:rsid w:val="00465865"/>
    <w:rsid w:val="00465E46"/>
    <w:rsid w:val="00465E6D"/>
    <w:rsid w:val="00466074"/>
    <w:rsid w:val="00466343"/>
    <w:rsid w:val="004672EA"/>
    <w:rsid w:val="0046759F"/>
    <w:rsid w:val="0046783C"/>
    <w:rsid w:val="004678AE"/>
    <w:rsid w:val="00467CE0"/>
    <w:rsid w:val="00467DEF"/>
    <w:rsid w:val="004700F7"/>
    <w:rsid w:val="004703A0"/>
    <w:rsid w:val="00470C2C"/>
    <w:rsid w:val="0047145F"/>
    <w:rsid w:val="004715E6"/>
    <w:rsid w:val="004715FC"/>
    <w:rsid w:val="00471629"/>
    <w:rsid w:val="004718B5"/>
    <w:rsid w:val="00471922"/>
    <w:rsid w:val="00471B2A"/>
    <w:rsid w:val="0047267E"/>
    <w:rsid w:val="004728B4"/>
    <w:rsid w:val="00472901"/>
    <w:rsid w:val="00472954"/>
    <w:rsid w:val="00473898"/>
    <w:rsid w:val="00474A74"/>
    <w:rsid w:val="00474B55"/>
    <w:rsid w:val="00474C7A"/>
    <w:rsid w:val="00474DD6"/>
    <w:rsid w:val="00474FDC"/>
    <w:rsid w:val="004754A8"/>
    <w:rsid w:val="004755C4"/>
    <w:rsid w:val="0047596E"/>
    <w:rsid w:val="00475C7B"/>
    <w:rsid w:val="00476506"/>
    <w:rsid w:val="00476885"/>
    <w:rsid w:val="00476929"/>
    <w:rsid w:val="00476B7E"/>
    <w:rsid w:val="00476C34"/>
    <w:rsid w:val="00477696"/>
    <w:rsid w:val="00477B54"/>
    <w:rsid w:val="004805A8"/>
    <w:rsid w:val="00480B41"/>
    <w:rsid w:val="00480D3B"/>
    <w:rsid w:val="00480E28"/>
    <w:rsid w:val="00481A4E"/>
    <w:rsid w:val="00481C35"/>
    <w:rsid w:val="00482335"/>
    <w:rsid w:val="004824C7"/>
    <w:rsid w:val="0048273D"/>
    <w:rsid w:val="00482C74"/>
    <w:rsid w:val="00482DA4"/>
    <w:rsid w:val="00482E00"/>
    <w:rsid w:val="004830BC"/>
    <w:rsid w:val="0048393F"/>
    <w:rsid w:val="004840D8"/>
    <w:rsid w:val="00484294"/>
    <w:rsid w:val="0048441F"/>
    <w:rsid w:val="0048458F"/>
    <w:rsid w:val="00484CC7"/>
    <w:rsid w:val="004850E3"/>
    <w:rsid w:val="004858BE"/>
    <w:rsid w:val="0048592E"/>
    <w:rsid w:val="00485E1A"/>
    <w:rsid w:val="00486568"/>
    <w:rsid w:val="0048679B"/>
    <w:rsid w:val="00486D87"/>
    <w:rsid w:val="00486DE7"/>
    <w:rsid w:val="00486FA6"/>
    <w:rsid w:val="00486FFD"/>
    <w:rsid w:val="00487B60"/>
    <w:rsid w:val="00487F5D"/>
    <w:rsid w:val="00490209"/>
    <w:rsid w:val="004903B9"/>
    <w:rsid w:val="00490CD6"/>
    <w:rsid w:val="004911E5"/>
    <w:rsid w:val="00492254"/>
    <w:rsid w:val="0049234B"/>
    <w:rsid w:val="0049252E"/>
    <w:rsid w:val="00492867"/>
    <w:rsid w:val="00492FBE"/>
    <w:rsid w:val="004931F7"/>
    <w:rsid w:val="00493201"/>
    <w:rsid w:val="00493581"/>
    <w:rsid w:val="00493D41"/>
    <w:rsid w:val="004942E9"/>
    <w:rsid w:val="00494ED0"/>
    <w:rsid w:val="004951DB"/>
    <w:rsid w:val="004951E7"/>
    <w:rsid w:val="004954F1"/>
    <w:rsid w:val="004958F1"/>
    <w:rsid w:val="00495C9F"/>
    <w:rsid w:val="004962AB"/>
    <w:rsid w:val="0049654A"/>
    <w:rsid w:val="004965AA"/>
    <w:rsid w:val="0049669E"/>
    <w:rsid w:val="00496C80"/>
    <w:rsid w:val="00496D53"/>
    <w:rsid w:val="00496DA0"/>
    <w:rsid w:val="00497098"/>
    <w:rsid w:val="004972FC"/>
    <w:rsid w:val="00497479"/>
    <w:rsid w:val="004977C9"/>
    <w:rsid w:val="00497C7F"/>
    <w:rsid w:val="00497D45"/>
    <w:rsid w:val="00497EDF"/>
    <w:rsid w:val="004A01CD"/>
    <w:rsid w:val="004A0572"/>
    <w:rsid w:val="004A07F7"/>
    <w:rsid w:val="004A08D9"/>
    <w:rsid w:val="004A0E5F"/>
    <w:rsid w:val="004A0F94"/>
    <w:rsid w:val="004A10F7"/>
    <w:rsid w:val="004A11EB"/>
    <w:rsid w:val="004A1387"/>
    <w:rsid w:val="004A1651"/>
    <w:rsid w:val="004A197F"/>
    <w:rsid w:val="004A1F33"/>
    <w:rsid w:val="004A1FA5"/>
    <w:rsid w:val="004A247A"/>
    <w:rsid w:val="004A2674"/>
    <w:rsid w:val="004A4367"/>
    <w:rsid w:val="004A4A0F"/>
    <w:rsid w:val="004A4D49"/>
    <w:rsid w:val="004A4D6E"/>
    <w:rsid w:val="004A4E59"/>
    <w:rsid w:val="004A5304"/>
    <w:rsid w:val="004A5503"/>
    <w:rsid w:val="004A58EB"/>
    <w:rsid w:val="004A5C11"/>
    <w:rsid w:val="004A5DF4"/>
    <w:rsid w:val="004A5EC9"/>
    <w:rsid w:val="004A63B6"/>
    <w:rsid w:val="004A686C"/>
    <w:rsid w:val="004A7BA0"/>
    <w:rsid w:val="004A7F01"/>
    <w:rsid w:val="004A7F50"/>
    <w:rsid w:val="004A7FB3"/>
    <w:rsid w:val="004B059B"/>
    <w:rsid w:val="004B0CC5"/>
    <w:rsid w:val="004B10DE"/>
    <w:rsid w:val="004B1124"/>
    <w:rsid w:val="004B12C1"/>
    <w:rsid w:val="004B12DE"/>
    <w:rsid w:val="004B146A"/>
    <w:rsid w:val="004B17CA"/>
    <w:rsid w:val="004B1873"/>
    <w:rsid w:val="004B2181"/>
    <w:rsid w:val="004B2280"/>
    <w:rsid w:val="004B2434"/>
    <w:rsid w:val="004B255A"/>
    <w:rsid w:val="004B265B"/>
    <w:rsid w:val="004B29D4"/>
    <w:rsid w:val="004B4E3F"/>
    <w:rsid w:val="004B4EC3"/>
    <w:rsid w:val="004B518D"/>
    <w:rsid w:val="004B5510"/>
    <w:rsid w:val="004B7342"/>
    <w:rsid w:val="004B7A7E"/>
    <w:rsid w:val="004B7DB3"/>
    <w:rsid w:val="004B7F5D"/>
    <w:rsid w:val="004C0095"/>
    <w:rsid w:val="004C03BB"/>
    <w:rsid w:val="004C0D52"/>
    <w:rsid w:val="004C0F28"/>
    <w:rsid w:val="004C1544"/>
    <w:rsid w:val="004C183B"/>
    <w:rsid w:val="004C1B83"/>
    <w:rsid w:val="004C1B93"/>
    <w:rsid w:val="004C2A10"/>
    <w:rsid w:val="004C2AD9"/>
    <w:rsid w:val="004C30EB"/>
    <w:rsid w:val="004C3184"/>
    <w:rsid w:val="004C31FC"/>
    <w:rsid w:val="004C3629"/>
    <w:rsid w:val="004C3ADC"/>
    <w:rsid w:val="004C41B1"/>
    <w:rsid w:val="004C4C28"/>
    <w:rsid w:val="004C4CC1"/>
    <w:rsid w:val="004C4DA8"/>
    <w:rsid w:val="004C4EC1"/>
    <w:rsid w:val="004C4F52"/>
    <w:rsid w:val="004C5B48"/>
    <w:rsid w:val="004C63F8"/>
    <w:rsid w:val="004C6726"/>
    <w:rsid w:val="004C6C39"/>
    <w:rsid w:val="004C753E"/>
    <w:rsid w:val="004C7B60"/>
    <w:rsid w:val="004C7BEA"/>
    <w:rsid w:val="004C7C34"/>
    <w:rsid w:val="004C7D2E"/>
    <w:rsid w:val="004D08AD"/>
    <w:rsid w:val="004D0BCD"/>
    <w:rsid w:val="004D0F95"/>
    <w:rsid w:val="004D2480"/>
    <w:rsid w:val="004D27CF"/>
    <w:rsid w:val="004D306C"/>
    <w:rsid w:val="004D36FF"/>
    <w:rsid w:val="004D3A50"/>
    <w:rsid w:val="004D3A86"/>
    <w:rsid w:val="004D3BEF"/>
    <w:rsid w:val="004D4363"/>
    <w:rsid w:val="004D43E4"/>
    <w:rsid w:val="004D489A"/>
    <w:rsid w:val="004D4A83"/>
    <w:rsid w:val="004D4B98"/>
    <w:rsid w:val="004D4FED"/>
    <w:rsid w:val="004D53A4"/>
    <w:rsid w:val="004D5502"/>
    <w:rsid w:val="004D5638"/>
    <w:rsid w:val="004D5EC0"/>
    <w:rsid w:val="004D695A"/>
    <w:rsid w:val="004D728E"/>
    <w:rsid w:val="004D730C"/>
    <w:rsid w:val="004D75C4"/>
    <w:rsid w:val="004E0D01"/>
    <w:rsid w:val="004E0F34"/>
    <w:rsid w:val="004E13FB"/>
    <w:rsid w:val="004E1A01"/>
    <w:rsid w:val="004E1AFF"/>
    <w:rsid w:val="004E1CBC"/>
    <w:rsid w:val="004E2281"/>
    <w:rsid w:val="004E25A5"/>
    <w:rsid w:val="004E29AB"/>
    <w:rsid w:val="004E3154"/>
    <w:rsid w:val="004E324E"/>
    <w:rsid w:val="004E3454"/>
    <w:rsid w:val="004E38A0"/>
    <w:rsid w:val="004E3908"/>
    <w:rsid w:val="004E3BA9"/>
    <w:rsid w:val="004E3DD7"/>
    <w:rsid w:val="004E400D"/>
    <w:rsid w:val="004E4241"/>
    <w:rsid w:val="004E4413"/>
    <w:rsid w:val="004E4BED"/>
    <w:rsid w:val="004E524E"/>
    <w:rsid w:val="004E5311"/>
    <w:rsid w:val="004E57A5"/>
    <w:rsid w:val="004E6197"/>
    <w:rsid w:val="004E63FC"/>
    <w:rsid w:val="004E6A5B"/>
    <w:rsid w:val="004E6E47"/>
    <w:rsid w:val="004E7684"/>
    <w:rsid w:val="004E7990"/>
    <w:rsid w:val="004E7B13"/>
    <w:rsid w:val="004F0963"/>
    <w:rsid w:val="004F13DB"/>
    <w:rsid w:val="004F1495"/>
    <w:rsid w:val="004F185C"/>
    <w:rsid w:val="004F1B17"/>
    <w:rsid w:val="004F1EA7"/>
    <w:rsid w:val="004F22F1"/>
    <w:rsid w:val="004F3278"/>
    <w:rsid w:val="004F35B4"/>
    <w:rsid w:val="004F380A"/>
    <w:rsid w:val="004F3CDD"/>
    <w:rsid w:val="004F42D6"/>
    <w:rsid w:val="004F4622"/>
    <w:rsid w:val="004F4E63"/>
    <w:rsid w:val="004F5B84"/>
    <w:rsid w:val="004F5E2A"/>
    <w:rsid w:val="004F6CC9"/>
    <w:rsid w:val="004F7425"/>
    <w:rsid w:val="004F74EB"/>
    <w:rsid w:val="004F7DF7"/>
    <w:rsid w:val="00500738"/>
    <w:rsid w:val="00500B34"/>
    <w:rsid w:val="00500FED"/>
    <w:rsid w:val="0050182E"/>
    <w:rsid w:val="005018EF"/>
    <w:rsid w:val="00501F43"/>
    <w:rsid w:val="00501FB3"/>
    <w:rsid w:val="005021C3"/>
    <w:rsid w:val="005021EB"/>
    <w:rsid w:val="00502298"/>
    <w:rsid w:val="00502980"/>
    <w:rsid w:val="00502A93"/>
    <w:rsid w:val="00502DAA"/>
    <w:rsid w:val="005031BF"/>
    <w:rsid w:val="00503942"/>
    <w:rsid w:val="00503B23"/>
    <w:rsid w:val="0050429A"/>
    <w:rsid w:val="0050485B"/>
    <w:rsid w:val="00504AC7"/>
    <w:rsid w:val="005050C9"/>
    <w:rsid w:val="0050563E"/>
    <w:rsid w:val="005056F1"/>
    <w:rsid w:val="005067B0"/>
    <w:rsid w:val="005068AC"/>
    <w:rsid w:val="00506D71"/>
    <w:rsid w:val="0050702B"/>
    <w:rsid w:val="005070C4"/>
    <w:rsid w:val="0050751F"/>
    <w:rsid w:val="0050790F"/>
    <w:rsid w:val="00507D20"/>
    <w:rsid w:val="00507ED1"/>
    <w:rsid w:val="0051001F"/>
    <w:rsid w:val="005103BE"/>
    <w:rsid w:val="005104A5"/>
    <w:rsid w:val="00510956"/>
    <w:rsid w:val="00510B03"/>
    <w:rsid w:val="00510B94"/>
    <w:rsid w:val="00511027"/>
    <w:rsid w:val="0051197C"/>
    <w:rsid w:val="00511AB9"/>
    <w:rsid w:val="00511AE1"/>
    <w:rsid w:val="00511DD7"/>
    <w:rsid w:val="00511DE4"/>
    <w:rsid w:val="00512860"/>
    <w:rsid w:val="00512C92"/>
    <w:rsid w:val="00512D68"/>
    <w:rsid w:val="005133A2"/>
    <w:rsid w:val="00513AD8"/>
    <w:rsid w:val="00513F39"/>
    <w:rsid w:val="00513F90"/>
    <w:rsid w:val="00514205"/>
    <w:rsid w:val="00514B72"/>
    <w:rsid w:val="0051501C"/>
    <w:rsid w:val="00515122"/>
    <w:rsid w:val="005156C7"/>
    <w:rsid w:val="00515BB3"/>
    <w:rsid w:val="00515CCA"/>
    <w:rsid w:val="00515E52"/>
    <w:rsid w:val="005160CF"/>
    <w:rsid w:val="00516510"/>
    <w:rsid w:val="00516904"/>
    <w:rsid w:val="005173C5"/>
    <w:rsid w:val="00517B31"/>
    <w:rsid w:val="0052021F"/>
    <w:rsid w:val="00520273"/>
    <w:rsid w:val="0052034C"/>
    <w:rsid w:val="005205A1"/>
    <w:rsid w:val="005207FE"/>
    <w:rsid w:val="00520A36"/>
    <w:rsid w:val="00521B0E"/>
    <w:rsid w:val="00521B1D"/>
    <w:rsid w:val="00521C09"/>
    <w:rsid w:val="00521C34"/>
    <w:rsid w:val="00522278"/>
    <w:rsid w:val="005228CF"/>
    <w:rsid w:val="00522B8D"/>
    <w:rsid w:val="00522D24"/>
    <w:rsid w:val="00522E75"/>
    <w:rsid w:val="00522FFF"/>
    <w:rsid w:val="00523154"/>
    <w:rsid w:val="005233AF"/>
    <w:rsid w:val="0052361B"/>
    <w:rsid w:val="00523AE7"/>
    <w:rsid w:val="00524443"/>
    <w:rsid w:val="005246D8"/>
    <w:rsid w:val="00524932"/>
    <w:rsid w:val="00524BC2"/>
    <w:rsid w:val="0052517B"/>
    <w:rsid w:val="005257AB"/>
    <w:rsid w:val="00525E11"/>
    <w:rsid w:val="00525F18"/>
    <w:rsid w:val="005264FE"/>
    <w:rsid w:val="005267A6"/>
    <w:rsid w:val="005268B3"/>
    <w:rsid w:val="00527764"/>
    <w:rsid w:val="00527B97"/>
    <w:rsid w:val="005305EA"/>
    <w:rsid w:val="005310AB"/>
    <w:rsid w:val="0053110B"/>
    <w:rsid w:val="00531466"/>
    <w:rsid w:val="00531C95"/>
    <w:rsid w:val="00531F3B"/>
    <w:rsid w:val="00532960"/>
    <w:rsid w:val="00532B48"/>
    <w:rsid w:val="00533006"/>
    <w:rsid w:val="00533579"/>
    <w:rsid w:val="00533DE6"/>
    <w:rsid w:val="00534761"/>
    <w:rsid w:val="00534A8B"/>
    <w:rsid w:val="00534C3D"/>
    <w:rsid w:val="00535091"/>
    <w:rsid w:val="00535C78"/>
    <w:rsid w:val="00537669"/>
    <w:rsid w:val="005377CA"/>
    <w:rsid w:val="00537E09"/>
    <w:rsid w:val="00540599"/>
    <w:rsid w:val="005408B2"/>
    <w:rsid w:val="00540B62"/>
    <w:rsid w:val="00540D82"/>
    <w:rsid w:val="00540D8B"/>
    <w:rsid w:val="005410AE"/>
    <w:rsid w:val="00541203"/>
    <w:rsid w:val="005413C1"/>
    <w:rsid w:val="005419C1"/>
    <w:rsid w:val="00542065"/>
    <w:rsid w:val="005421A0"/>
    <w:rsid w:val="0054274B"/>
    <w:rsid w:val="0054280F"/>
    <w:rsid w:val="00542945"/>
    <w:rsid w:val="0054319D"/>
    <w:rsid w:val="0054343E"/>
    <w:rsid w:val="00543760"/>
    <w:rsid w:val="005439FD"/>
    <w:rsid w:val="00543BA4"/>
    <w:rsid w:val="0054418D"/>
    <w:rsid w:val="005441E7"/>
    <w:rsid w:val="00544219"/>
    <w:rsid w:val="00544273"/>
    <w:rsid w:val="00544485"/>
    <w:rsid w:val="00544AD2"/>
    <w:rsid w:val="005459DC"/>
    <w:rsid w:val="00545F3F"/>
    <w:rsid w:val="00546246"/>
    <w:rsid w:val="00546F41"/>
    <w:rsid w:val="005479CC"/>
    <w:rsid w:val="00547CB6"/>
    <w:rsid w:val="00547CFA"/>
    <w:rsid w:val="00547D94"/>
    <w:rsid w:val="00550004"/>
    <w:rsid w:val="005501D9"/>
    <w:rsid w:val="00550BD9"/>
    <w:rsid w:val="00550D8B"/>
    <w:rsid w:val="00550F52"/>
    <w:rsid w:val="005516C3"/>
    <w:rsid w:val="005519EC"/>
    <w:rsid w:val="00551B9B"/>
    <w:rsid w:val="00551CF0"/>
    <w:rsid w:val="00551FCC"/>
    <w:rsid w:val="0055220F"/>
    <w:rsid w:val="0055252A"/>
    <w:rsid w:val="0055348A"/>
    <w:rsid w:val="005537BB"/>
    <w:rsid w:val="00553A93"/>
    <w:rsid w:val="00553AF4"/>
    <w:rsid w:val="00553EAC"/>
    <w:rsid w:val="00554245"/>
    <w:rsid w:val="005543D1"/>
    <w:rsid w:val="005547CA"/>
    <w:rsid w:val="00554AE4"/>
    <w:rsid w:val="00554C6E"/>
    <w:rsid w:val="00554EA5"/>
    <w:rsid w:val="005563EC"/>
    <w:rsid w:val="0055698B"/>
    <w:rsid w:val="00556995"/>
    <w:rsid w:val="00556AD7"/>
    <w:rsid w:val="00557394"/>
    <w:rsid w:val="005573F1"/>
    <w:rsid w:val="00557656"/>
    <w:rsid w:val="00557659"/>
    <w:rsid w:val="00557749"/>
    <w:rsid w:val="005579B9"/>
    <w:rsid w:val="00557E91"/>
    <w:rsid w:val="00560527"/>
    <w:rsid w:val="00560744"/>
    <w:rsid w:val="005608DB"/>
    <w:rsid w:val="005609CC"/>
    <w:rsid w:val="005611B5"/>
    <w:rsid w:val="0056132C"/>
    <w:rsid w:val="00561384"/>
    <w:rsid w:val="00561C01"/>
    <w:rsid w:val="005621AD"/>
    <w:rsid w:val="0056226E"/>
    <w:rsid w:val="0056326B"/>
    <w:rsid w:val="00563946"/>
    <w:rsid w:val="00563BDC"/>
    <w:rsid w:val="00563C9E"/>
    <w:rsid w:val="00563F64"/>
    <w:rsid w:val="00564386"/>
    <w:rsid w:val="00564CA9"/>
    <w:rsid w:val="00564D2E"/>
    <w:rsid w:val="005651F4"/>
    <w:rsid w:val="0056577E"/>
    <w:rsid w:val="005657AF"/>
    <w:rsid w:val="00565904"/>
    <w:rsid w:val="00565943"/>
    <w:rsid w:val="00565B6B"/>
    <w:rsid w:val="00565D05"/>
    <w:rsid w:val="00565DFB"/>
    <w:rsid w:val="005661BB"/>
    <w:rsid w:val="005663BB"/>
    <w:rsid w:val="005666E3"/>
    <w:rsid w:val="005669EF"/>
    <w:rsid w:val="00566B84"/>
    <w:rsid w:val="00566CDC"/>
    <w:rsid w:val="00566EC0"/>
    <w:rsid w:val="005670DF"/>
    <w:rsid w:val="00567423"/>
    <w:rsid w:val="0056746A"/>
    <w:rsid w:val="005674FD"/>
    <w:rsid w:val="005677B5"/>
    <w:rsid w:val="00567862"/>
    <w:rsid w:val="0056788B"/>
    <w:rsid w:val="00567EC8"/>
    <w:rsid w:val="0057043B"/>
    <w:rsid w:val="00570E3A"/>
    <w:rsid w:val="005719FF"/>
    <w:rsid w:val="00571E11"/>
    <w:rsid w:val="00572F54"/>
    <w:rsid w:val="00573D79"/>
    <w:rsid w:val="00574348"/>
    <w:rsid w:val="00574365"/>
    <w:rsid w:val="0057441C"/>
    <w:rsid w:val="005746E2"/>
    <w:rsid w:val="0057489A"/>
    <w:rsid w:val="00574B6C"/>
    <w:rsid w:val="00574EBE"/>
    <w:rsid w:val="0057508B"/>
    <w:rsid w:val="005751D4"/>
    <w:rsid w:val="00575310"/>
    <w:rsid w:val="0057566B"/>
    <w:rsid w:val="0057586B"/>
    <w:rsid w:val="005761BA"/>
    <w:rsid w:val="0057620C"/>
    <w:rsid w:val="0057627A"/>
    <w:rsid w:val="005769AD"/>
    <w:rsid w:val="00576D4D"/>
    <w:rsid w:val="00576D54"/>
    <w:rsid w:val="00576DC5"/>
    <w:rsid w:val="00576FDA"/>
    <w:rsid w:val="00577122"/>
    <w:rsid w:val="00577C32"/>
    <w:rsid w:val="0058083D"/>
    <w:rsid w:val="00581C4A"/>
    <w:rsid w:val="00581C69"/>
    <w:rsid w:val="00581DA8"/>
    <w:rsid w:val="005826F6"/>
    <w:rsid w:val="0058282B"/>
    <w:rsid w:val="00583D89"/>
    <w:rsid w:val="00583FBD"/>
    <w:rsid w:val="0058417B"/>
    <w:rsid w:val="0058441C"/>
    <w:rsid w:val="00584446"/>
    <w:rsid w:val="005848C2"/>
    <w:rsid w:val="00584903"/>
    <w:rsid w:val="00584C7F"/>
    <w:rsid w:val="00584D8F"/>
    <w:rsid w:val="00584FEB"/>
    <w:rsid w:val="00585320"/>
    <w:rsid w:val="005859FD"/>
    <w:rsid w:val="00585E5C"/>
    <w:rsid w:val="0058604B"/>
    <w:rsid w:val="005865EB"/>
    <w:rsid w:val="00586704"/>
    <w:rsid w:val="00586813"/>
    <w:rsid w:val="0059065F"/>
    <w:rsid w:val="00590992"/>
    <w:rsid w:val="0059116C"/>
    <w:rsid w:val="00591536"/>
    <w:rsid w:val="005924BC"/>
    <w:rsid w:val="0059315F"/>
    <w:rsid w:val="0059324E"/>
    <w:rsid w:val="00593266"/>
    <w:rsid w:val="00593545"/>
    <w:rsid w:val="0059373E"/>
    <w:rsid w:val="0059392C"/>
    <w:rsid w:val="00593A8F"/>
    <w:rsid w:val="00593DB2"/>
    <w:rsid w:val="00593ECF"/>
    <w:rsid w:val="0059434B"/>
    <w:rsid w:val="00594572"/>
    <w:rsid w:val="00594A35"/>
    <w:rsid w:val="00596006"/>
    <w:rsid w:val="005961B7"/>
    <w:rsid w:val="0059666B"/>
    <w:rsid w:val="00596AB4"/>
    <w:rsid w:val="00596DBB"/>
    <w:rsid w:val="0059704D"/>
    <w:rsid w:val="00597AEF"/>
    <w:rsid w:val="005A0931"/>
    <w:rsid w:val="005A0ECA"/>
    <w:rsid w:val="005A1012"/>
    <w:rsid w:val="005A1405"/>
    <w:rsid w:val="005A158A"/>
    <w:rsid w:val="005A1962"/>
    <w:rsid w:val="005A1C41"/>
    <w:rsid w:val="005A2378"/>
    <w:rsid w:val="005A2775"/>
    <w:rsid w:val="005A2B31"/>
    <w:rsid w:val="005A2C4A"/>
    <w:rsid w:val="005A2E4E"/>
    <w:rsid w:val="005A3075"/>
    <w:rsid w:val="005A3DA6"/>
    <w:rsid w:val="005A46BD"/>
    <w:rsid w:val="005A47BD"/>
    <w:rsid w:val="005A4869"/>
    <w:rsid w:val="005A4C10"/>
    <w:rsid w:val="005A5401"/>
    <w:rsid w:val="005A5403"/>
    <w:rsid w:val="005A555F"/>
    <w:rsid w:val="005A5A5B"/>
    <w:rsid w:val="005A6555"/>
    <w:rsid w:val="005A6859"/>
    <w:rsid w:val="005A6BC9"/>
    <w:rsid w:val="005A777A"/>
    <w:rsid w:val="005A78A0"/>
    <w:rsid w:val="005B0696"/>
    <w:rsid w:val="005B084F"/>
    <w:rsid w:val="005B08B8"/>
    <w:rsid w:val="005B1F69"/>
    <w:rsid w:val="005B210D"/>
    <w:rsid w:val="005B22DB"/>
    <w:rsid w:val="005B2517"/>
    <w:rsid w:val="005B27C9"/>
    <w:rsid w:val="005B2F90"/>
    <w:rsid w:val="005B3BDB"/>
    <w:rsid w:val="005B3FD9"/>
    <w:rsid w:val="005B4A2F"/>
    <w:rsid w:val="005B4F3C"/>
    <w:rsid w:val="005B54AA"/>
    <w:rsid w:val="005B58A5"/>
    <w:rsid w:val="005B6C5E"/>
    <w:rsid w:val="005B790B"/>
    <w:rsid w:val="005B7B7A"/>
    <w:rsid w:val="005C03CE"/>
    <w:rsid w:val="005C1970"/>
    <w:rsid w:val="005C1A9E"/>
    <w:rsid w:val="005C1AD5"/>
    <w:rsid w:val="005C228E"/>
    <w:rsid w:val="005C28E2"/>
    <w:rsid w:val="005C2A0B"/>
    <w:rsid w:val="005C316B"/>
    <w:rsid w:val="005C31FA"/>
    <w:rsid w:val="005C3415"/>
    <w:rsid w:val="005C36FD"/>
    <w:rsid w:val="005C383E"/>
    <w:rsid w:val="005C3B4A"/>
    <w:rsid w:val="005C40C5"/>
    <w:rsid w:val="005C45D3"/>
    <w:rsid w:val="005C658F"/>
    <w:rsid w:val="005C6930"/>
    <w:rsid w:val="005C6EDB"/>
    <w:rsid w:val="005C7940"/>
    <w:rsid w:val="005C7AD4"/>
    <w:rsid w:val="005D0378"/>
    <w:rsid w:val="005D06B5"/>
    <w:rsid w:val="005D06CC"/>
    <w:rsid w:val="005D0A62"/>
    <w:rsid w:val="005D1158"/>
    <w:rsid w:val="005D147A"/>
    <w:rsid w:val="005D15C2"/>
    <w:rsid w:val="005D1CC6"/>
    <w:rsid w:val="005D2002"/>
    <w:rsid w:val="005D22B6"/>
    <w:rsid w:val="005D2418"/>
    <w:rsid w:val="005D3264"/>
    <w:rsid w:val="005D32A9"/>
    <w:rsid w:val="005D331C"/>
    <w:rsid w:val="005D3339"/>
    <w:rsid w:val="005D335D"/>
    <w:rsid w:val="005D3571"/>
    <w:rsid w:val="005D385A"/>
    <w:rsid w:val="005D4BEC"/>
    <w:rsid w:val="005D4EFE"/>
    <w:rsid w:val="005D5790"/>
    <w:rsid w:val="005D57DD"/>
    <w:rsid w:val="005D5961"/>
    <w:rsid w:val="005D59AD"/>
    <w:rsid w:val="005D5A33"/>
    <w:rsid w:val="005D61D2"/>
    <w:rsid w:val="005D6A87"/>
    <w:rsid w:val="005D6CE9"/>
    <w:rsid w:val="005D7317"/>
    <w:rsid w:val="005D74F9"/>
    <w:rsid w:val="005D7BDC"/>
    <w:rsid w:val="005E0037"/>
    <w:rsid w:val="005E01FB"/>
    <w:rsid w:val="005E0441"/>
    <w:rsid w:val="005E12CC"/>
    <w:rsid w:val="005E1516"/>
    <w:rsid w:val="005E16C6"/>
    <w:rsid w:val="005E16E0"/>
    <w:rsid w:val="005E1BA7"/>
    <w:rsid w:val="005E2532"/>
    <w:rsid w:val="005E2E30"/>
    <w:rsid w:val="005E30D8"/>
    <w:rsid w:val="005E32B6"/>
    <w:rsid w:val="005E356F"/>
    <w:rsid w:val="005E376D"/>
    <w:rsid w:val="005E3E79"/>
    <w:rsid w:val="005E40FF"/>
    <w:rsid w:val="005E41B7"/>
    <w:rsid w:val="005E448D"/>
    <w:rsid w:val="005E501B"/>
    <w:rsid w:val="005E5267"/>
    <w:rsid w:val="005E54CD"/>
    <w:rsid w:val="005E60B6"/>
    <w:rsid w:val="005E61DB"/>
    <w:rsid w:val="005E64A0"/>
    <w:rsid w:val="005E6BBA"/>
    <w:rsid w:val="005E6BCE"/>
    <w:rsid w:val="005E6D1D"/>
    <w:rsid w:val="005E6FD1"/>
    <w:rsid w:val="005E73CD"/>
    <w:rsid w:val="005E77A8"/>
    <w:rsid w:val="005E7D58"/>
    <w:rsid w:val="005E7D8E"/>
    <w:rsid w:val="005E7F42"/>
    <w:rsid w:val="005F036F"/>
    <w:rsid w:val="005F1508"/>
    <w:rsid w:val="005F18C7"/>
    <w:rsid w:val="005F1C2F"/>
    <w:rsid w:val="005F1CBE"/>
    <w:rsid w:val="005F1D80"/>
    <w:rsid w:val="005F2551"/>
    <w:rsid w:val="005F3141"/>
    <w:rsid w:val="005F3486"/>
    <w:rsid w:val="005F35B8"/>
    <w:rsid w:val="005F399A"/>
    <w:rsid w:val="005F3B64"/>
    <w:rsid w:val="005F3F0F"/>
    <w:rsid w:val="005F56AA"/>
    <w:rsid w:val="005F61F0"/>
    <w:rsid w:val="005F61FD"/>
    <w:rsid w:val="005F6C20"/>
    <w:rsid w:val="005F73FF"/>
    <w:rsid w:val="005F766A"/>
    <w:rsid w:val="005F77C8"/>
    <w:rsid w:val="005F77D3"/>
    <w:rsid w:val="005F7823"/>
    <w:rsid w:val="005F7989"/>
    <w:rsid w:val="005F7D93"/>
    <w:rsid w:val="00600086"/>
    <w:rsid w:val="00600235"/>
    <w:rsid w:val="0060062D"/>
    <w:rsid w:val="00600A66"/>
    <w:rsid w:val="00600D22"/>
    <w:rsid w:val="00600F0B"/>
    <w:rsid w:val="0060197A"/>
    <w:rsid w:val="00601E24"/>
    <w:rsid w:val="00602759"/>
    <w:rsid w:val="0060325F"/>
    <w:rsid w:val="0060343B"/>
    <w:rsid w:val="006038C3"/>
    <w:rsid w:val="00603A93"/>
    <w:rsid w:val="006049FD"/>
    <w:rsid w:val="00605C68"/>
    <w:rsid w:val="00605E9C"/>
    <w:rsid w:val="00605EE5"/>
    <w:rsid w:val="00606003"/>
    <w:rsid w:val="0060604A"/>
    <w:rsid w:val="00606A52"/>
    <w:rsid w:val="00607689"/>
    <w:rsid w:val="00610140"/>
    <w:rsid w:val="00610E15"/>
    <w:rsid w:val="006111ED"/>
    <w:rsid w:val="00611916"/>
    <w:rsid w:val="00612518"/>
    <w:rsid w:val="00612584"/>
    <w:rsid w:val="00612EAA"/>
    <w:rsid w:val="00612EF2"/>
    <w:rsid w:val="00613453"/>
    <w:rsid w:val="00613D24"/>
    <w:rsid w:val="0061405C"/>
    <w:rsid w:val="0061423C"/>
    <w:rsid w:val="006148F0"/>
    <w:rsid w:val="00614F23"/>
    <w:rsid w:val="0061506D"/>
    <w:rsid w:val="00615AC0"/>
    <w:rsid w:val="00615C2C"/>
    <w:rsid w:val="00616A80"/>
    <w:rsid w:val="00616B9C"/>
    <w:rsid w:val="00617B53"/>
    <w:rsid w:val="00617C6F"/>
    <w:rsid w:val="006200BD"/>
    <w:rsid w:val="00620B18"/>
    <w:rsid w:val="00620BC3"/>
    <w:rsid w:val="00620CBF"/>
    <w:rsid w:val="006215E6"/>
    <w:rsid w:val="00622AD8"/>
    <w:rsid w:val="00622ADD"/>
    <w:rsid w:val="00622DB8"/>
    <w:rsid w:val="00623527"/>
    <w:rsid w:val="0062358C"/>
    <w:rsid w:val="00623678"/>
    <w:rsid w:val="0062375A"/>
    <w:rsid w:val="00623762"/>
    <w:rsid w:val="006237A0"/>
    <w:rsid w:val="00623E01"/>
    <w:rsid w:val="006240D9"/>
    <w:rsid w:val="0062462C"/>
    <w:rsid w:val="006249B9"/>
    <w:rsid w:val="00624DA3"/>
    <w:rsid w:val="006255E9"/>
    <w:rsid w:val="00625707"/>
    <w:rsid w:val="00625886"/>
    <w:rsid w:val="006259A9"/>
    <w:rsid w:val="00625BDD"/>
    <w:rsid w:val="006263C8"/>
    <w:rsid w:val="0062675A"/>
    <w:rsid w:val="00626C63"/>
    <w:rsid w:val="006276E5"/>
    <w:rsid w:val="0062784F"/>
    <w:rsid w:val="006278A4"/>
    <w:rsid w:val="006278AD"/>
    <w:rsid w:val="00627EDA"/>
    <w:rsid w:val="00630164"/>
    <w:rsid w:val="006308F2"/>
    <w:rsid w:val="00630D44"/>
    <w:rsid w:val="00630E35"/>
    <w:rsid w:val="00631138"/>
    <w:rsid w:val="00631204"/>
    <w:rsid w:val="00631286"/>
    <w:rsid w:val="00631450"/>
    <w:rsid w:val="00632AB3"/>
    <w:rsid w:val="00632F71"/>
    <w:rsid w:val="00633132"/>
    <w:rsid w:val="006337DA"/>
    <w:rsid w:val="00633B2E"/>
    <w:rsid w:val="00633CEE"/>
    <w:rsid w:val="00633EDA"/>
    <w:rsid w:val="00633F10"/>
    <w:rsid w:val="00633F45"/>
    <w:rsid w:val="00634B34"/>
    <w:rsid w:val="00634C5F"/>
    <w:rsid w:val="00634D11"/>
    <w:rsid w:val="00635240"/>
    <w:rsid w:val="006353EA"/>
    <w:rsid w:val="0063562F"/>
    <w:rsid w:val="006356AE"/>
    <w:rsid w:val="0063644E"/>
    <w:rsid w:val="00636AC1"/>
    <w:rsid w:val="00636C6D"/>
    <w:rsid w:val="00636CF8"/>
    <w:rsid w:val="00637081"/>
    <w:rsid w:val="00637266"/>
    <w:rsid w:val="006373AC"/>
    <w:rsid w:val="006375CB"/>
    <w:rsid w:val="006375FA"/>
    <w:rsid w:val="00637EFB"/>
    <w:rsid w:val="0064041D"/>
    <w:rsid w:val="00640BA2"/>
    <w:rsid w:val="00641CE8"/>
    <w:rsid w:val="0064207D"/>
    <w:rsid w:val="00642BC0"/>
    <w:rsid w:val="00642C65"/>
    <w:rsid w:val="00642D74"/>
    <w:rsid w:val="0064371D"/>
    <w:rsid w:val="0064372C"/>
    <w:rsid w:val="00643E04"/>
    <w:rsid w:val="006444BC"/>
    <w:rsid w:val="00644521"/>
    <w:rsid w:val="00644A53"/>
    <w:rsid w:val="00644C0A"/>
    <w:rsid w:val="00644D51"/>
    <w:rsid w:val="006450EE"/>
    <w:rsid w:val="006451B5"/>
    <w:rsid w:val="00645317"/>
    <w:rsid w:val="0064585C"/>
    <w:rsid w:val="006459B5"/>
    <w:rsid w:val="00645C04"/>
    <w:rsid w:val="00645C73"/>
    <w:rsid w:val="00645CA1"/>
    <w:rsid w:val="00646012"/>
    <w:rsid w:val="006460A7"/>
    <w:rsid w:val="00646500"/>
    <w:rsid w:val="00646CD3"/>
    <w:rsid w:val="00646D17"/>
    <w:rsid w:val="00646EA9"/>
    <w:rsid w:val="00647134"/>
    <w:rsid w:val="006473C2"/>
    <w:rsid w:val="006475D7"/>
    <w:rsid w:val="006477AF"/>
    <w:rsid w:val="00647AB7"/>
    <w:rsid w:val="00647ED1"/>
    <w:rsid w:val="0065071D"/>
    <w:rsid w:val="00650745"/>
    <w:rsid w:val="006507A8"/>
    <w:rsid w:val="00650986"/>
    <w:rsid w:val="00651014"/>
    <w:rsid w:val="00651511"/>
    <w:rsid w:val="0065153B"/>
    <w:rsid w:val="00651ABB"/>
    <w:rsid w:val="00651B99"/>
    <w:rsid w:val="00651D0F"/>
    <w:rsid w:val="00651DD7"/>
    <w:rsid w:val="006526B3"/>
    <w:rsid w:val="006527A7"/>
    <w:rsid w:val="0065380D"/>
    <w:rsid w:val="00653B3D"/>
    <w:rsid w:val="0065403D"/>
    <w:rsid w:val="006541AB"/>
    <w:rsid w:val="0065442D"/>
    <w:rsid w:val="00654988"/>
    <w:rsid w:val="00654B2D"/>
    <w:rsid w:val="00654B93"/>
    <w:rsid w:val="00654C28"/>
    <w:rsid w:val="00654F64"/>
    <w:rsid w:val="006551C0"/>
    <w:rsid w:val="00655581"/>
    <w:rsid w:val="00655783"/>
    <w:rsid w:val="00655934"/>
    <w:rsid w:val="00655C5B"/>
    <w:rsid w:val="00656415"/>
    <w:rsid w:val="00656746"/>
    <w:rsid w:val="00656750"/>
    <w:rsid w:val="006569B2"/>
    <w:rsid w:val="00656A3B"/>
    <w:rsid w:val="00656B40"/>
    <w:rsid w:val="00656C56"/>
    <w:rsid w:val="00657764"/>
    <w:rsid w:val="006577AC"/>
    <w:rsid w:val="00657896"/>
    <w:rsid w:val="00657CCE"/>
    <w:rsid w:val="00657D09"/>
    <w:rsid w:val="00660168"/>
    <w:rsid w:val="006603D0"/>
    <w:rsid w:val="006603E4"/>
    <w:rsid w:val="006607F3"/>
    <w:rsid w:val="00660AA6"/>
    <w:rsid w:val="00661047"/>
    <w:rsid w:val="0066131D"/>
    <w:rsid w:val="0066147C"/>
    <w:rsid w:val="00661761"/>
    <w:rsid w:val="00661BB2"/>
    <w:rsid w:val="00661F0B"/>
    <w:rsid w:val="00661F89"/>
    <w:rsid w:val="0066224D"/>
    <w:rsid w:val="006626CC"/>
    <w:rsid w:val="006635BD"/>
    <w:rsid w:val="006638E8"/>
    <w:rsid w:val="0066391A"/>
    <w:rsid w:val="00663CCA"/>
    <w:rsid w:val="00664154"/>
    <w:rsid w:val="006641A1"/>
    <w:rsid w:val="0066466B"/>
    <w:rsid w:val="0066480D"/>
    <w:rsid w:val="00665467"/>
    <w:rsid w:val="00665616"/>
    <w:rsid w:val="00665856"/>
    <w:rsid w:val="006663AA"/>
    <w:rsid w:val="006665BB"/>
    <w:rsid w:val="006667D2"/>
    <w:rsid w:val="00666A4C"/>
    <w:rsid w:val="00666B31"/>
    <w:rsid w:val="00666B35"/>
    <w:rsid w:val="00666B40"/>
    <w:rsid w:val="00666FE6"/>
    <w:rsid w:val="00667201"/>
    <w:rsid w:val="00667496"/>
    <w:rsid w:val="00667699"/>
    <w:rsid w:val="00667FA3"/>
    <w:rsid w:val="00670040"/>
    <w:rsid w:val="00670550"/>
    <w:rsid w:val="006706EB"/>
    <w:rsid w:val="00670988"/>
    <w:rsid w:val="00670BC5"/>
    <w:rsid w:val="00671215"/>
    <w:rsid w:val="00671F4F"/>
    <w:rsid w:val="00672736"/>
    <w:rsid w:val="00672A71"/>
    <w:rsid w:val="00672DF1"/>
    <w:rsid w:val="0067384C"/>
    <w:rsid w:val="00673A3B"/>
    <w:rsid w:val="00674BA6"/>
    <w:rsid w:val="00675381"/>
    <w:rsid w:val="00675666"/>
    <w:rsid w:val="006756F3"/>
    <w:rsid w:val="0067579E"/>
    <w:rsid w:val="00675E96"/>
    <w:rsid w:val="00675E99"/>
    <w:rsid w:val="00676A3A"/>
    <w:rsid w:val="00676D23"/>
    <w:rsid w:val="00676E0A"/>
    <w:rsid w:val="00676E87"/>
    <w:rsid w:val="00676F07"/>
    <w:rsid w:val="00677B94"/>
    <w:rsid w:val="00677C48"/>
    <w:rsid w:val="0068044A"/>
    <w:rsid w:val="00680B43"/>
    <w:rsid w:val="00680DF5"/>
    <w:rsid w:val="0068118D"/>
    <w:rsid w:val="00681817"/>
    <w:rsid w:val="00682D46"/>
    <w:rsid w:val="00682E2C"/>
    <w:rsid w:val="00682FA5"/>
    <w:rsid w:val="00683947"/>
    <w:rsid w:val="00683DA0"/>
    <w:rsid w:val="00683EDD"/>
    <w:rsid w:val="0068412D"/>
    <w:rsid w:val="00685D10"/>
    <w:rsid w:val="0068621C"/>
    <w:rsid w:val="006865BB"/>
    <w:rsid w:val="00686643"/>
    <w:rsid w:val="0068688B"/>
    <w:rsid w:val="00687A0E"/>
    <w:rsid w:val="00687A30"/>
    <w:rsid w:val="00687B66"/>
    <w:rsid w:val="00687CE1"/>
    <w:rsid w:val="00687EAD"/>
    <w:rsid w:val="0069068F"/>
    <w:rsid w:val="00690898"/>
    <w:rsid w:val="006908DD"/>
    <w:rsid w:val="00691BA0"/>
    <w:rsid w:val="0069269E"/>
    <w:rsid w:val="00692B9D"/>
    <w:rsid w:val="00692EE3"/>
    <w:rsid w:val="006937CE"/>
    <w:rsid w:val="00693A79"/>
    <w:rsid w:val="00693B9D"/>
    <w:rsid w:val="00694133"/>
    <w:rsid w:val="006941F6"/>
    <w:rsid w:val="00694261"/>
    <w:rsid w:val="006947AE"/>
    <w:rsid w:val="00694BCA"/>
    <w:rsid w:val="00694BCD"/>
    <w:rsid w:val="00695188"/>
    <w:rsid w:val="00695726"/>
    <w:rsid w:val="006966C6"/>
    <w:rsid w:val="0069680B"/>
    <w:rsid w:val="00696847"/>
    <w:rsid w:val="00696CE1"/>
    <w:rsid w:val="00697907"/>
    <w:rsid w:val="006A016D"/>
    <w:rsid w:val="006A0276"/>
    <w:rsid w:val="006A12E9"/>
    <w:rsid w:val="006A1B3A"/>
    <w:rsid w:val="006A1F37"/>
    <w:rsid w:val="006A206D"/>
    <w:rsid w:val="006A2473"/>
    <w:rsid w:val="006A293E"/>
    <w:rsid w:val="006A2A7D"/>
    <w:rsid w:val="006A348B"/>
    <w:rsid w:val="006A35B5"/>
    <w:rsid w:val="006A3775"/>
    <w:rsid w:val="006A3A67"/>
    <w:rsid w:val="006A3B6E"/>
    <w:rsid w:val="006A4054"/>
    <w:rsid w:val="006A4228"/>
    <w:rsid w:val="006A43BF"/>
    <w:rsid w:val="006A4AE3"/>
    <w:rsid w:val="006A4B01"/>
    <w:rsid w:val="006A4B84"/>
    <w:rsid w:val="006A5595"/>
    <w:rsid w:val="006A57D4"/>
    <w:rsid w:val="006A5BF2"/>
    <w:rsid w:val="006A5C8C"/>
    <w:rsid w:val="006A5DED"/>
    <w:rsid w:val="006A653A"/>
    <w:rsid w:val="006A6A83"/>
    <w:rsid w:val="006A6AA7"/>
    <w:rsid w:val="006A6FF8"/>
    <w:rsid w:val="006A742F"/>
    <w:rsid w:val="006A7946"/>
    <w:rsid w:val="006A7B1D"/>
    <w:rsid w:val="006A7F22"/>
    <w:rsid w:val="006B0084"/>
    <w:rsid w:val="006B0382"/>
    <w:rsid w:val="006B093E"/>
    <w:rsid w:val="006B0F32"/>
    <w:rsid w:val="006B1F7B"/>
    <w:rsid w:val="006B21E0"/>
    <w:rsid w:val="006B23C1"/>
    <w:rsid w:val="006B23F5"/>
    <w:rsid w:val="006B241E"/>
    <w:rsid w:val="006B261C"/>
    <w:rsid w:val="006B29E8"/>
    <w:rsid w:val="006B2ED0"/>
    <w:rsid w:val="006B30EB"/>
    <w:rsid w:val="006B327A"/>
    <w:rsid w:val="006B32D8"/>
    <w:rsid w:val="006B3935"/>
    <w:rsid w:val="006B39D0"/>
    <w:rsid w:val="006B451F"/>
    <w:rsid w:val="006B4578"/>
    <w:rsid w:val="006B4850"/>
    <w:rsid w:val="006B4B2F"/>
    <w:rsid w:val="006B52DC"/>
    <w:rsid w:val="006B5955"/>
    <w:rsid w:val="006B5BC8"/>
    <w:rsid w:val="006B6424"/>
    <w:rsid w:val="006B6806"/>
    <w:rsid w:val="006B7117"/>
    <w:rsid w:val="006B735C"/>
    <w:rsid w:val="006B7511"/>
    <w:rsid w:val="006B7956"/>
    <w:rsid w:val="006B7BDF"/>
    <w:rsid w:val="006B7C53"/>
    <w:rsid w:val="006C011B"/>
    <w:rsid w:val="006C06A7"/>
    <w:rsid w:val="006C0788"/>
    <w:rsid w:val="006C080B"/>
    <w:rsid w:val="006C0DD3"/>
    <w:rsid w:val="006C0FF8"/>
    <w:rsid w:val="006C1928"/>
    <w:rsid w:val="006C1CBA"/>
    <w:rsid w:val="006C21A6"/>
    <w:rsid w:val="006C22BB"/>
    <w:rsid w:val="006C2C40"/>
    <w:rsid w:val="006C3576"/>
    <w:rsid w:val="006C3B88"/>
    <w:rsid w:val="006C3D63"/>
    <w:rsid w:val="006C3FAC"/>
    <w:rsid w:val="006C480D"/>
    <w:rsid w:val="006C4943"/>
    <w:rsid w:val="006C4D5A"/>
    <w:rsid w:val="006C509F"/>
    <w:rsid w:val="006C519E"/>
    <w:rsid w:val="006C5516"/>
    <w:rsid w:val="006C5C7D"/>
    <w:rsid w:val="006C6046"/>
    <w:rsid w:val="006C606C"/>
    <w:rsid w:val="006C61E4"/>
    <w:rsid w:val="006C62F8"/>
    <w:rsid w:val="006C633C"/>
    <w:rsid w:val="006C663E"/>
    <w:rsid w:val="006C6ADC"/>
    <w:rsid w:val="006C6C4E"/>
    <w:rsid w:val="006C6DEA"/>
    <w:rsid w:val="006D03BB"/>
    <w:rsid w:val="006D0694"/>
    <w:rsid w:val="006D10E4"/>
    <w:rsid w:val="006D110D"/>
    <w:rsid w:val="006D1749"/>
    <w:rsid w:val="006D1DC5"/>
    <w:rsid w:val="006D2114"/>
    <w:rsid w:val="006D2383"/>
    <w:rsid w:val="006D27D1"/>
    <w:rsid w:val="006D2F5E"/>
    <w:rsid w:val="006D323E"/>
    <w:rsid w:val="006D3290"/>
    <w:rsid w:val="006D3753"/>
    <w:rsid w:val="006D3B04"/>
    <w:rsid w:val="006D3CF0"/>
    <w:rsid w:val="006D4026"/>
    <w:rsid w:val="006D4AAA"/>
    <w:rsid w:val="006D4B12"/>
    <w:rsid w:val="006D4E99"/>
    <w:rsid w:val="006D5438"/>
    <w:rsid w:val="006D633B"/>
    <w:rsid w:val="006D6538"/>
    <w:rsid w:val="006D6725"/>
    <w:rsid w:val="006D67DF"/>
    <w:rsid w:val="006D7864"/>
    <w:rsid w:val="006D7ABE"/>
    <w:rsid w:val="006E03A4"/>
    <w:rsid w:val="006E03CD"/>
    <w:rsid w:val="006E047F"/>
    <w:rsid w:val="006E0C53"/>
    <w:rsid w:val="006E109A"/>
    <w:rsid w:val="006E1537"/>
    <w:rsid w:val="006E15E5"/>
    <w:rsid w:val="006E19DD"/>
    <w:rsid w:val="006E2186"/>
    <w:rsid w:val="006E240A"/>
    <w:rsid w:val="006E2417"/>
    <w:rsid w:val="006E25E7"/>
    <w:rsid w:val="006E2C1C"/>
    <w:rsid w:val="006E3317"/>
    <w:rsid w:val="006E3E75"/>
    <w:rsid w:val="006E4A12"/>
    <w:rsid w:val="006E4D00"/>
    <w:rsid w:val="006E4F3F"/>
    <w:rsid w:val="006E4FCB"/>
    <w:rsid w:val="006E5542"/>
    <w:rsid w:val="006E55B8"/>
    <w:rsid w:val="006E5CB3"/>
    <w:rsid w:val="006E6381"/>
    <w:rsid w:val="006E642A"/>
    <w:rsid w:val="006E6496"/>
    <w:rsid w:val="006E660B"/>
    <w:rsid w:val="006E6FAB"/>
    <w:rsid w:val="006E7263"/>
    <w:rsid w:val="006E771F"/>
    <w:rsid w:val="006F053B"/>
    <w:rsid w:val="006F058B"/>
    <w:rsid w:val="006F0880"/>
    <w:rsid w:val="006F1111"/>
    <w:rsid w:val="006F11E0"/>
    <w:rsid w:val="006F1382"/>
    <w:rsid w:val="006F1DB7"/>
    <w:rsid w:val="006F1F04"/>
    <w:rsid w:val="006F205A"/>
    <w:rsid w:val="006F236B"/>
    <w:rsid w:val="006F240E"/>
    <w:rsid w:val="006F2412"/>
    <w:rsid w:val="006F290F"/>
    <w:rsid w:val="006F2FFD"/>
    <w:rsid w:val="006F34EE"/>
    <w:rsid w:val="006F3A14"/>
    <w:rsid w:val="006F405B"/>
    <w:rsid w:val="006F4119"/>
    <w:rsid w:val="006F421B"/>
    <w:rsid w:val="006F49EE"/>
    <w:rsid w:val="006F4C85"/>
    <w:rsid w:val="006F4C98"/>
    <w:rsid w:val="006F569B"/>
    <w:rsid w:val="006F5BA9"/>
    <w:rsid w:val="006F5BFF"/>
    <w:rsid w:val="006F64D5"/>
    <w:rsid w:val="006F67CF"/>
    <w:rsid w:val="006F6A85"/>
    <w:rsid w:val="006F7E9E"/>
    <w:rsid w:val="007000F5"/>
    <w:rsid w:val="0070018C"/>
    <w:rsid w:val="007001A0"/>
    <w:rsid w:val="007009E4"/>
    <w:rsid w:val="00700E67"/>
    <w:rsid w:val="00700F48"/>
    <w:rsid w:val="00700F76"/>
    <w:rsid w:val="007017C7"/>
    <w:rsid w:val="00702B8E"/>
    <w:rsid w:val="00702D0A"/>
    <w:rsid w:val="00703004"/>
    <w:rsid w:val="00703121"/>
    <w:rsid w:val="007035F7"/>
    <w:rsid w:val="00703E0E"/>
    <w:rsid w:val="00704123"/>
    <w:rsid w:val="0070417B"/>
    <w:rsid w:val="00704218"/>
    <w:rsid w:val="007045DA"/>
    <w:rsid w:val="0070477D"/>
    <w:rsid w:val="0070478C"/>
    <w:rsid w:val="00704CE1"/>
    <w:rsid w:val="007051BB"/>
    <w:rsid w:val="007058B9"/>
    <w:rsid w:val="00705AFC"/>
    <w:rsid w:val="00705B45"/>
    <w:rsid w:val="00705D98"/>
    <w:rsid w:val="007060EA"/>
    <w:rsid w:val="007063B8"/>
    <w:rsid w:val="0070684D"/>
    <w:rsid w:val="007068F7"/>
    <w:rsid w:val="00706E83"/>
    <w:rsid w:val="00707197"/>
    <w:rsid w:val="00707496"/>
    <w:rsid w:val="007076D6"/>
    <w:rsid w:val="007078D3"/>
    <w:rsid w:val="00707A30"/>
    <w:rsid w:val="00707CD9"/>
    <w:rsid w:val="00710013"/>
    <w:rsid w:val="007107E4"/>
    <w:rsid w:val="00710DFD"/>
    <w:rsid w:val="00710F80"/>
    <w:rsid w:val="00711B55"/>
    <w:rsid w:val="0071212E"/>
    <w:rsid w:val="007121A7"/>
    <w:rsid w:val="007127B8"/>
    <w:rsid w:val="00712CDB"/>
    <w:rsid w:val="00713D76"/>
    <w:rsid w:val="00715969"/>
    <w:rsid w:val="007159AC"/>
    <w:rsid w:val="00715A78"/>
    <w:rsid w:val="007161F8"/>
    <w:rsid w:val="007164DC"/>
    <w:rsid w:val="00716D81"/>
    <w:rsid w:val="00717B01"/>
    <w:rsid w:val="00717D56"/>
    <w:rsid w:val="0072010D"/>
    <w:rsid w:val="007209B4"/>
    <w:rsid w:val="00720AD3"/>
    <w:rsid w:val="00720DCF"/>
    <w:rsid w:val="00721147"/>
    <w:rsid w:val="007211A9"/>
    <w:rsid w:val="00721C26"/>
    <w:rsid w:val="00721D8A"/>
    <w:rsid w:val="00722097"/>
    <w:rsid w:val="00722143"/>
    <w:rsid w:val="007225BF"/>
    <w:rsid w:val="00722A71"/>
    <w:rsid w:val="00722F89"/>
    <w:rsid w:val="007232D3"/>
    <w:rsid w:val="00723468"/>
    <w:rsid w:val="007238B3"/>
    <w:rsid w:val="00723C1E"/>
    <w:rsid w:val="00723D84"/>
    <w:rsid w:val="00724139"/>
    <w:rsid w:val="00724ADA"/>
    <w:rsid w:val="00724EDF"/>
    <w:rsid w:val="007254CD"/>
    <w:rsid w:val="00725684"/>
    <w:rsid w:val="007257A7"/>
    <w:rsid w:val="00726067"/>
    <w:rsid w:val="0072613E"/>
    <w:rsid w:val="007265BB"/>
    <w:rsid w:val="0072667E"/>
    <w:rsid w:val="007269C2"/>
    <w:rsid w:val="007269C8"/>
    <w:rsid w:val="00726F47"/>
    <w:rsid w:val="0072734B"/>
    <w:rsid w:val="00727C61"/>
    <w:rsid w:val="00727C63"/>
    <w:rsid w:val="00727CC9"/>
    <w:rsid w:val="00730128"/>
    <w:rsid w:val="0073092E"/>
    <w:rsid w:val="0073136C"/>
    <w:rsid w:val="0073151E"/>
    <w:rsid w:val="00731B63"/>
    <w:rsid w:val="00731C99"/>
    <w:rsid w:val="00731CF6"/>
    <w:rsid w:val="007322BC"/>
    <w:rsid w:val="007324DB"/>
    <w:rsid w:val="00732B11"/>
    <w:rsid w:val="00732B9F"/>
    <w:rsid w:val="00733FCD"/>
    <w:rsid w:val="00734CC4"/>
    <w:rsid w:val="00735299"/>
    <w:rsid w:val="00735355"/>
    <w:rsid w:val="00735427"/>
    <w:rsid w:val="00735607"/>
    <w:rsid w:val="00735673"/>
    <w:rsid w:val="00735AE1"/>
    <w:rsid w:val="00735CFC"/>
    <w:rsid w:val="00735D60"/>
    <w:rsid w:val="00736236"/>
    <w:rsid w:val="007372C6"/>
    <w:rsid w:val="007377EF"/>
    <w:rsid w:val="00737863"/>
    <w:rsid w:val="0073793A"/>
    <w:rsid w:val="00737E64"/>
    <w:rsid w:val="00740A23"/>
    <w:rsid w:val="00740F8A"/>
    <w:rsid w:val="00741162"/>
    <w:rsid w:val="00741D76"/>
    <w:rsid w:val="00741F2F"/>
    <w:rsid w:val="007422DD"/>
    <w:rsid w:val="00742874"/>
    <w:rsid w:val="00742E63"/>
    <w:rsid w:val="00742F2A"/>
    <w:rsid w:val="007431CE"/>
    <w:rsid w:val="007434CC"/>
    <w:rsid w:val="007438D0"/>
    <w:rsid w:val="007442B6"/>
    <w:rsid w:val="00744C67"/>
    <w:rsid w:val="00744F54"/>
    <w:rsid w:val="00745846"/>
    <w:rsid w:val="00745B01"/>
    <w:rsid w:val="00745CCA"/>
    <w:rsid w:val="007465A0"/>
    <w:rsid w:val="00746EEE"/>
    <w:rsid w:val="00747776"/>
    <w:rsid w:val="00747AF3"/>
    <w:rsid w:val="00747E41"/>
    <w:rsid w:val="0075090F"/>
    <w:rsid w:val="00750A6B"/>
    <w:rsid w:val="00750F7F"/>
    <w:rsid w:val="0075105C"/>
    <w:rsid w:val="007510CD"/>
    <w:rsid w:val="00751419"/>
    <w:rsid w:val="007515D3"/>
    <w:rsid w:val="00751635"/>
    <w:rsid w:val="00751CAA"/>
    <w:rsid w:val="00752039"/>
    <w:rsid w:val="007523FD"/>
    <w:rsid w:val="00752E7D"/>
    <w:rsid w:val="00752FE7"/>
    <w:rsid w:val="0075313A"/>
    <w:rsid w:val="007532D4"/>
    <w:rsid w:val="007535EB"/>
    <w:rsid w:val="00753898"/>
    <w:rsid w:val="00753F54"/>
    <w:rsid w:val="007547E8"/>
    <w:rsid w:val="0075503B"/>
    <w:rsid w:val="007556FC"/>
    <w:rsid w:val="00755E43"/>
    <w:rsid w:val="007561E2"/>
    <w:rsid w:val="00756C7B"/>
    <w:rsid w:val="007573AE"/>
    <w:rsid w:val="00757818"/>
    <w:rsid w:val="00757BE3"/>
    <w:rsid w:val="00760429"/>
    <w:rsid w:val="00760510"/>
    <w:rsid w:val="0076062F"/>
    <w:rsid w:val="007608E7"/>
    <w:rsid w:val="00760D92"/>
    <w:rsid w:val="00760E46"/>
    <w:rsid w:val="007617AB"/>
    <w:rsid w:val="007618FC"/>
    <w:rsid w:val="00761937"/>
    <w:rsid w:val="00761E65"/>
    <w:rsid w:val="007632B4"/>
    <w:rsid w:val="007632F1"/>
    <w:rsid w:val="00763D1C"/>
    <w:rsid w:val="00764400"/>
    <w:rsid w:val="00764408"/>
    <w:rsid w:val="007644AD"/>
    <w:rsid w:val="0076455E"/>
    <w:rsid w:val="00764603"/>
    <w:rsid w:val="00764E22"/>
    <w:rsid w:val="00765A8B"/>
    <w:rsid w:val="00765D35"/>
    <w:rsid w:val="00765FFF"/>
    <w:rsid w:val="007664D5"/>
    <w:rsid w:val="007666B4"/>
    <w:rsid w:val="00766750"/>
    <w:rsid w:val="007667C4"/>
    <w:rsid w:val="0076761E"/>
    <w:rsid w:val="00767B52"/>
    <w:rsid w:val="00771338"/>
    <w:rsid w:val="0077143A"/>
    <w:rsid w:val="00771477"/>
    <w:rsid w:val="007714AD"/>
    <w:rsid w:val="007717C6"/>
    <w:rsid w:val="00771D49"/>
    <w:rsid w:val="00771F28"/>
    <w:rsid w:val="007720A7"/>
    <w:rsid w:val="00772178"/>
    <w:rsid w:val="007727BE"/>
    <w:rsid w:val="00772F67"/>
    <w:rsid w:val="007736BE"/>
    <w:rsid w:val="007743A1"/>
    <w:rsid w:val="00774B9E"/>
    <w:rsid w:val="007750C5"/>
    <w:rsid w:val="00775B2A"/>
    <w:rsid w:val="00775C5B"/>
    <w:rsid w:val="00776042"/>
    <w:rsid w:val="007768B9"/>
    <w:rsid w:val="00776C97"/>
    <w:rsid w:val="00777436"/>
    <w:rsid w:val="0077762C"/>
    <w:rsid w:val="00777F9F"/>
    <w:rsid w:val="00780680"/>
    <w:rsid w:val="007809B6"/>
    <w:rsid w:val="00780A21"/>
    <w:rsid w:val="00780C1A"/>
    <w:rsid w:val="00780E2C"/>
    <w:rsid w:val="0078153A"/>
    <w:rsid w:val="00781B8E"/>
    <w:rsid w:val="00781D76"/>
    <w:rsid w:val="007824C4"/>
    <w:rsid w:val="00783104"/>
    <w:rsid w:val="007836B8"/>
    <w:rsid w:val="007839C4"/>
    <w:rsid w:val="00783C80"/>
    <w:rsid w:val="0078444C"/>
    <w:rsid w:val="0078475F"/>
    <w:rsid w:val="0078636E"/>
    <w:rsid w:val="00786626"/>
    <w:rsid w:val="00786CC6"/>
    <w:rsid w:val="007871E9"/>
    <w:rsid w:val="0078787D"/>
    <w:rsid w:val="00787CC2"/>
    <w:rsid w:val="00790210"/>
    <w:rsid w:val="0079080F"/>
    <w:rsid w:val="00790B03"/>
    <w:rsid w:val="00790E93"/>
    <w:rsid w:val="00790F72"/>
    <w:rsid w:val="007913D5"/>
    <w:rsid w:val="007914D6"/>
    <w:rsid w:val="007915E5"/>
    <w:rsid w:val="00791D72"/>
    <w:rsid w:val="00791F8E"/>
    <w:rsid w:val="00792013"/>
    <w:rsid w:val="00792317"/>
    <w:rsid w:val="007923EF"/>
    <w:rsid w:val="007927FF"/>
    <w:rsid w:val="00792904"/>
    <w:rsid w:val="00792AEC"/>
    <w:rsid w:val="00792C98"/>
    <w:rsid w:val="00792E6E"/>
    <w:rsid w:val="00793185"/>
    <w:rsid w:val="00793998"/>
    <w:rsid w:val="00793BC4"/>
    <w:rsid w:val="00793C43"/>
    <w:rsid w:val="00793C64"/>
    <w:rsid w:val="00793E4B"/>
    <w:rsid w:val="00794423"/>
    <w:rsid w:val="00794627"/>
    <w:rsid w:val="007949FF"/>
    <w:rsid w:val="00794D2A"/>
    <w:rsid w:val="00794D78"/>
    <w:rsid w:val="00794DCA"/>
    <w:rsid w:val="00794F08"/>
    <w:rsid w:val="00794FE7"/>
    <w:rsid w:val="00795133"/>
    <w:rsid w:val="00795477"/>
    <w:rsid w:val="00795615"/>
    <w:rsid w:val="0079587C"/>
    <w:rsid w:val="00795E95"/>
    <w:rsid w:val="0079609C"/>
    <w:rsid w:val="00796109"/>
    <w:rsid w:val="00796300"/>
    <w:rsid w:val="00796627"/>
    <w:rsid w:val="00797086"/>
    <w:rsid w:val="00797C14"/>
    <w:rsid w:val="00797D8D"/>
    <w:rsid w:val="007A0005"/>
    <w:rsid w:val="007A049C"/>
    <w:rsid w:val="007A0754"/>
    <w:rsid w:val="007A0AD5"/>
    <w:rsid w:val="007A0E6F"/>
    <w:rsid w:val="007A1062"/>
    <w:rsid w:val="007A1289"/>
    <w:rsid w:val="007A1686"/>
    <w:rsid w:val="007A1915"/>
    <w:rsid w:val="007A196E"/>
    <w:rsid w:val="007A1B67"/>
    <w:rsid w:val="007A1B77"/>
    <w:rsid w:val="007A1C20"/>
    <w:rsid w:val="007A203A"/>
    <w:rsid w:val="007A20DE"/>
    <w:rsid w:val="007A2323"/>
    <w:rsid w:val="007A23EB"/>
    <w:rsid w:val="007A274A"/>
    <w:rsid w:val="007A3041"/>
    <w:rsid w:val="007A3121"/>
    <w:rsid w:val="007A322E"/>
    <w:rsid w:val="007A32DA"/>
    <w:rsid w:val="007A3335"/>
    <w:rsid w:val="007A33F0"/>
    <w:rsid w:val="007A34A4"/>
    <w:rsid w:val="007A3914"/>
    <w:rsid w:val="007A3A54"/>
    <w:rsid w:val="007A3F69"/>
    <w:rsid w:val="007A4001"/>
    <w:rsid w:val="007A4236"/>
    <w:rsid w:val="007A46D7"/>
    <w:rsid w:val="007A4ECC"/>
    <w:rsid w:val="007A5544"/>
    <w:rsid w:val="007A600D"/>
    <w:rsid w:val="007A6658"/>
    <w:rsid w:val="007B0129"/>
    <w:rsid w:val="007B0550"/>
    <w:rsid w:val="007B06D1"/>
    <w:rsid w:val="007B0B22"/>
    <w:rsid w:val="007B13B2"/>
    <w:rsid w:val="007B17CA"/>
    <w:rsid w:val="007B1963"/>
    <w:rsid w:val="007B1DA5"/>
    <w:rsid w:val="007B1ED9"/>
    <w:rsid w:val="007B2118"/>
    <w:rsid w:val="007B22A4"/>
    <w:rsid w:val="007B22E8"/>
    <w:rsid w:val="007B39B1"/>
    <w:rsid w:val="007B432A"/>
    <w:rsid w:val="007B4499"/>
    <w:rsid w:val="007B4719"/>
    <w:rsid w:val="007B4937"/>
    <w:rsid w:val="007B4E8B"/>
    <w:rsid w:val="007B4EFB"/>
    <w:rsid w:val="007B4F63"/>
    <w:rsid w:val="007B5355"/>
    <w:rsid w:val="007B53B9"/>
    <w:rsid w:val="007B5B1B"/>
    <w:rsid w:val="007B5D87"/>
    <w:rsid w:val="007B5E87"/>
    <w:rsid w:val="007B625A"/>
    <w:rsid w:val="007B629D"/>
    <w:rsid w:val="007B6FAF"/>
    <w:rsid w:val="007B71DA"/>
    <w:rsid w:val="007B762B"/>
    <w:rsid w:val="007B7A47"/>
    <w:rsid w:val="007B7CB3"/>
    <w:rsid w:val="007C0622"/>
    <w:rsid w:val="007C143C"/>
    <w:rsid w:val="007C1619"/>
    <w:rsid w:val="007C18DB"/>
    <w:rsid w:val="007C1AD6"/>
    <w:rsid w:val="007C1BBC"/>
    <w:rsid w:val="007C1C3F"/>
    <w:rsid w:val="007C1CF3"/>
    <w:rsid w:val="007C1FCF"/>
    <w:rsid w:val="007C2641"/>
    <w:rsid w:val="007C2B19"/>
    <w:rsid w:val="007C2EC6"/>
    <w:rsid w:val="007C332E"/>
    <w:rsid w:val="007C37AC"/>
    <w:rsid w:val="007C3935"/>
    <w:rsid w:val="007C39A3"/>
    <w:rsid w:val="007C3DF7"/>
    <w:rsid w:val="007C41C4"/>
    <w:rsid w:val="007C4A4A"/>
    <w:rsid w:val="007C4C9E"/>
    <w:rsid w:val="007C530B"/>
    <w:rsid w:val="007C539C"/>
    <w:rsid w:val="007C546D"/>
    <w:rsid w:val="007C54D3"/>
    <w:rsid w:val="007C5E7C"/>
    <w:rsid w:val="007C5F49"/>
    <w:rsid w:val="007C610C"/>
    <w:rsid w:val="007C6132"/>
    <w:rsid w:val="007C6208"/>
    <w:rsid w:val="007C64C7"/>
    <w:rsid w:val="007C64CC"/>
    <w:rsid w:val="007C6BF8"/>
    <w:rsid w:val="007D0673"/>
    <w:rsid w:val="007D0F41"/>
    <w:rsid w:val="007D1000"/>
    <w:rsid w:val="007D1096"/>
    <w:rsid w:val="007D1A23"/>
    <w:rsid w:val="007D1C1C"/>
    <w:rsid w:val="007D1D53"/>
    <w:rsid w:val="007D1E52"/>
    <w:rsid w:val="007D239F"/>
    <w:rsid w:val="007D26A2"/>
    <w:rsid w:val="007D2810"/>
    <w:rsid w:val="007D2843"/>
    <w:rsid w:val="007D29D2"/>
    <w:rsid w:val="007D2DE9"/>
    <w:rsid w:val="007D2EBE"/>
    <w:rsid w:val="007D30E3"/>
    <w:rsid w:val="007D329D"/>
    <w:rsid w:val="007D33A1"/>
    <w:rsid w:val="007D33D1"/>
    <w:rsid w:val="007D39DF"/>
    <w:rsid w:val="007D4206"/>
    <w:rsid w:val="007D448B"/>
    <w:rsid w:val="007D483F"/>
    <w:rsid w:val="007D4CF8"/>
    <w:rsid w:val="007D579E"/>
    <w:rsid w:val="007D5A51"/>
    <w:rsid w:val="007D5C71"/>
    <w:rsid w:val="007D5FCC"/>
    <w:rsid w:val="007D600F"/>
    <w:rsid w:val="007D6043"/>
    <w:rsid w:val="007D6209"/>
    <w:rsid w:val="007D6545"/>
    <w:rsid w:val="007D711A"/>
    <w:rsid w:val="007D765D"/>
    <w:rsid w:val="007D7D37"/>
    <w:rsid w:val="007D7E42"/>
    <w:rsid w:val="007E0081"/>
    <w:rsid w:val="007E058A"/>
    <w:rsid w:val="007E06A3"/>
    <w:rsid w:val="007E074F"/>
    <w:rsid w:val="007E079C"/>
    <w:rsid w:val="007E095A"/>
    <w:rsid w:val="007E0ECE"/>
    <w:rsid w:val="007E173C"/>
    <w:rsid w:val="007E17D1"/>
    <w:rsid w:val="007E1D74"/>
    <w:rsid w:val="007E1F18"/>
    <w:rsid w:val="007E1FFF"/>
    <w:rsid w:val="007E23D9"/>
    <w:rsid w:val="007E23FC"/>
    <w:rsid w:val="007E2631"/>
    <w:rsid w:val="007E281A"/>
    <w:rsid w:val="007E313D"/>
    <w:rsid w:val="007E3D6A"/>
    <w:rsid w:val="007E46F0"/>
    <w:rsid w:val="007E48DB"/>
    <w:rsid w:val="007E4DFF"/>
    <w:rsid w:val="007E55B4"/>
    <w:rsid w:val="007E58ED"/>
    <w:rsid w:val="007E5B1A"/>
    <w:rsid w:val="007E6256"/>
    <w:rsid w:val="007E6285"/>
    <w:rsid w:val="007E6331"/>
    <w:rsid w:val="007E63B3"/>
    <w:rsid w:val="007E63B8"/>
    <w:rsid w:val="007E67A5"/>
    <w:rsid w:val="007E6EA3"/>
    <w:rsid w:val="007E7086"/>
    <w:rsid w:val="007E7B8E"/>
    <w:rsid w:val="007E7F9B"/>
    <w:rsid w:val="007F016C"/>
    <w:rsid w:val="007F0533"/>
    <w:rsid w:val="007F0EDF"/>
    <w:rsid w:val="007F1299"/>
    <w:rsid w:val="007F1622"/>
    <w:rsid w:val="007F186D"/>
    <w:rsid w:val="007F18AD"/>
    <w:rsid w:val="007F1A0D"/>
    <w:rsid w:val="007F243F"/>
    <w:rsid w:val="007F2751"/>
    <w:rsid w:val="007F280A"/>
    <w:rsid w:val="007F2907"/>
    <w:rsid w:val="007F2988"/>
    <w:rsid w:val="007F2E0B"/>
    <w:rsid w:val="007F2EBC"/>
    <w:rsid w:val="007F32AF"/>
    <w:rsid w:val="007F32C7"/>
    <w:rsid w:val="007F3A7F"/>
    <w:rsid w:val="007F4119"/>
    <w:rsid w:val="007F41B6"/>
    <w:rsid w:val="007F4B87"/>
    <w:rsid w:val="007F4C5C"/>
    <w:rsid w:val="007F4D0F"/>
    <w:rsid w:val="007F4FEC"/>
    <w:rsid w:val="007F53B6"/>
    <w:rsid w:val="007F6308"/>
    <w:rsid w:val="007F68A6"/>
    <w:rsid w:val="007F6A86"/>
    <w:rsid w:val="007F6C7D"/>
    <w:rsid w:val="007F6EC8"/>
    <w:rsid w:val="007F6EF6"/>
    <w:rsid w:val="007F6F5A"/>
    <w:rsid w:val="007F727C"/>
    <w:rsid w:val="007F729B"/>
    <w:rsid w:val="008001AB"/>
    <w:rsid w:val="00800779"/>
    <w:rsid w:val="0080086C"/>
    <w:rsid w:val="00800C00"/>
    <w:rsid w:val="00800D02"/>
    <w:rsid w:val="008020F8"/>
    <w:rsid w:val="00802477"/>
    <w:rsid w:val="00802CD7"/>
    <w:rsid w:val="00802E36"/>
    <w:rsid w:val="00802E76"/>
    <w:rsid w:val="00803338"/>
    <w:rsid w:val="00803595"/>
    <w:rsid w:val="0080398E"/>
    <w:rsid w:val="00803ACD"/>
    <w:rsid w:val="00803B77"/>
    <w:rsid w:val="00803BBC"/>
    <w:rsid w:val="00803C78"/>
    <w:rsid w:val="00803C9B"/>
    <w:rsid w:val="00803E81"/>
    <w:rsid w:val="0080420D"/>
    <w:rsid w:val="0080429D"/>
    <w:rsid w:val="00804A80"/>
    <w:rsid w:val="00804C94"/>
    <w:rsid w:val="00805354"/>
    <w:rsid w:val="008056F2"/>
    <w:rsid w:val="00805799"/>
    <w:rsid w:val="00805AE8"/>
    <w:rsid w:val="00806558"/>
    <w:rsid w:val="00806B17"/>
    <w:rsid w:val="00806C8C"/>
    <w:rsid w:val="00806EFB"/>
    <w:rsid w:val="0081018A"/>
    <w:rsid w:val="00810304"/>
    <w:rsid w:val="0081054C"/>
    <w:rsid w:val="008124D3"/>
    <w:rsid w:val="00812FA5"/>
    <w:rsid w:val="0081311F"/>
    <w:rsid w:val="00813237"/>
    <w:rsid w:val="0081436D"/>
    <w:rsid w:val="00814405"/>
    <w:rsid w:val="00814520"/>
    <w:rsid w:val="008146B2"/>
    <w:rsid w:val="008149F0"/>
    <w:rsid w:val="00814F3A"/>
    <w:rsid w:val="008152DB"/>
    <w:rsid w:val="00815966"/>
    <w:rsid w:val="00816449"/>
    <w:rsid w:val="00816606"/>
    <w:rsid w:val="00816B3C"/>
    <w:rsid w:val="00816B86"/>
    <w:rsid w:val="00817719"/>
    <w:rsid w:val="008200DD"/>
    <w:rsid w:val="00820819"/>
    <w:rsid w:val="00821FA3"/>
    <w:rsid w:val="00822194"/>
    <w:rsid w:val="00822C6A"/>
    <w:rsid w:val="00822CCE"/>
    <w:rsid w:val="00823441"/>
    <w:rsid w:val="00823CE5"/>
    <w:rsid w:val="00823D6A"/>
    <w:rsid w:val="00823F74"/>
    <w:rsid w:val="00824188"/>
    <w:rsid w:val="008241D1"/>
    <w:rsid w:val="008243D9"/>
    <w:rsid w:val="00824D6A"/>
    <w:rsid w:val="00825035"/>
    <w:rsid w:val="008254EF"/>
    <w:rsid w:val="00825E7F"/>
    <w:rsid w:val="0082617F"/>
    <w:rsid w:val="008268DA"/>
    <w:rsid w:val="00826A26"/>
    <w:rsid w:val="00826B51"/>
    <w:rsid w:val="00826D75"/>
    <w:rsid w:val="00827330"/>
    <w:rsid w:val="00827B24"/>
    <w:rsid w:val="00827B81"/>
    <w:rsid w:val="00827E11"/>
    <w:rsid w:val="00830AE7"/>
    <w:rsid w:val="00831B33"/>
    <w:rsid w:val="00831C4D"/>
    <w:rsid w:val="008322D9"/>
    <w:rsid w:val="00832D06"/>
    <w:rsid w:val="00832FE8"/>
    <w:rsid w:val="00833243"/>
    <w:rsid w:val="00833272"/>
    <w:rsid w:val="0083348C"/>
    <w:rsid w:val="00833748"/>
    <w:rsid w:val="00833E28"/>
    <w:rsid w:val="0083579C"/>
    <w:rsid w:val="008357AB"/>
    <w:rsid w:val="0083589D"/>
    <w:rsid w:val="0083599F"/>
    <w:rsid w:val="00835FEE"/>
    <w:rsid w:val="00836110"/>
    <w:rsid w:val="00836320"/>
    <w:rsid w:val="00836AF1"/>
    <w:rsid w:val="00836DAD"/>
    <w:rsid w:val="00837A68"/>
    <w:rsid w:val="00840F85"/>
    <w:rsid w:val="00841F29"/>
    <w:rsid w:val="00842238"/>
    <w:rsid w:val="00842B51"/>
    <w:rsid w:val="00842C9D"/>
    <w:rsid w:val="00843090"/>
    <w:rsid w:val="008431C1"/>
    <w:rsid w:val="00843794"/>
    <w:rsid w:val="00843BB4"/>
    <w:rsid w:val="00843F1B"/>
    <w:rsid w:val="00843F9B"/>
    <w:rsid w:val="00844088"/>
    <w:rsid w:val="00844570"/>
    <w:rsid w:val="008448CD"/>
    <w:rsid w:val="00844FFC"/>
    <w:rsid w:val="00845633"/>
    <w:rsid w:val="00845F53"/>
    <w:rsid w:val="00846084"/>
    <w:rsid w:val="008461BB"/>
    <w:rsid w:val="008462C8"/>
    <w:rsid w:val="00846351"/>
    <w:rsid w:val="008469E8"/>
    <w:rsid w:val="00846E40"/>
    <w:rsid w:val="00846F90"/>
    <w:rsid w:val="008471F1"/>
    <w:rsid w:val="00847586"/>
    <w:rsid w:val="0084784E"/>
    <w:rsid w:val="00847850"/>
    <w:rsid w:val="00847D7D"/>
    <w:rsid w:val="00847EC4"/>
    <w:rsid w:val="00850012"/>
    <w:rsid w:val="008507EC"/>
    <w:rsid w:val="00850E1C"/>
    <w:rsid w:val="00851391"/>
    <w:rsid w:val="00851A7D"/>
    <w:rsid w:val="00851DF2"/>
    <w:rsid w:val="00852446"/>
    <w:rsid w:val="0085273B"/>
    <w:rsid w:val="00852865"/>
    <w:rsid w:val="00852C61"/>
    <w:rsid w:val="00852E47"/>
    <w:rsid w:val="008530D8"/>
    <w:rsid w:val="0085315C"/>
    <w:rsid w:val="008531CA"/>
    <w:rsid w:val="008532FF"/>
    <w:rsid w:val="00853388"/>
    <w:rsid w:val="008537CB"/>
    <w:rsid w:val="00853B3F"/>
    <w:rsid w:val="00853E98"/>
    <w:rsid w:val="00854260"/>
    <w:rsid w:val="00854583"/>
    <w:rsid w:val="00854B66"/>
    <w:rsid w:val="008552F2"/>
    <w:rsid w:val="00855984"/>
    <w:rsid w:val="00855AB3"/>
    <w:rsid w:val="00855AD6"/>
    <w:rsid w:val="00855AF3"/>
    <w:rsid w:val="00855D5E"/>
    <w:rsid w:val="00855E99"/>
    <w:rsid w:val="00856278"/>
    <w:rsid w:val="00856279"/>
    <w:rsid w:val="008564A2"/>
    <w:rsid w:val="00856937"/>
    <w:rsid w:val="00856C15"/>
    <w:rsid w:val="00856D39"/>
    <w:rsid w:val="00856D59"/>
    <w:rsid w:val="008570A9"/>
    <w:rsid w:val="0085745F"/>
    <w:rsid w:val="00857964"/>
    <w:rsid w:val="00857978"/>
    <w:rsid w:val="00857AF0"/>
    <w:rsid w:val="00857FBD"/>
    <w:rsid w:val="00860736"/>
    <w:rsid w:val="008608A5"/>
    <w:rsid w:val="0086097F"/>
    <w:rsid w:val="00860AA7"/>
    <w:rsid w:val="00860D8B"/>
    <w:rsid w:val="00861EA5"/>
    <w:rsid w:val="00862FCB"/>
    <w:rsid w:val="00863CD8"/>
    <w:rsid w:val="008645A9"/>
    <w:rsid w:val="00864AF3"/>
    <w:rsid w:val="00864F3E"/>
    <w:rsid w:val="008650C1"/>
    <w:rsid w:val="008650E3"/>
    <w:rsid w:val="00865381"/>
    <w:rsid w:val="00865D16"/>
    <w:rsid w:val="0086615B"/>
    <w:rsid w:val="008664A9"/>
    <w:rsid w:val="00866F28"/>
    <w:rsid w:val="00867624"/>
    <w:rsid w:val="00867914"/>
    <w:rsid w:val="00867AFA"/>
    <w:rsid w:val="00867F62"/>
    <w:rsid w:val="008704FB"/>
    <w:rsid w:val="0087052A"/>
    <w:rsid w:val="00870949"/>
    <w:rsid w:val="00870B4A"/>
    <w:rsid w:val="00870DC0"/>
    <w:rsid w:val="00870FD4"/>
    <w:rsid w:val="00871649"/>
    <w:rsid w:val="0087175B"/>
    <w:rsid w:val="00871840"/>
    <w:rsid w:val="00871FCE"/>
    <w:rsid w:val="00872326"/>
    <w:rsid w:val="008725C6"/>
    <w:rsid w:val="0087285C"/>
    <w:rsid w:val="00873F91"/>
    <w:rsid w:val="008742F4"/>
    <w:rsid w:val="0087449B"/>
    <w:rsid w:val="00874588"/>
    <w:rsid w:val="00874763"/>
    <w:rsid w:val="00874844"/>
    <w:rsid w:val="008748BF"/>
    <w:rsid w:val="00874E7B"/>
    <w:rsid w:val="008752A2"/>
    <w:rsid w:val="008753BA"/>
    <w:rsid w:val="0087638C"/>
    <w:rsid w:val="008764CF"/>
    <w:rsid w:val="00876ABC"/>
    <w:rsid w:val="00876B2C"/>
    <w:rsid w:val="008778C3"/>
    <w:rsid w:val="00877A23"/>
    <w:rsid w:val="00877BD8"/>
    <w:rsid w:val="008804DD"/>
    <w:rsid w:val="00880975"/>
    <w:rsid w:val="008809F7"/>
    <w:rsid w:val="00881059"/>
    <w:rsid w:val="008814E1"/>
    <w:rsid w:val="00881D34"/>
    <w:rsid w:val="008823C7"/>
    <w:rsid w:val="00882961"/>
    <w:rsid w:val="00882B2B"/>
    <w:rsid w:val="00883293"/>
    <w:rsid w:val="008834EC"/>
    <w:rsid w:val="00883B0B"/>
    <w:rsid w:val="00883C3A"/>
    <w:rsid w:val="00883EB7"/>
    <w:rsid w:val="0088411D"/>
    <w:rsid w:val="00884549"/>
    <w:rsid w:val="00884668"/>
    <w:rsid w:val="00884A70"/>
    <w:rsid w:val="00884FAF"/>
    <w:rsid w:val="00885671"/>
    <w:rsid w:val="00885824"/>
    <w:rsid w:val="00885AC6"/>
    <w:rsid w:val="0088609A"/>
    <w:rsid w:val="00886159"/>
    <w:rsid w:val="00886AE6"/>
    <w:rsid w:val="00886C36"/>
    <w:rsid w:val="00886D67"/>
    <w:rsid w:val="008874F0"/>
    <w:rsid w:val="00887AD3"/>
    <w:rsid w:val="00887C04"/>
    <w:rsid w:val="00887C3F"/>
    <w:rsid w:val="0089049B"/>
    <w:rsid w:val="00890551"/>
    <w:rsid w:val="008907CE"/>
    <w:rsid w:val="00890C47"/>
    <w:rsid w:val="00890FF5"/>
    <w:rsid w:val="0089165D"/>
    <w:rsid w:val="00891665"/>
    <w:rsid w:val="00891B8F"/>
    <w:rsid w:val="0089242F"/>
    <w:rsid w:val="00892602"/>
    <w:rsid w:val="00892B46"/>
    <w:rsid w:val="008930E6"/>
    <w:rsid w:val="008933B1"/>
    <w:rsid w:val="0089391B"/>
    <w:rsid w:val="00893A6F"/>
    <w:rsid w:val="00893D6F"/>
    <w:rsid w:val="00894062"/>
    <w:rsid w:val="0089406D"/>
    <w:rsid w:val="0089409A"/>
    <w:rsid w:val="008940AA"/>
    <w:rsid w:val="00894404"/>
    <w:rsid w:val="00894859"/>
    <w:rsid w:val="0089499F"/>
    <w:rsid w:val="00894EA9"/>
    <w:rsid w:val="00895194"/>
    <w:rsid w:val="0089550D"/>
    <w:rsid w:val="008955AE"/>
    <w:rsid w:val="008955F8"/>
    <w:rsid w:val="0089562C"/>
    <w:rsid w:val="00895D5B"/>
    <w:rsid w:val="0089638F"/>
    <w:rsid w:val="00897041"/>
    <w:rsid w:val="00897705"/>
    <w:rsid w:val="00897711"/>
    <w:rsid w:val="0089787B"/>
    <w:rsid w:val="00897C7E"/>
    <w:rsid w:val="008A0048"/>
    <w:rsid w:val="008A0D2E"/>
    <w:rsid w:val="008A1075"/>
    <w:rsid w:val="008A1244"/>
    <w:rsid w:val="008A1982"/>
    <w:rsid w:val="008A2EC4"/>
    <w:rsid w:val="008A3E23"/>
    <w:rsid w:val="008A460C"/>
    <w:rsid w:val="008A482B"/>
    <w:rsid w:val="008A485F"/>
    <w:rsid w:val="008A4BA1"/>
    <w:rsid w:val="008A4DEC"/>
    <w:rsid w:val="008A5326"/>
    <w:rsid w:val="008A53D4"/>
    <w:rsid w:val="008A54DD"/>
    <w:rsid w:val="008A551C"/>
    <w:rsid w:val="008A589C"/>
    <w:rsid w:val="008A5C7A"/>
    <w:rsid w:val="008A5DA1"/>
    <w:rsid w:val="008A5F88"/>
    <w:rsid w:val="008A6075"/>
    <w:rsid w:val="008A608A"/>
    <w:rsid w:val="008A64AB"/>
    <w:rsid w:val="008A6DFA"/>
    <w:rsid w:val="008A710B"/>
    <w:rsid w:val="008A7403"/>
    <w:rsid w:val="008A76F2"/>
    <w:rsid w:val="008A7A8E"/>
    <w:rsid w:val="008B023C"/>
    <w:rsid w:val="008B030D"/>
    <w:rsid w:val="008B03EF"/>
    <w:rsid w:val="008B065F"/>
    <w:rsid w:val="008B0D47"/>
    <w:rsid w:val="008B0E1E"/>
    <w:rsid w:val="008B0EDA"/>
    <w:rsid w:val="008B1135"/>
    <w:rsid w:val="008B14A9"/>
    <w:rsid w:val="008B151B"/>
    <w:rsid w:val="008B221F"/>
    <w:rsid w:val="008B22C4"/>
    <w:rsid w:val="008B2737"/>
    <w:rsid w:val="008B2A01"/>
    <w:rsid w:val="008B3357"/>
    <w:rsid w:val="008B3803"/>
    <w:rsid w:val="008B38CA"/>
    <w:rsid w:val="008B3B12"/>
    <w:rsid w:val="008B3D39"/>
    <w:rsid w:val="008B3F24"/>
    <w:rsid w:val="008B3F42"/>
    <w:rsid w:val="008B3FCF"/>
    <w:rsid w:val="008B49D6"/>
    <w:rsid w:val="008B4D29"/>
    <w:rsid w:val="008B510A"/>
    <w:rsid w:val="008B5287"/>
    <w:rsid w:val="008B546F"/>
    <w:rsid w:val="008B5733"/>
    <w:rsid w:val="008B5B77"/>
    <w:rsid w:val="008B5D92"/>
    <w:rsid w:val="008B6354"/>
    <w:rsid w:val="008B670C"/>
    <w:rsid w:val="008B6A76"/>
    <w:rsid w:val="008B6DEB"/>
    <w:rsid w:val="008B7024"/>
    <w:rsid w:val="008B7716"/>
    <w:rsid w:val="008B78E0"/>
    <w:rsid w:val="008B7CFC"/>
    <w:rsid w:val="008C014B"/>
    <w:rsid w:val="008C0B38"/>
    <w:rsid w:val="008C0B6B"/>
    <w:rsid w:val="008C0DA9"/>
    <w:rsid w:val="008C0F9E"/>
    <w:rsid w:val="008C13F4"/>
    <w:rsid w:val="008C13F8"/>
    <w:rsid w:val="008C1D5D"/>
    <w:rsid w:val="008C25DD"/>
    <w:rsid w:val="008C2A0C"/>
    <w:rsid w:val="008C2B38"/>
    <w:rsid w:val="008C3079"/>
    <w:rsid w:val="008C3A18"/>
    <w:rsid w:val="008C42ED"/>
    <w:rsid w:val="008C4604"/>
    <w:rsid w:val="008C4818"/>
    <w:rsid w:val="008C4CDE"/>
    <w:rsid w:val="008C514A"/>
    <w:rsid w:val="008C53B4"/>
    <w:rsid w:val="008C5DB1"/>
    <w:rsid w:val="008C6645"/>
    <w:rsid w:val="008C6822"/>
    <w:rsid w:val="008C70CA"/>
    <w:rsid w:val="008C793C"/>
    <w:rsid w:val="008C7C81"/>
    <w:rsid w:val="008C7DD1"/>
    <w:rsid w:val="008D00B6"/>
    <w:rsid w:val="008D082F"/>
    <w:rsid w:val="008D0A24"/>
    <w:rsid w:val="008D0AEE"/>
    <w:rsid w:val="008D0ED7"/>
    <w:rsid w:val="008D0F0B"/>
    <w:rsid w:val="008D176F"/>
    <w:rsid w:val="008D2B5E"/>
    <w:rsid w:val="008D2E50"/>
    <w:rsid w:val="008D3096"/>
    <w:rsid w:val="008D374F"/>
    <w:rsid w:val="008D3825"/>
    <w:rsid w:val="008D42AB"/>
    <w:rsid w:val="008D4A8A"/>
    <w:rsid w:val="008D4ABC"/>
    <w:rsid w:val="008D4CA5"/>
    <w:rsid w:val="008D4FD9"/>
    <w:rsid w:val="008D504D"/>
    <w:rsid w:val="008D55E5"/>
    <w:rsid w:val="008D5968"/>
    <w:rsid w:val="008D5C52"/>
    <w:rsid w:val="008D6CDA"/>
    <w:rsid w:val="008D7773"/>
    <w:rsid w:val="008E0641"/>
    <w:rsid w:val="008E0B11"/>
    <w:rsid w:val="008E10FC"/>
    <w:rsid w:val="008E1320"/>
    <w:rsid w:val="008E17C2"/>
    <w:rsid w:val="008E183E"/>
    <w:rsid w:val="008E1D7C"/>
    <w:rsid w:val="008E1D88"/>
    <w:rsid w:val="008E2846"/>
    <w:rsid w:val="008E290C"/>
    <w:rsid w:val="008E2D20"/>
    <w:rsid w:val="008E2E86"/>
    <w:rsid w:val="008E4003"/>
    <w:rsid w:val="008E44A4"/>
    <w:rsid w:val="008E44F9"/>
    <w:rsid w:val="008E514A"/>
    <w:rsid w:val="008E55C3"/>
    <w:rsid w:val="008E5AB8"/>
    <w:rsid w:val="008E5AEE"/>
    <w:rsid w:val="008E5EE1"/>
    <w:rsid w:val="008E7190"/>
    <w:rsid w:val="008E73C6"/>
    <w:rsid w:val="008E7BE2"/>
    <w:rsid w:val="008F00A9"/>
    <w:rsid w:val="008F02BA"/>
    <w:rsid w:val="008F0516"/>
    <w:rsid w:val="008F0649"/>
    <w:rsid w:val="008F06D1"/>
    <w:rsid w:val="008F0A1E"/>
    <w:rsid w:val="008F0CEA"/>
    <w:rsid w:val="008F0E98"/>
    <w:rsid w:val="008F12F7"/>
    <w:rsid w:val="008F15E9"/>
    <w:rsid w:val="008F1AE3"/>
    <w:rsid w:val="008F2F3D"/>
    <w:rsid w:val="008F3108"/>
    <w:rsid w:val="008F3463"/>
    <w:rsid w:val="008F3DB1"/>
    <w:rsid w:val="008F3E83"/>
    <w:rsid w:val="008F3EE8"/>
    <w:rsid w:val="008F4102"/>
    <w:rsid w:val="008F41B7"/>
    <w:rsid w:val="008F42BE"/>
    <w:rsid w:val="008F44CC"/>
    <w:rsid w:val="008F4622"/>
    <w:rsid w:val="008F53CC"/>
    <w:rsid w:val="008F5593"/>
    <w:rsid w:val="008F5B0A"/>
    <w:rsid w:val="008F5F26"/>
    <w:rsid w:val="008F5F8A"/>
    <w:rsid w:val="008F60DF"/>
    <w:rsid w:val="008F740A"/>
    <w:rsid w:val="008F75BE"/>
    <w:rsid w:val="008F7C3A"/>
    <w:rsid w:val="008F7FDB"/>
    <w:rsid w:val="009001E6"/>
    <w:rsid w:val="0090062F"/>
    <w:rsid w:val="00900AA5"/>
    <w:rsid w:val="00900B00"/>
    <w:rsid w:val="00900F73"/>
    <w:rsid w:val="00900FC1"/>
    <w:rsid w:val="00901561"/>
    <w:rsid w:val="00901766"/>
    <w:rsid w:val="00901B67"/>
    <w:rsid w:val="0090259E"/>
    <w:rsid w:val="0090270B"/>
    <w:rsid w:val="0090349C"/>
    <w:rsid w:val="009034F2"/>
    <w:rsid w:val="00903973"/>
    <w:rsid w:val="00903DA9"/>
    <w:rsid w:val="0090404D"/>
    <w:rsid w:val="00904109"/>
    <w:rsid w:val="0090415C"/>
    <w:rsid w:val="00904234"/>
    <w:rsid w:val="00904A6E"/>
    <w:rsid w:val="00904B79"/>
    <w:rsid w:val="00904EB9"/>
    <w:rsid w:val="00904FF6"/>
    <w:rsid w:val="009054D9"/>
    <w:rsid w:val="00905594"/>
    <w:rsid w:val="00905B8E"/>
    <w:rsid w:val="00905F6B"/>
    <w:rsid w:val="00906052"/>
    <w:rsid w:val="009062C0"/>
    <w:rsid w:val="009068DA"/>
    <w:rsid w:val="0090771F"/>
    <w:rsid w:val="00907F47"/>
    <w:rsid w:val="00910516"/>
    <w:rsid w:val="00910568"/>
    <w:rsid w:val="0091079D"/>
    <w:rsid w:val="00910FA8"/>
    <w:rsid w:val="0091128F"/>
    <w:rsid w:val="00911497"/>
    <w:rsid w:val="009115DE"/>
    <w:rsid w:val="0091163E"/>
    <w:rsid w:val="00911AE4"/>
    <w:rsid w:val="00911DEA"/>
    <w:rsid w:val="009121B2"/>
    <w:rsid w:val="009129C6"/>
    <w:rsid w:val="00912D70"/>
    <w:rsid w:val="00912D90"/>
    <w:rsid w:val="00913C3F"/>
    <w:rsid w:val="00913E5A"/>
    <w:rsid w:val="00914508"/>
    <w:rsid w:val="00914748"/>
    <w:rsid w:val="00914A67"/>
    <w:rsid w:val="00914AD3"/>
    <w:rsid w:val="00914D9D"/>
    <w:rsid w:val="00914E95"/>
    <w:rsid w:val="009152D2"/>
    <w:rsid w:val="00915454"/>
    <w:rsid w:val="00916246"/>
    <w:rsid w:val="0091633B"/>
    <w:rsid w:val="00916785"/>
    <w:rsid w:val="00916BE5"/>
    <w:rsid w:val="009176B3"/>
    <w:rsid w:val="0091781E"/>
    <w:rsid w:val="00920492"/>
    <w:rsid w:val="009205D3"/>
    <w:rsid w:val="00920D52"/>
    <w:rsid w:val="00920DC8"/>
    <w:rsid w:val="009215EC"/>
    <w:rsid w:val="009216D9"/>
    <w:rsid w:val="009217BF"/>
    <w:rsid w:val="00921BCE"/>
    <w:rsid w:val="009220C5"/>
    <w:rsid w:val="009221D4"/>
    <w:rsid w:val="00922381"/>
    <w:rsid w:val="009227D6"/>
    <w:rsid w:val="00922F5E"/>
    <w:rsid w:val="00922F61"/>
    <w:rsid w:val="00922FA7"/>
    <w:rsid w:val="009236B4"/>
    <w:rsid w:val="00923B1B"/>
    <w:rsid w:val="00924DC4"/>
    <w:rsid w:val="009251AD"/>
    <w:rsid w:val="00925841"/>
    <w:rsid w:val="00925AD6"/>
    <w:rsid w:val="00925CE5"/>
    <w:rsid w:val="00927474"/>
    <w:rsid w:val="00927910"/>
    <w:rsid w:val="00927B34"/>
    <w:rsid w:val="00927F7C"/>
    <w:rsid w:val="00927FAD"/>
    <w:rsid w:val="00927FCE"/>
    <w:rsid w:val="00930944"/>
    <w:rsid w:val="00930948"/>
    <w:rsid w:val="0093103F"/>
    <w:rsid w:val="00931059"/>
    <w:rsid w:val="009318C1"/>
    <w:rsid w:val="00931E65"/>
    <w:rsid w:val="00931F4A"/>
    <w:rsid w:val="00932507"/>
    <w:rsid w:val="009328B4"/>
    <w:rsid w:val="00932957"/>
    <w:rsid w:val="00932B41"/>
    <w:rsid w:val="00932EFC"/>
    <w:rsid w:val="00933063"/>
    <w:rsid w:val="0093316E"/>
    <w:rsid w:val="00933AAD"/>
    <w:rsid w:val="00933EA1"/>
    <w:rsid w:val="009341DF"/>
    <w:rsid w:val="00934B75"/>
    <w:rsid w:val="009360BA"/>
    <w:rsid w:val="0093614A"/>
    <w:rsid w:val="009364BD"/>
    <w:rsid w:val="009367BF"/>
    <w:rsid w:val="00936A42"/>
    <w:rsid w:val="0093717B"/>
    <w:rsid w:val="00937E81"/>
    <w:rsid w:val="00937EE3"/>
    <w:rsid w:val="00937FDA"/>
    <w:rsid w:val="0094080A"/>
    <w:rsid w:val="00940AFF"/>
    <w:rsid w:val="00940E81"/>
    <w:rsid w:val="00941041"/>
    <w:rsid w:val="00941258"/>
    <w:rsid w:val="00941DCC"/>
    <w:rsid w:val="00941DE5"/>
    <w:rsid w:val="00942168"/>
    <w:rsid w:val="0094275F"/>
    <w:rsid w:val="0094303F"/>
    <w:rsid w:val="0094316B"/>
    <w:rsid w:val="00943233"/>
    <w:rsid w:val="00943605"/>
    <w:rsid w:val="00943817"/>
    <w:rsid w:val="0094388F"/>
    <w:rsid w:val="00943D7C"/>
    <w:rsid w:val="00943E92"/>
    <w:rsid w:val="00944B86"/>
    <w:rsid w:val="00944E8A"/>
    <w:rsid w:val="00945510"/>
    <w:rsid w:val="00945598"/>
    <w:rsid w:val="009457F8"/>
    <w:rsid w:val="00945C30"/>
    <w:rsid w:val="00945C7A"/>
    <w:rsid w:val="00946324"/>
    <w:rsid w:val="009468C7"/>
    <w:rsid w:val="00946B26"/>
    <w:rsid w:val="00946B98"/>
    <w:rsid w:val="00946E09"/>
    <w:rsid w:val="00947375"/>
    <w:rsid w:val="00947465"/>
    <w:rsid w:val="00947AB2"/>
    <w:rsid w:val="00947CF1"/>
    <w:rsid w:val="009501E5"/>
    <w:rsid w:val="009503E1"/>
    <w:rsid w:val="0095111D"/>
    <w:rsid w:val="00951509"/>
    <w:rsid w:val="00951713"/>
    <w:rsid w:val="00951D3C"/>
    <w:rsid w:val="00951E11"/>
    <w:rsid w:val="00952E8A"/>
    <w:rsid w:val="00952F70"/>
    <w:rsid w:val="00953561"/>
    <w:rsid w:val="0095372F"/>
    <w:rsid w:val="0095387F"/>
    <w:rsid w:val="0095494A"/>
    <w:rsid w:val="00954E40"/>
    <w:rsid w:val="00955484"/>
    <w:rsid w:val="0095589F"/>
    <w:rsid w:val="0095590D"/>
    <w:rsid w:val="00955D54"/>
    <w:rsid w:val="00956010"/>
    <w:rsid w:val="00956037"/>
    <w:rsid w:val="0095607E"/>
    <w:rsid w:val="00956273"/>
    <w:rsid w:val="00956640"/>
    <w:rsid w:val="00956828"/>
    <w:rsid w:val="009569A1"/>
    <w:rsid w:val="00956A04"/>
    <w:rsid w:val="00956B04"/>
    <w:rsid w:val="009576CF"/>
    <w:rsid w:val="00957BED"/>
    <w:rsid w:val="0096013F"/>
    <w:rsid w:val="00960335"/>
    <w:rsid w:val="00960349"/>
    <w:rsid w:val="009605BA"/>
    <w:rsid w:val="009607FB"/>
    <w:rsid w:val="00960E5C"/>
    <w:rsid w:val="009625AA"/>
    <w:rsid w:val="009629AE"/>
    <w:rsid w:val="00962A9A"/>
    <w:rsid w:val="00962D2B"/>
    <w:rsid w:val="0096381B"/>
    <w:rsid w:val="00963CD4"/>
    <w:rsid w:val="00963F22"/>
    <w:rsid w:val="00963F2C"/>
    <w:rsid w:val="0096427F"/>
    <w:rsid w:val="00964720"/>
    <w:rsid w:val="009649D9"/>
    <w:rsid w:val="00965249"/>
    <w:rsid w:val="009656F3"/>
    <w:rsid w:val="00965877"/>
    <w:rsid w:val="00965B5F"/>
    <w:rsid w:val="00965E47"/>
    <w:rsid w:val="00966464"/>
    <w:rsid w:val="009665B3"/>
    <w:rsid w:val="00966AF1"/>
    <w:rsid w:val="00966E58"/>
    <w:rsid w:val="00967112"/>
    <w:rsid w:val="009677A9"/>
    <w:rsid w:val="00967831"/>
    <w:rsid w:val="00967E9D"/>
    <w:rsid w:val="00970BA4"/>
    <w:rsid w:val="00971027"/>
    <w:rsid w:val="009713D4"/>
    <w:rsid w:val="0097159A"/>
    <w:rsid w:val="00971D94"/>
    <w:rsid w:val="0097239E"/>
    <w:rsid w:val="009723C9"/>
    <w:rsid w:val="00972534"/>
    <w:rsid w:val="00972A32"/>
    <w:rsid w:val="009732A9"/>
    <w:rsid w:val="00973412"/>
    <w:rsid w:val="00974C05"/>
    <w:rsid w:val="0097528A"/>
    <w:rsid w:val="009755B0"/>
    <w:rsid w:val="00975606"/>
    <w:rsid w:val="00975708"/>
    <w:rsid w:val="00975728"/>
    <w:rsid w:val="00976788"/>
    <w:rsid w:val="0097691B"/>
    <w:rsid w:val="00976E84"/>
    <w:rsid w:val="00976EBD"/>
    <w:rsid w:val="009776D2"/>
    <w:rsid w:val="0098142B"/>
    <w:rsid w:val="009815DE"/>
    <w:rsid w:val="0098182D"/>
    <w:rsid w:val="00981D77"/>
    <w:rsid w:val="00981F27"/>
    <w:rsid w:val="00982058"/>
    <w:rsid w:val="009827F9"/>
    <w:rsid w:val="009831BE"/>
    <w:rsid w:val="00983357"/>
    <w:rsid w:val="009837B0"/>
    <w:rsid w:val="00983BD2"/>
    <w:rsid w:val="00983D99"/>
    <w:rsid w:val="0098464A"/>
    <w:rsid w:val="00984FFC"/>
    <w:rsid w:val="009851BD"/>
    <w:rsid w:val="00985D5A"/>
    <w:rsid w:val="00985FA8"/>
    <w:rsid w:val="00986355"/>
    <w:rsid w:val="0098650D"/>
    <w:rsid w:val="00986707"/>
    <w:rsid w:val="009867F4"/>
    <w:rsid w:val="009875FE"/>
    <w:rsid w:val="00987B7F"/>
    <w:rsid w:val="00987C1A"/>
    <w:rsid w:val="009901F1"/>
    <w:rsid w:val="009905D2"/>
    <w:rsid w:val="00990AD6"/>
    <w:rsid w:val="009910E1"/>
    <w:rsid w:val="0099115A"/>
    <w:rsid w:val="00991C8F"/>
    <w:rsid w:val="00991E80"/>
    <w:rsid w:val="00992479"/>
    <w:rsid w:val="009926D2"/>
    <w:rsid w:val="009928C1"/>
    <w:rsid w:val="00993764"/>
    <w:rsid w:val="0099384E"/>
    <w:rsid w:val="00993980"/>
    <w:rsid w:val="00993F02"/>
    <w:rsid w:val="0099480B"/>
    <w:rsid w:val="00994AFE"/>
    <w:rsid w:val="00994BC7"/>
    <w:rsid w:val="009953A0"/>
    <w:rsid w:val="00995BB9"/>
    <w:rsid w:val="0099666F"/>
    <w:rsid w:val="00996699"/>
    <w:rsid w:val="0099708F"/>
    <w:rsid w:val="00997469"/>
    <w:rsid w:val="009974C5"/>
    <w:rsid w:val="0099796B"/>
    <w:rsid w:val="00997A0C"/>
    <w:rsid w:val="009A008D"/>
    <w:rsid w:val="009A0747"/>
    <w:rsid w:val="009A087D"/>
    <w:rsid w:val="009A08BB"/>
    <w:rsid w:val="009A0B48"/>
    <w:rsid w:val="009A0CF1"/>
    <w:rsid w:val="009A0F4D"/>
    <w:rsid w:val="009A1776"/>
    <w:rsid w:val="009A1AAF"/>
    <w:rsid w:val="009A1C14"/>
    <w:rsid w:val="009A1ED3"/>
    <w:rsid w:val="009A217A"/>
    <w:rsid w:val="009A27AA"/>
    <w:rsid w:val="009A29BA"/>
    <w:rsid w:val="009A2B88"/>
    <w:rsid w:val="009A2EA6"/>
    <w:rsid w:val="009A2F9A"/>
    <w:rsid w:val="009A3A31"/>
    <w:rsid w:val="009A3EC6"/>
    <w:rsid w:val="009A433E"/>
    <w:rsid w:val="009A4F90"/>
    <w:rsid w:val="009A5054"/>
    <w:rsid w:val="009A50CB"/>
    <w:rsid w:val="009A5898"/>
    <w:rsid w:val="009A58A5"/>
    <w:rsid w:val="009A5B42"/>
    <w:rsid w:val="009A5E66"/>
    <w:rsid w:val="009A5F09"/>
    <w:rsid w:val="009A604C"/>
    <w:rsid w:val="009A609B"/>
    <w:rsid w:val="009A60B4"/>
    <w:rsid w:val="009A636A"/>
    <w:rsid w:val="009A6529"/>
    <w:rsid w:val="009A6705"/>
    <w:rsid w:val="009A6AFB"/>
    <w:rsid w:val="009A6D77"/>
    <w:rsid w:val="009A6E38"/>
    <w:rsid w:val="009A74D1"/>
    <w:rsid w:val="009A75DE"/>
    <w:rsid w:val="009A763A"/>
    <w:rsid w:val="009A7B62"/>
    <w:rsid w:val="009B12D4"/>
    <w:rsid w:val="009B182E"/>
    <w:rsid w:val="009B1E83"/>
    <w:rsid w:val="009B2291"/>
    <w:rsid w:val="009B22CF"/>
    <w:rsid w:val="009B26CC"/>
    <w:rsid w:val="009B2879"/>
    <w:rsid w:val="009B2D1B"/>
    <w:rsid w:val="009B2E83"/>
    <w:rsid w:val="009B37B8"/>
    <w:rsid w:val="009B3C0A"/>
    <w:rsid w:val="009B3C70"/>
    <w:rsid w:val="009B3DF4"/>
    <w:rsid w:val="009B4523"/>
    <w:rsid w:val="009B4804"/>
    <w:rsid w:val="009B4DBD"/>
    <w:rsid w:val="009B4E67"/>
    <w:rsid w:val="009B50BD"/>
    <w:rsid w:val="009B515B"/>
    <w:rsid w:val="009B585E"/>
    <w:rsid w:val="009B5B58"/>
    <w:rsid w:val="009B5ECC"/>
    <w:rsid w:val="009B6375"/>
    <w:rsid w:val="009B657E"/>
    <w:rsid w:val="009B6683"/>
    <w:rsid w:val="009B6875"/>
    <w:rsid w:val="009B6D5D"/>
    <w:rsid w:val="009B7138"/>
    <w:rsid w:val="009B7250"/>
    <w:rsid w:val="009B7752"/>
    <w:rsid w:val="009B784B"/>
    <w:rsid w:val="009B7E00"/>
    <w:rsid w:val="009B7E08"/>
    <w:rsid w:val="009B7F94"/>
    <w:rsid w:val="009C02D8"/>
    <w:rsid w:val="009C07C8"/>
    <w:rsid w:val="009C0976"/>
    <w:rsid w:val="009C0E62"/>
    <w:rsid w:val="009C120C"/>
    <w:rsid w:val="009C1A31"/>
    <w:rsid w:val="009C20F4"/>
    <w:rsid w:val="009C2466"/>
    <w:rsid w:val="009C317F"/>
    <w:rsid w:val="009C329A"/>
    <w:rsid w:val="009C34F9"/>
    <w:rsid w:val="009C39F6"/>
    <w:rsid w:val="009C3B00"/>
    <w:rsid w:val="009C49F6"/>
    <w:rsid w:val="009C54ED"/>
    <w:rsid w:val="009C55E8"/>
    <w:rsid w:val="009C5680"/>
    <w:rsid w:val="009C5919"/>
    <w:rsid w:val="009C5D2C"/>
    <w:rsid w:val="009C5FE6"/>
    <w:rsid w:val="009C63F0"/>
    <w:rsid w:val="009C65A8"/>
    <w:rsid w:val="009C6B06"/>
    <w:rsid w:val="009C7F7E"/>
    <w:rsid w:val="009D0370"/>
    <w:rsid w:val="009D0A53"/>
    <w:rsid w:val="009D112B"/>
    <w:rsid w:val="009D11A5"/>
    <w:rsid w:val="009D19FD"/>
    <w:rsid w:val="009D1B8B"/>
    <w:rsid w:val="009D38EB"/>
    <w:rsid w:val="009D3C48"/>
    <w:rsid w:val="009D41D6"/>
    <w:rsid w:val="009D4854"/>
    <w:rsid w:val="009D4903"/>
    <w:rsid w:val="009D4CF2"/>
    <w:rsid w:val="009D538E"/>
    <w:rsid w:val="009D6256"/>
    <w:rsid w:val="009D6294"/>
    <w:rsid w:val="009D6A8C"/>
    <w:rsid w:val="009D715D"/>
    <w:rsid w:val="009D72F3"/>
    <w:rsid w:val="009D73EE"/>
    <w:rsid w:val="009D79E2"/>
    <w:rsid w:val="009D7A9D"/>
    <w:rsid w:val="009E08EA"/>
    <w:rsid w:val="009E0DA6"/>
    <w:rsid w:val="009E148C"/>
    <w:rsid w:val="009E148E"/>
    <w:rsid w:val="009E1729"/>
    <w:rsid w:val="009E1973"/>
    <w:rsid w:val="009E1D95"/>
    <w:rsid w:val="009E24BA"/>
    <w:rsid w:val="009E24D1"/>
    <w:rsid w:val="009E25A3"/>
    <w:rsid w:val="009E26BC"/>
    <w:rsid w:val="009E297B"/>
    <w:rsid w:val="009E2C73"/>
    <w:rsid w:val="009E3021"/>
    <w:rsid w:val="009E32F9"/>
    <w:rsid w:val="009E3E76"/>
    <w:rsid w:val="009E4B7A"/>
    <w:rsid w:val="009E5274"/>
    <w:rsid w:val="009E557F"/>
    <w:rsid w:val="009E5B8F"/>
    <w:rsid w:val="009E5FD0"/>
    <w:rsid w:val="009E6B42"/>
    <w:rsid w:val="009E7B1A"/>
    <w:rsid w:val="009F00DD"/>
    <w:rsid w:val="009F0445"/>
    <w:rsid w:val="009F05FD"/>
    <w:rsid w:val="009F0AED"/>
    <w:rsid w:val="009F0B6A"/>
    <w:rsid w:val="009F0C7F"/>
    <w:rsid w:val="009F0E56"/>
    <w:rsid w:val="009F1181"/>
    <w:rsid w:val="009F1212"/>
    <w:rsid w:val="009F1348"/>
    <w:rsid w:val="009F147E"/>
    <w:rsid w:val="009F164A"/>
    <w:rsid w:val="009F1694"/>
    <w:rsid w:val="009F1E88"/>
    <w:rsid w:val="009F278D"/>
    <w:rsid w:val="009F2BAA"/>
    <w:rsid w:val="009F2CAA"/>
    <w:rsid w:val="009F32B2"/>
    <w:rsid w:val="009F3618"/>
    <w:rsid w:val="009F3D48"/>
    <w:rsid w:val="009F4E10"/>
    <w:rsid w:val="009F4F62"/>
    <w:rsid w:val="009F4F94"/>
    <w:rsid w:val="009F526A"/>
    <w:rsid w:val="009F567C"/>
    <w:rsid w:val="009F5E43"/>
    <w:rsid w:val="009F5EF8"/>
    <w:rsid w:val="009F677A"/>
    <w:rsid w:val="009F694E"/>
    <w:rsid w:val="009F6F70"/>
    <w:rsid w:val="009F6F86"/>
    <w:rsid w:val="009F6FB1"/>
    <w:rsid w:val="009F7394"/>
    <w:rsid w:val="009F7778"/>
    <w:rsid w:val="009F7868"/>
    <w:rsid w:val="009F7A4B"/>
    <w:rsid w:val="00A000F0"/>
    <w:rsid w:val="00A005A1"/>
    <w:rsid w:val="00A01179"/>
    <w:rsid w:val="00A0126C"/>
    <w:rsid w:val="00A01349"/>
    <w:rsid w:val="00A022D5"/>
    <w:rsid w:val="00A023BA"/>
    <w:rsid w:val="00A026A7"/>
    <w:rsid w:val="00A02DC2"/>
    <w:rsid w:val="00A03124"/>
    <w:rsid w:val="00A03342"/>
    <w:rsid w:val="00A03464"/>
    <w:rsid w:val="00A03B35"/>
    <w:rsid w:val="00A04327"/>
    <w:rsid w:val="00A05641"/>
    <w:rsid w:val="00A05DBD"/>
    <w:rsid w:val="00A061A9"/>
    <w:rsid w:val="00A0645D"/>
    <w:rsid w:val="00A06648"/>
    <w:rsid w:val="00A07560"/>
    <w:rsid w:val="00A07AB1"/>
    <w:rsid w:val="00A07ADF"/>
    <w:rsid w:val="00A07E0A"/>
    <w:rsid w:val="00A102B0"/>
    <w:rsid w:val="00A10376"/>
    <w:rsid w:val="00A10763"/>
    <w:rsid w:val="00A10F55"/>
    <w:rsid w:val="00A11645"/>
    <w:rsid w:val="00A11BF6"/>
    <w:rsid w:val="00A12144"/>
    <w:rsid w:val="00A124D6"/>
    <w:rsid w:val="00A12B15"/>
    <w:rsid w:val="00A12C63"/>
    <w:rsid w:val="00A13009"/>
    <w:rsid w:val="00A13242"/>
    <w:rsid w:val="00A135E0"/>
    <w:rsid w:val="00A13A8B"/>
    <w:rsid w:val="00A1466A"/>
    <w:rsid w:val="00A150B8"/>
    <w:rsid w:val="00A1557F"/>
    <w:rsid w:val="00A1647A"/>
    <w:rsid w:val="00A16EA4"/>
    <w:rsid w:val="00A17302"/>
    <w:rsid w:val="00A175CA"/>
    <w:rsid w:val="00A17F5A"/>
    <w:rsid w:val="00A2074D"/>
    <w:rsid w:val="00A20D31"/>
    <w:rsid w:val="00A20E55"/>
    <w:rsid w:val="00A20FAD"/>
    <w:rsid w:val="00A21476"/>
    <w:rsid w:val="00A2188A"/>
    <w:rsid w:val="00A2198D"/>
    <w:rsid w:val="00A21B4C"/>
    <w:rsid w:val="00A21DB4"/>
    <w:rsid w:val="00A22542"/>
    <w:rsid w:val="00A225C5"/>
    <w:rsid w:val="00A22890"/>
    <w:rsid w:val="00A22ADB"/>
    <w:rsid w:val="00A2307B"/>
    <w:rsid w:val="00A23240"/>
    <w:rsid w:val="00A23366"/>
    <w:rsid w:val="00A23661"/>
    <w:rsid w:val="00A23B02"/>
    <w:rsid w:val="00A24022"/>
    <w:rsid w:val="00A2449B"/>
    <w:rsid w:val="00A24DC1"/>
    <w:rsid w:val="00A25118"/>
    <w:rsid w:val="00A251CF"/>
    <w:rsid w:val="00A25352"/>
    <w:rsid w:val="00A2595F"/>
    <w:rsid w:val="00A25ACA"/>
    <w:rsid w:val="00A26081"/>
    <w:rsid w:val="00A2647F"/>
    <w:rsid w:val="00A266BF"/>
    <w:rsid w:val="00A266EE"/>
    <w:rsid w:val="00A26956"/>
    <w:rsid w:val="00A26A0B"/>
    <w:rsid w:val="00A26DBA"/>
    <w:rsid w:val="00A26F18"/>
    <w:rsid w:val="00A26F1C"/>
    <w:rsid w:val="00A26F89"/>
    <w:rsid w:val="00A272A1"/>
    <w:rsid w:val="00A272CA"/>
    <w:rsid w:val="00A27430"/>
    <w:rsid w:val="00A279BE"/>
    <w:rsid w:val="00A279D8"/>
    <w:rsid w:val="00A27A37"/>
    <w:rsid w:val="00A30265"/>
    <w:rsid w:val="00A3109E"/>
    <w:rsid w:val="00A3131E"/>
    <w:rsid w:val="00A313BB"/>
    <w:rsid w:val="00A315CC"/>
    <w:rsid w:val="00A318EB"/>
    <w:rsid w:val="00A31A74"/>
    <w:rsid w:val="00A325A6"/>
    <w:rsid w:val="00A32897"/>
    <w:rsid w:val="00A329F7"/>
    <w:rsid w:val="00A32C68"/>
    <w:rsid w:val="00A32CF0"/>
    <w:rsid w:val="00A32D5A"/>
    <w:rsid w:val="00A32E4A"/>
    <w:rsid w:val="00A336E5"/>
    <w:rsid w:val="00A3372A"/>
    <w:rsid w:val="00A33933"/>
    <w:rsid w:val="00A33B7E"/>
    <w:rsid w:val="00A33D83"/>
    <w:rsid w:val="00A344A2"/>
    <w:rsid w:val="00A34830"/>
    <w:rsid w:val="00A34D15"/>
    <w:rsid w:val="00A34FFF"/>
    <w:rsid w:val="00A350A8"/>
    <w:rsid w:val="00A3513B"/>
    <w:rsid w:val="00A352F8"/>
    <w:rsid w:val="00A35A62"/>
    <w:rsid w:val="00A35C85"/>
    <w:rsid w:val="00A3653F"/>
    <w:rsid w:val="00A36C80"/>
    <w:rsid w:val="00A37569"/>
    <w:rsid w:val="00A404C9"/>
    <w:rsid w:val="00A406DD"/>
    <w:rsid w:val="00A40ACA"/>
    <w:rsid w:val="00A40B4C"/>
    <w:rsid w:val="00A40F25"/>
    <w:rsid w:val="00A414C9"/>
    <w:rsid w:val="00A41526"/>
    <w:rsid w:val="00A41578"/>
    <w:rsid w:val="00A41857"/>
    <w:rsid w:val="00A41E6A"/>
    <w:rsid w:val="00A42422"/>
    <w:rsid w:val="00A42565"/>
    <w:rsid w:val="00A4274A"/>
    <w:rsid w:val="00A42830"/>
    <w:rsid w:val="00A43188"/>
    <w:rsid w:val="00A43288"/>
    <w:rsid w:val="00A432B8"/>
    <w:rsid w:val="00A437AA"/>
    <w:rsid w:val="00A43BA6"/>
    <w:rsid w:val="00A448D5"/>
    <w:rsid w:val="00A44A06"/>
    <w:rsid w:val="00A45A92"/>
    <w:rsid w:val="00A45AF8"/>
    <w:rsid w:val="00A464EB"/>
    <w:rsid w:val="00A467E5"/>
    <w:rsid w:val="00A46FEE"/>
    <w:rsid w:val="00A473BF"/>
    <w:rsid w:val="00A473CE"/>
    <w:rsid w:val="00A474D3"/>
    <w:rsid w:val="00A47CD7"/>
    <w:rsid w:val="00A5004C"/>
    <w:rsid w:val="00A50086"/>
    <w:rsid w:val="00A5035D"/>
    <w:rsid w:val="00A50D31"/>
    <w:rsid w:val="00A50F5F"/>
    <w:rsid w:val="00A520CC"/>
    <w:rsid w:val="00A5239C"/>
    <w:rsid w:val="00A524FE"/>
    <w:rsid w:val="00A52790"/>
    <w:rsid w:val="00A52A9F"/>
    <w:rsid w:val="00A52AAC"/>
    <w:rsid w:val="00A52B50"/>
    <w:rsid w:val="00A5313A"/>
    <w:rsid w:val="00A5328F"/>
    <w:rsid w:val="00A53FF1"/>
    <w:rsid w:val="00A543FE"/>
    <w:rsid w:val="00A54500"/>
    <w:rsid w:val="00A54ACB"/>
    <w:rsid w:val="00A55D28"/>
    <w:rsid w:val="00A560DA"/>
    <w:rsid w:val="00A57330"/>
    <w:rsid w:val="00A576C0"/>
    <w:rsid w:val="00A576F0"/>
    <w:rsid w:val="00A579A1"/>
    <w:rsid w:val="00A57D2C"/>
    <w:rsid w:val="00A57F53"/>
    <w:rsid w:val="00A57FFA"/>
    <w:rsid w:val="00A602DB"/>
    <w:rsid w:val="00A605F0"/>
    <w:rsid w:val="00A60B63"/>
    <w:rsid w:val="00A60DA2"/>
    <w:rsid w:val="00A60FCC"/>
    <w:rsid w:val="00A61467"/>
    <w:rsid w:val="00A61B79"/>
    <w:rsid w:val="00A61F1A"/>
    <w:rsid w:val="00A62BD1"/>
    <w:rsid w:val="00A62D99"/>
    <w:rsid w:val="00A62FAB"/>
    <w:rsid w:val="00A63225"/>
    <w:rsid w:val="00A63A8A"/>
    <w:rsid w:val="00A63CA8"/>
    <w:rsid w:val="00A643E4"/>
    <w:rsid w:val="00A646A0"/>
    <w:rsid w:val="00A646C3"/>
    <w:rsid w:val="00A64845"/>
    <w:rsid w:val="00A65179"/>
    <w:rsid w:val="00A6573A"/>
    <w:rsid w:val="00A661C2"/>
    <w:rsid w:val="00A6628D"/>
    <w:rsid w:val="00A66823"/>
    <w:rsid w:val="00A6754A"/>
    <w:rsid w:val="00A67A2F"/>
    <w:rsid w:val="00A67A8F"/>
    <w:rsid w:val="00A67AF0"/>
    <w:rsid w:val="00A67CD9"/>
    <w:rsid w:val="00A67E0E"/>
    <w:rsid w:val="00A70EB4"/>
    <w:rsid w:val="00A72398"/>
    <w:rsid w:val="00A724E0"/>
    <w:rsid w:val="00A725C5"/>
    <w:rsid w:val="00A725D3"/>
    <w:rsid w:val="00A7261F"/>
    <w:rsid w:val="00A7262B"/>
    <w:rsid w:val="00A731E5"/>
    <w:rsid w:val="00A73604"/>
    <w:rsid w:val="00A73B16"/>
    <w:rsid w:val="00A73FF9"/>
    <w:rsid w:val="00A74594"/>
    <w:rsid w:val="00A74655"/>
    <w:rsid w:val="00A74738"/>
    <w:rsid w:val="00A74B25"/>
    <w:rsid w:val="00A74EE6"/>
    <w:rsid w:val="00A75126"/>
    <w:rsid w:val="00A756A6"/>
    <w:rsid w:val="00A75EE7"/>
    <w:rsid w:val="00A76017"/>
    <w:rsid w:val="00A76338"/>
    <w:rsid w:val="00A76E70"/>
    <w:rsid w:val="00A776F4"/>
    <w:rsid w:val="00A80AFE"/>
    <w:rsid w:val="00A810E1"/>
    <w:rsid w:val="00A810EF"/>
    <w:rsid w:val="00A811DF"/>
    <w:rsid w:val="00A8137D"/>
    <w:rsid w:val="00A81538"/>
    <w:rsid w:val="00A816A3"/>
    <w:rsid w:val="00A82275"/>
    <w:rsid w:val="00A822AF"/>
    <w:rsid w:val="00A82A84"/>
    <w:rsid w:val="00A82BB0"/>
    <w:rsid w:val="00A8314F"/>
    <w:rsid w:val="00A83478"/>
    <w:rsid w:val="00A842A7"/>
    <w:rsid w:val="00A846CE"/>
    <w:rsid w:val="00A847CF"/>
    <w:rsid w:val="00A84AFA"/>
    <w:rsid w:val="00A8529F"/>
    <w:rsid w:val="00A85449"/>
    <w:rsid w:val="00A85C0C"/>
    <w:rsid w:val="00A85FEB"/>
    <w:rsid w:val="00A86235"/>
    <w:rsid w:val="00A865E3"/>
    <w:rsid w:val="00A86C49"/>
    <w:rsid w:val="00A86C7D"/>
    <w:rsid w:val="00A87462"/>
    <w:rsid w:val="00A875CD"/>
    <w:rsid w:val="00A87C15"/>
    <w:rsid w:val="00A90228"/>
    <w:rsid w:val="00A9025E"/>
    <w:rsid w:val="00A90349"/>
    <w:rsid w:val="00A9144D"/>
    <w:rsid w:val="00A91BB8"/>
    <w:rsid w:val="00A91E65"/>
    <w:rsid w:val="00A924B6"/>
    <w:rsid w:val="00A9290E"/>
    <w:rsid w:val="00A92A8F"/>
    <w:rsid w:val="00A92CE6"/>
    <w:rsid w:val="00A936B9"/>
    <w:rsid w:val="00A9387B"/>
    <w:rsid w:val="00A9430B"/>
    <w:rsid w:val="00A94538"/>
    <w:rsid w:val="00A94803"/>
    <w:rsid w:val="00A94865"/>
    <w:rsid w:val="00A94A3A"/>
    <w:rsid w:val="00A95527"/>
    <w:rsid w:val="00A95802"/>
    <w:rsid w:val="00A95FD2"/>
    <w:rsid w:val="00A962A5"/>
    <w:rsid w:val="00A96FEC"/>
    <w:rsid w:val="00A97413"/>
    <w:rsid w:val="00A97B09"/>
    <w:rsid w:val="00A97B52"/>
    <w:rsid w:val="00AA0B02"/>
    <w:rsid w:val="00AA0C5E"/>
    <w:rsid w:val="00AA0F4D"/>
    <w:rsid w:val="00AA11D2"/>
    <w:rsid w:val="00AA19F8"/>
    <w:rsid w:val="00AA1B1F"/>
    <w:rsid w:val="00AA1D8D"/>
    <w:rsid w:val="00AA1F93"/>
    <w:rsid w:val="00AA2260"/>
    <w:rsid w:val="00AA24B4"/>
    <w:rsid w:val="00AA273B"/>
    <w:rsid w:val="00AA27F6"/>
    <w:rsid w:val="00AA2DB9"/>
    <w:rsid w:val="00AA2E9A"/>
    <w:rsid w:val="00AA3B8B"/>
    <w:rsid w:val="00AA4D02"/>
    <w:rsid w:val="00AA4ED2"/>
    <w:rsid w:val="00AA507F"/>
    <w:rsid w:val="00AA50D4"/>
    <w:rsid w:val="00AA5596"/>
    <w:rsid w:val="00AA572B"/>
    <w:rsid w:val="00AA5B67"/>
    <w:rsid w:val="00AA5BDB"/>
    <w:rsid w:val="00AA5CAD"/>
    <w:rsid w:val="00AA5CE7"/>
    <w:rsid w:val="00AA5E2E"/>
    <w:rsid w:val="00AA5F90"/>
    <w:rsid w:val="00AA6AE3"/>
    <w:rsid w:val="00AA7146"/>
    <w:rsid w:val="00AA7A04"/>
    <w:rsid w:val="00AA7F12"/>
    <w:rsid w:val="00AB06F2"/>
    <w:rsid w:val="00AB0805"/>
    <w:rsid w:val="00AB09A1"/>
    <w:rsid w:val="00AB1057"/>
    <w:rsid w:val="00AB11BF"/>
    <w:rsid w:val="00AB16D0"/>
    <w:rsid w:val="00AB184F"/>
    <w:rsid w:val="00AB193E"/>
    <w:rsid w:val="00AB1ED4"/>
    <w:rsid w:val="00AB2350"/>
    <w:rsid w:val="00AB2A06"/>
    <w:rsid w:val="00AB2D5E"/>
    <w:rsid w:val="00AB2F33"/>
    <w:rsid w:val="00AB39BD"/>
    <w:rsid w:val="00AB3BD5"/>
    <w:rsid w:val="00AB451E"/>
    <w:rsid w:val="00AB4610"/>
    <w:rsid w:val="00AB47C6"/>
    <w:rsid w:val="00AB4882"/>
    <w:rsid w:val="00AB4995"/>
    <w:rsid w:val="00AB4D88"/>
    <w:rsid w:val="00AB5098"/>
    <w:rsid w:val="00AB5193"/>
    <w:rsid w:val="00AB5208"/>
    <w:rsid w:val="00AB52D8"/>
    <w:rsid w:val="00AB52FE"/>
    <w:rsid w:val="00AB5661"/>
    <w:rsid w:val="00AB6894"/>
    <w:rsid w:val="00AB6EE0"/>
    <w:rsid w:val="00AB73D3"/>
    <w:rsid w:val="00AB79ED"/>
    <w:rsid w:val="00AB7A6A"/>
    <w:rsid w:val="00AB7F2D"/>
    <w:rsid w:val="00AC0BD7"/>
    <w:rsid w:val="00AC14FE"/>
    <w:rsid w:val="00AC1539"/>
    <w:rsid w:val="00AC1674"/>
    <w:rsid w:val="00AC1728"/>
    <w:rsid w:val="00AC1BAE"/>
    <w:rsid w:val="00AC1DF5"/>
    <w:rsid w:val="00AC2148"/>
    <w:rsid w:val="00AC2402"/>
    <w:rsid w:val="00AC2693"/>
    <w:rsid w:val="00AC27D9"/>
    <w:rsid w:val="00AC29BD"/>
    <w:rsid w:val="00AC2B94"/>
    <w:rsid w:val="00AC378E"/>
    <w:rsid w:val="00AC37C9"/>
    <w:rsid w:val="00AC3CA0"/>
    <w:rsid w:val="00AC4020"/>
    <w:rsid w:val="00AC4182"/>
    <w:rsid w:val="00AC45BC"/>
    <w:rsid w:val="00AC5390"/>
    <w:rsid w:val="00AC5A2E"/>
    <w:rsid w:val="00AC5AC8"/>
    <w:rsid w:val="00AC5C89"/>
    <w:rsid w:val="00AC645D"/>
    <w:rsid w:val="00AC69CF"/>
    <w:rsid w:val="00AC735A"/>
    <w:rsid w:val="00AC778D"/>
    <w:rsid w:val="00AC7B3D"/>
    <w:rsid w:val="00AD057C"/>
    <w:rsid w:val="00AD0675"/>
    <w:rsid w:val="00AD077C"/>
    <w:rsid w:val="00AD07EE"/>
    <w:rsid w:val="00AD0A0A"/>
    <w:rsid w:val="00AD1375"/>
    <w:rsid w:val="00AD16AB"/>
    <w:rsid w:val="00AD1BC7"/>
    <w:rsid w:val="00AD1D59"/>
    <w:rsid w:val="00AD1EBB"/>
    <w:rsid w:val="00AD211D"/>
    <w:rsid w:val="00AD2174"/>
    <w:rsid w:val="00AD2BB9"/>
    <w:rsid w:val="00AD2D4E"/>
    <w:rsid w:val="00AD2F29"/>
    <w:rsid w:val="00AD3653"/>
    <w:rsid w:val="00AD36A4"/>
    <w:rsid w:val="00AD490C"/>
    <w:rsid w:val="00AD4C82"/>
    <w:rsid w:val="00AD52A6"/>
    <w:rsid w:val="00AD5449"/>
    <w:rsid w:val="00AD54C4"/>
    <w:rsid w:val="00AD59A3"/>
    <w:rsid w:val="00AD6DA0"/>
    <w:rsid w:val="00AD6E97"/>
    <w:rsid w:val="00AD710D"/>
    <w:rsid w:val="00AD71EC"/>
    <w:rsid w:val="00AD7F0E"/>
    <w:rsid w:val="00AD7F53"/>
    <w:rsid w:val="00AE01E3"/>
    <w:rsid w:val="00AE020D"/>
    <w:rsid w:val="00AE06D5"/>
    <w:rsid w:val="00AE0BE3"/>
    <w:rsid w:val="00AE2092"/>
    <w:rsid w:val="00AE341A"/>
    <w:rsid w:val="00AE3BCE"/>
    <w:rsid w:val="00AE3F72"/>
    <w:rsid w:val="00AE53C5"/>
    <w:rsid w:val="00AE5B51"/>
    <w:rsid w:val="00AE5C60"/>
    <w:rsid w:val="00AE67D0"/>
    <w:rsid w:val="00AE688B"/>
    <w:rsid w:val="00AE6A27"/>
    <w:rsid w:val="00AE6BF3"/>
    <w:rsid w:val="00AE6E74"/>
    <w:rsid w:val="00AE6EE3"/>
    <w:rsid w:val="00AE6F4F"/>
    <w:rsid w:val="00AE7096"/>
    <w:rsid w:val="00AE77EF"/>
    <w:rsid w:val="00AE7913"/>
    <w:rsid w:val="00AE7E7B"/>
    <w:rsid w:val="00AF01CD"/>
    <w:rsid w:val="00AF0639"/>
    <w:rsid w:val="00AF0AD3"/>
    <w:rsid w:val="00AF0DE3"/>
    <w:rsid w:val="00AF10F9"/>
    <w:rsid w:val="00AF1654"/>
    <w:rsid w:val="00AF19E2"/>
    <w:rsid w:val="00AF1C39"/>
    <w:rsid w:val="00AF1DBE"/>
    <w:rsid w:val="00AF251C"/>
    <w:rsid w:val="00AF28C9"/>
    <w:rsid w:val="00AF2EE7"/>
    <w:rsid w:val="00AF30C2"/>
    <w:rsid w:val="00AF39DA"/>
    <w:rsid w:val="00AF3D18"/>
    <w:rsid w:val="00AF3E4D"/>
    <w:rsid w:val="00AF4359"/>
    <w:rsid w:val="00AF43E0"/>
    <w:rsid w:val="00AF521C"/>
    <w:rsid w:val="00AF5226"/>
    <w:rsid w:val="00AF5C5E"/>
    <w:rsid w:val="00AF5EAC"/>
    <w:rsid w:val="00AF60B4"/>
    <w:rsid w:val="00AF646E"/>
    <w:rsid w:val="00AF665A"/>
    <w:rsid w:val="00AF7019"/>
    <w:rsid w:val="00AF7BA0"/>
    <w:rsid w:val="00AF7FA8"/>
    <w:rsid w:val="00B001EF"/>
    <w:rsid w:val="00B0032D"/>
    <w:rsid w:val="00B00386"/>
    <w:rsid w:val="00B003C6"/>
    <w:rsid w:val="00B00B14"/>
    <w:rsid w:val="00B00E2A"/>
    <w:rsid w:val="00B01201"/>
    <w:rsid w:val="00B0147A"/>
    <w:rsid w:val="00B01C48"/>
    <w:rsid w:val="00B020E8"/>
    <w:rsid w:val="00B0228B"/>
    <w:rsid w:val="00B0252C"/>
    <w:rsid w:val="00B02941"/>
    <w:rsid w:val="00B02CC6"/>
    <w:rsid w:val="00B02F56"/>
    <w:rsid w:val="00B04032"/>
    <w:rsid w:val="00B041C5"/>
    <w:rsid w:val="00B04888"/>
    <w:rsid w:val="00B04B6E"/>
    <w:rsid w:val="00B04FBC"/>
    <w:rsid w:val="00B0566A"/>
    <w:rsid w:val="00B057F3"/>
    <w:rsid w:val="00B05DB9"/>
    <w:rsid w:val="00B067CA"/>
    <w:rsid w:val="00B069BA"/>
    <w:rsid w:val="00B07028"/>
    <w:rsid w:val="00B0718A"/>
    <w:rsid w:val="00B07465"/>
    <w:rsid w:val="00B0765F"/>
    <w:rsid w:val="00B0787C"/>
    <w:rsid w:val="00B07880"/>
    <w:rsid w:val="00B07B17"/>
    <w:rsid w:val="00B07E87"/>
    <w:rsid w:val="00B10574"/>
    <w:rsid w:val="00B10ECA"/>
    <w:rsid w:val="00B11038"/>
    <w:rsid w:val="00B113B5"/>
    <w:rsid w:val="00B1195D"/>
    <w:rsid w:val="00B11F5B"/>
    <w:rsid w:val="00B120C1"/>
    <w:rsid w:val="00B126CD"/>
    <w:rsid w:val="00B12CDB"/>
    <w:rsid w:val="00B12FF1"/>
    <w:rsid w:val="00B133B2"/>
    <w:rsid w:val="00B13AE1"/>
    <w:rsid w:val="00B14B53"/>
    <w:rsid w:val="00B15068"/>
    <w:rsid w:val="00B15078"/>
    <w:rsid w:val="00B15108"/>
    <w:rsid w:val="00B15496"/>
    <w:rsid w:val="00B155A8"/>
    <w:rsid w:val="00B16453"/>
    <w:rsid w:val="00B1701B"/>
    <w:rsid w:val="00B17453"/>
    <w:rsid w:val="00B17513"/>
    <w:rsid w:val="00B1766B"/>
    <w:rsid w:val="00B178E7"/>
    <w:rsid w:val="00B17F71"/>
    <w:rsid w:val="00B20545"/>
    <w:rsid w:val="00B2118E"/>
    <w:rsid w:val="00B21649"/>
    <w:rsid w:val="00B218A1"/>
    <w:rsid w:val="00B22646"/>
    <w:rsid w:val="00B228B2"/>
    <w:rsid w:val="00B22915"/>
    <w:rsid w:val="00B22C9D"/>
    <w:rsid w:val="00B23599"/>
    <w:rsid w:val="00B2380A"/>
    <w:rsid w:val="00B238BE"/>
    <w:rsid w:val="00B23D10"/>
    <w:rsid w:val="00B2468A"/>
    <w:rsid w:val="00B24B46"/>
    <w:rsid w:val="00B24E3A"/>
    <w:rsid w:val="00B25E2B"/>
    <w:rsid w:val="00B261F6"/>
    <w:rsid w:val="00B265EC"/>
    <w:rsid w:val="00B266D6"/>
    <w:rsid w:val="00B270AC"/>
    <w:rsid w:val="00B276D5"/>
    <w:rsid w:val="00B300EB"/>
    <w:rsid w:val="00B3019D"/>
    <w:rsid w:val="00B3041D"/>
    <w:rsid w:val="00B30461"/>
    <w:rsid w:val="00B307A9"/>
    <w:rsid w:val="00B30F44"/>
    <w:rsid w:val="00B312EE"/>
    <w:rsid w:val="00B312F0"/>
    <w:rsid w:val="00B31406"/>
    <w:rsid w:val="00B315E4"/>
    <w:rsid w:val="00B31897"/>
    <w:rsid w:val="00B31E0E"/>
    <w:rsid w:val="00B31FA4"/>
    <w:rsid w:val="00B32199"/>
    <w:rsid w:val="00B32BFB"/>
    <w:rsid w:val="00B33487"/>
    <w:rsid w:val="00B3367A"/>
    <w:rsid w:val="00B33A66"/>
    <w:rsid w:val="00B3404D"/>
    <w:rsid w:val="00B34B1C"/>
    <w:rsid w:val="00B34C06"/>
    <w:rsid w:val="00B34E69"/>
    <w:rsid w:val="00B34F21"/>
    <w:rsid w:val="00B34F4F"/>
    <w:rsid w:val="00B34FCA"/>
    <w:rsid w:val="00B35098"/>
    <w:rsid w:val="00B3519C"/>
    <w:rsid w:val="00B36AFE"/>
    <w:rsid w:val="00B36C1A"/>
    <w:rsid w:val="00B36E36"/>
    <w:rsid w:val="00B3780D"/>
    <w:rsid w:val="00B3781E"/>
    <w:rsid w:val="00B378FB"/>
    <w:rsid w:val="00B37B80"/>
    <w:rsid w:val="00B37C2B"/>
    <w:rsid w:val="00B403EA"/>
    <w:rsid w:val="00B40858"/>
    <w:rsid w:val="00B412A6"/>
    <w:rsid w:val="00B41807"/>
    <w:rsid w:val="00B41932"/>
    <w:rsid w:val="00B41E02"/>
    <w:rsid w:val="00B42120"/>
    <w:rsid w:val="00B433C2"/>
    <w:rsid w:val="00B43557"/>
    <w:rsid w:val="00B4380C"/>
    <w:rsid w:val="00B43A3F"/>
    <w:rsid w:val="00B43CC8"/>
    <w:rsid w:val="00B43EAA"/>
    <w:rsid w:val="00B43F4A"/>
    <w:rsid w:val="00B44F7D"/>
    <w:rsid w:val="00B44FD5"/>
    <w:rsid w:val="00B4534B"/>
    <w:rsid w:val="00B45768"/>
    <w:rsid w:val="00B45AD3"/>
    <w:rsid w:val="00B45E25"/>
    <w:rsid w:val="00B46105"/>
    <w:rsid w:val="00B46221"/>
    <w:rsid w:val="00B462EE"/>
    <w:rsid w:val="00B46527"/>
    <w:rsid w:val="00B465B9"/>
    <w:rsid w:val="00B46821"/>
    <w:rsid w:val="00B476C0"/>
    <w:rsid w:val="00B476F9"/>
    <w:rsid w:val="00B47877"/>
    <w:rsid w:val="00B479E7"/>
    <w:rsid w:val="00B47EEB"/>
    <w:rsid w:val="00B502F1"/>
    <w:rsid w:val="00B5048A"/>
    <w:rsid w:val="00B50869"/>
    <w:rsid w:val="00B50932"/>
    <w:rsid w:val="00B50DB4"/>
    <w:rsid w:val="00B511BF"/>
    <w:rsid w:val="00B51807"/>
    <w:rsid w:val="00B520A6"/>
    <w:rsid w:val="00B5244A"/>
    <w:rsid w:val="00B52AB3"/>
    <w:rsid w:val="00B53021"/>
    <w:rsid w:val="00B53071"/>
    <w:rsid w:val="00B531CF"/>
    <w:rsid w:val="00B53B8E"/>
    <w:rsid w:val="00B5410F"/>
    <w:rsid w:val="00B54129"/>
    <w:rsid w:val="00B5424F"/>
    <w:rsid w:val="00B54494"/>
    <w:rsid w:val="00B545D7"/>
    <w:rsid w:val="00B54BCA"/>
    <w:rsid w:val="00B553A4"/>
    <w:rsid w:val="00B553EA"/>
    <w:rsid w:val="00B554D4"/>
    <w:rsid w:val="00B55CDF"/>
    <w:rsid w:val="00B56806"/>
    <w:rsid w:val="00B57C82"/>
    <w:rsid w:val="00B6029E"/>
    <w:rsid w:val="00B604EE"/>
    <w:rsid w:val="00B60596"/>
    <w:rsid w:val="00B60975"/>
    <w:rsid w:val="00B60A5C"/>
    <w:rsid w:val="00B60B03"/>
    <w:rsid w:val="00B60BEC"/>
    <w:rsid w:val="00B60DEF"/>
    <w:rsid w:val="00B617CA"/>
    <w:rsid w:val="00B619B8"/>
    <w:rsid w:val="00B61D0E"/>
    <w:rsid w:val="00B61E36"/>
    <w:rsid w:val="00B62083"/>
    <w:rsid w:val="00B625D9"/>
    <w:rsid w:val="00B62812"/>
    <w:rsid w:val="00B62944"/>
    <w:rsid w:val="00B629F7"/>
    <w:rsid w:val="00B62B86"/>
    <w:rsid w:val="00B62DF3"/>
    <w:rsid w:val="00B63B98"/>
    <w:rsid w:val="00B63C06"/>
    <w:rsid w:val="00B63D38"/>
    <w:rsid w:val="00B64D0D"/>
    <w:rsid w:val="00B64EA2"/>
    <w:rsid w:val="00B653BC"/>
    <w:rsid w:val="00B65C2A"/>
    <w:rsid w:val="00B669D2"/>
    <w:rsid w:val="00B66B17"/>
    <w:rsid w:val="00B67DC8"/>
    <w:rsid w:val="00B67EDD"/>
    <w:rsid w:val="00B67F40"/>
    <w:rsid w:val="00B70377"/>
    <w:rsid w:val="00B70427"/>
    <w:rsid w:val="00B70679"/>
    <w:rsid w:val="00B70E60"/>
    <w:rsid w:val="00B70FB8"/>
    <w:rsid w:val="00B71048"/>
    <w:rsid w:val="00B71873"/>
    <w:rsid w:val="00B71F67"/>
    <w:rsid w:val="00B71F90"/>
    <w:rsid w:val="00B71FC2"/>
    <w:rsid w:val="00B7243E"/>
    <w:rsid w:val="00B725A8"/>
    <w:rsid w:val="00B725E6"/>
    <w:rsid w:val="00B728C9"/>
    <w:rsid w:val="00B72A2A"/>
    <w:rsid w:val="00B733E9"/>
    <w:rsid w:val="00B739E8"/>
    <w:rsid w:val="00B73EE2"/>
    <w:rsid w:val="00B73F6C"/>
    <w:rsid w:val="00B7452D"/>
    <w:rsid w:val="00B748DE"/>
    <w:rsid w:val="00B74BE3"/>
    <w:rsid w:val="00B74EE6"/>
    <w:rsid w:val="00B75124"/>
    <w:rsid w:val="00B752DC"/>
    <w:rsid w:val="00B755AB"/>
    <w:rsid w:val="00B756F8"/>
    <w:rsid w:val="00B759BF"/>
    <w:rsid w:val="00B76336"/>
    <w:rsid w:val="00B767F2"/>
    <w:rsid w:val="00B76B1C"/>
    <w:rsid w:val="00B76DCA"/>
    <w:rsid w:val="00B7739D"/>
    <w:rsid w:val="00B8031B"/>
    <w:rsid w:val="00B80E1D"/>
    <w:rsid w:val="00B812BA"/>
    <w:rsid w:val="00B823CB"/>
    <w:rsid w:val="00B8256C"/>
    <w:rsid w:val="00B825A3"/>
    <w:rsid w:val="00B82757"/>
    <w:rsid w:val="00B833AD"/>
    <w:rsid w:val="00B8364D"/>
    <w:rsid w:val="00B83667"/>
    <w:rsid w:val="00B83A5B"/>
    <w:rsid w:val="00B84241"/>
    <w:rsid w:val="00B84C7B"/>
    <w:rsid w:val="00B8506E"/>
    <w:rsid w:val="00B851C0"/>
    <w:rsid w:val="00B85468"/>
    <w:rsid w:val="00B854BE"/>
    <w:rsid w:val="00B85549"/>
    <w:rsid w:val="00B8562C"/>
    <w:rsid w:val="00B85740"/>
    <w:rsid w:val="00B8584D"/>
    <w:rsid w:val="00B85A1C"/>
    <w:rsid w:val="00B862C5"/>
    <w:rsid w:val="00B86378"/>
    <w:rsid w:val="00B864BA"/>
    <w:rsid w:val="00B86E9F"/>
    <w:rsid w:val="00B873D6"/>
    <w:rsid w:val="00B877F1"/>
    <w:rsid w:val="00B87898"/>
    <w:rsid w:val="00B90869"/>
    <w:rsid w:val="00B90A34"/>
    <w:rsid w:val="00B90A67"/>
    <w:rsid w:val="00B90E79"/>
    <w:rsid w:val="00B910DE"/>
    <w:rsid w:val="00B913E1"/>
    <w:rsid w:val="00B916B6"/>
    <w:rsid w:val="00B91A12"/>
    <w:rsid w:val="00B91C26"/>
    <w:rsid w:val="00B929E3"/>
    <w:rsid w:val="00B92CC5"/>
    <w:rsid w:val="00B92EAE"/>
    <w:rsid w:val="00B92EB3"/>
    <w:rsid w:val="00B937B6"/>
    <w:rsid w:val="00B93CD3"/>
    <w:rsid w:val="00B93E1F"/>
    <w:rsid w:val="00B93E66"/>
    <w:rsid w:val="00B94862"/>
    <w:rsid w:val="00B94944"/>
    <w:rsid w:val="00B94E55"/>
    <w:rsid w:val="00B9558D"/>
    <w:rsid w:val="00B95983"/>
    <w:rsid w:val="00B959B0"/>
    <w:rsid w:val="00B96052"/>
    <w:rsid w:val="00B96058"/>
    <w:rsid w:val="00B9627A"/>
    <w:rsid w:val="00B9628F"/>
    <w:rsid w:val="00B96395"/>
    <w:rsid w:val="00B96B20"/>
    <w:rsid w:val="00B974AE"/>
    <w:rsid w:val="00B97949"/>
    <w:rsid w:val="00B979A6"/>
    <w:rsid w:val="00B97D82"/>
    <w:rsid w:val="00B97E30"/>
    <w:rsid w:val="00BA09BC"/>
    <w:rsid w:val="00BA0CC6"/>
    <w:rsid w:val="00BA11D0"/>
    <w:rsid w:val="00BA133F"/>
    <w:rsid w:val="00BA19B7"/>
    <w:rsid w:val="00BA200D"/>
    <w:rsid w:val="00BA330B"/>
    <w:rsid w:val="00BA3427"/>
    <w:rsid w:val="00BA350B"/>
    <w:rsid w:val="00BA378C"/>
    <w:rsid w:val="00BA3D9A"/>
    <w:rsid w:val="00BA3DEF"/>
    <w:rsid w:val="00BA4068"/>
    <w:rsid w:val="00BA4152"/>
    <w:rsid w:val="00BA4806"/>
    <w:rsid w:val="00BA500B"/>
    <w:rsid w:val="00BA500F"/>
    <w:rsid w:val="00BA5B21"/>
    <w:rsid w:val="00BA5EE0"/>
    <w:rsid w:val="00BA62AB"/>
    <w:rsid w:val="00BA6A8C"/>
    <w:rsid w:val="00BA6D89"/>
    <w:rsid w:val="00BA702E"/>
    <w:rsid w:val="00BA705B"/>
    <w:rsid w:val="00BA7105"/>
    <w:rsid w:val="00BA7A67"/>
    <w:rsid w:val="00BA7FDB"/>
    <w:rsid w:val="00BB030F"/>
    <w:rsid w:val="00BB042A"/>
    <w:rsid w:val="00BB04CB"/>
    <w:rsid w:val="00BB0690"/>
    <w:rsid w:val="00BB07F1"/>
    <w:rsid w:val="00BB0802"/>
    <w:rsid w:val="00BB1370"/>
    <w:rsid w:val="00BB1C2B"/>
    <w:rsid w:val="00BB2174"/>
    <w:rsid w:val="00BB225E"/>
    <w:rsid w:val="00BB28EB"/>
    <w:rsid w:val="00BB2C45"/>
    <w:rsid w:val="00BB3187"/>
    <w:rsid w:val="00BB37D2"/>
    <w:rsid w:val="00BB38AC"/>
    <w:rsid w:val="00BB4066"/>
    <w:rsid w:val="00BB42F5"/>
    <w:rsid w:val="00BB48E6"/>
    <w:rsid w:val="00BB4D7F"/>
    <w:rsid w:val="00BB4F65"/>
    <w:rsid w:val="00BB52FD"/>
    <w:rsid w:val="00BB5732"/>
    <w:rsid w:val="00BB58D2"/>
    <w:rsid w:val="00BB5B63"/>
    <w:rsid w:val="00BB5C9D"/>
    <w:rsid w:val="00BB60BF"/>
    <w:rsid w:val="00BB6F81"/>
    <w:rsid w:val="00BB7554"/>
    <w:rsid w:val="00BB7619"/>
    <w:rsid w:val="00BB788E"/>
    <w:rsid w:val="00BB7999"/>
    <w:rsid w:val="00BB7C4E"/>
    <w:rsid w:val="00BB7E95"/>
    <w:rsid w:val="00BC0B0A"/>
    <w:rsid w:val="00BC0D05"/>
    <w:rsid w:val="00BC1614"/>
    <w:rsid w:val="00BC1B12"/>
    <w:rsid w:val="00BC1EDB"/>
    <w:rsid w:val="00BC2710"/>
    <w:rsid w:val="00BC2969"/>
    <w:rsid w:val="00BC2EF5"/>
    <w:rsid w:val="00BC309F"/>
    <w:rsid w:val="00BC3224"/>
    <w:rsid w:val="00BC42CB"/>
    <w:rsid w:val="00BC470D"/>
    <w:rsid w:val="00BC47D6"/>
    <w:rsid w:val="00BC4C08"/>
    <w:rsid w:val="00BC4DF4"/>
    <w:rsid w:val="00BC4EC5"/>
    <w:rsid w:val="00BC568B"/>
    <w:rsid w:val="00BC608B"/>
    <w:rsid w:val="00BC6416"/>
    <w:rsid w:val="00BC6AD1"/>
    <w:rsid w:val="00BC6D1F"/>
    <w:rsid w:val="00BC74DB"/>
    <w:rsid w:val="00BC77E8"/>
    <w:rsid w:val="00BD01E1"/>
    <w:rsid w:val="00BD01F7"/>
    <w:rsid w:val="00BD0D45"/>
    <w:rsid w:val="00BD1027"/>
    <w:rsid w:val="00BD141B"/>
    <w:rsid w:val="00BD186A"/>
    <w:rsid w:val="00BD1EC0"/>
    <w:rsid w:val="00BD22C9"/>
    <w:rsid w:val="00BD2379"/>
    <w:rsid w:val="00BD2BFD"/>
    <w:rsid w:val="00BD2DAA"/>
    <w:rsid w:val="00BD30CD"/>
    <w:rsid w:val="00BD340D"/>
    <w:rsid w:val="00BD37C0"/>
    <w:rsid w:val="00BD3B9E"/>
    <w:rsid w:val="00BD3E9B"/>
    <w:rsid w:val="00BD4153"/>
    <w:rsid w:val="00BD4CA5"/>
    <w:rsid w:val="00BD55B3"/>
    <w:rsid w:val="00BD59CA"/>
    <w:rsid w:val="00BD5A03"/>
    <w:rsid w:val="00BD606C"/>
    <w:rsid w:val="00BD61D9"/>
    <w:rsid w:val="00BD61DE"/>
    <w:rsid w:val="00BD62C8"/>
    <w:rsid w:val="00BD6EF9"/>
    <w:rsid w:val="00BD6FB6"/>
    <w:rsid w:val="00BD6FD0"/>
    <w:rsid w:val="00BD7DFE"/>
    <w:rsid w:val="00BD7E1A"/>
    <w:rsid w:val="00BE04FF"/>
    <w:rsid w:val="00BE0907"/>
    <w:rsid w:val="00BE0A03"/>
    <w:rsid w:val="00BE13BC"/>
    <w:rsid w:val="00BE14AA"/>
    <w:rsid w:val="00BE18D7"/>
    <w:rsid w:val="00BE1A45"/>
    <w:rsid w:val="00BE1E47"/>
    <w:rsid w:val="00BE1F38"/>
    <w:rsid w:val="00BE2229"/>
    <w:rsid w:val="00BE2647"/>
    <w:rsid w:val="00BE2990"/>
    <w:rsid w:val="00BE2C6A"/>
    <w:rsid w:val="00BE2FA6"/>
    <w:rsid w:val="00BE33D0"/>
    <w:rsid w:val="00BE340A"/>
    <w:rsid w:val="00BE3BC0"/>
    <w:rsid w:val="00BE3DF6"/>
    <w:rsid w:val="00BE43B7"/>
    <w:rsid w:val="00BE4A43"/>
    <w:rsid w:val="00BE4AC6"/>
    <w:rsid w:val="00BE5310"/>
    <w:rsid w:val="00BE5F8F"/>
    <w:rsid w:val="00BE65B3"/>
    <w:rsid w:val="00BE65CA"/>
    <w:rsid w:val="00BE700D"/>
    <w:rsid w:val="00BE7351"/>
    <w:rsid w:val="00BE76AD"/>
    <w:rsid w:val="00BE7752"/>
    <w:rsid w:val="00BE7BC4"/>
    <w:rsid w:val="00BF02B6"/>
    <w:rsid w:val="00BF1013"/>
    <w:rsid w:val="00BF199C"/>
    <w:rsid w:val="00BF1C24"/>
    <w:rsid w:val="00BF1C7D"/>
    <w:rsid w:val="00BF1D5B"/>
    <w:rsid w:val="00BF1D7A"/>
    <w:rsid w:val="00BF25B0"/>
    <w:rsid w:val="00BF2880"/>
    <w:rsid w:val="00BF2D8E"/>
    <w:rsid w:val="00BF3706"/>
    <w:rsid w:val="00BF3934"/>
    <w:rsid w:val="00BF3D67"/>
    <w:rsid w:val="00BF3DA5"/>
    <w:rsid w:val="00BF3F0B"/>
    <w:rsid w:val="00BF4701"/>
    <w:rsid w:val="00BF4AC8"/>
    <w:rsid w:val="00BF4DD0"/>
    <w:rsid w:val="00BF50EE"/>
    <w:rsid w:val="00BF5300"/>
    <w:rsid w:val="00BF54F6"/>
    <w:rsid w:val="00BF58E3"/>
    <w:rsid w:val="00BF5D34"/>
    <w:rsid w:val="00BF5D59"/>
    <w:rsid w:val="00BF5E9B"/>
    <w:rsid w:val="00BF62BF"/>
    <w:rsid w:val="00BF6370"/>
    <w:rsid w:val="00BF640F"/>
    <w:rsid w:val="00BF6FC8"/>
    <w:rsid w:val="00BF70D9"/>
    <w:rsid w:val="00BF7B0D"/>
    <w:rsid w:val="00C000C5"/>
    <w:rsid w:val="00C01253"/>
    <w:rsid w:val="00C01BFC"/>
    <w:rsid w:val="00C01FAF"/>
    <w:rsid w:val="00C01FF8"/>
    <w:rsid w:val="00C02208"/>
    <w:rsid w:val="00C02A79"/>
    <w:rsid w:val="00C02C4C"/>
    <w:rsid w:val="00C02CE7"/>
    <w:rsid w:val="00C02F42"/>
    <w:rsid w:val="00C03A9F"/>
    <w:rsid w:val="00C03AC5"/>
    <w:rsid w:val="00C04199"/>
    <w:rsid w:val="00C04278"/>
    <w:rsid w:val="00C042E9"/>
    <w:rsid w:val="00C044AB"/>
    <w:rsid w:val="00C04A39"/>
    <w:rsid w:val="00C04F54"/>
    <w:rsid w:val="00C058AC"/>
    <w:rsid w:val="00C05AEA"/>
    <w:rsid w:val="00C06A15"/>
    <w:rsid w:val="00C06AEC"/>
    <w:rsid w:val="00C075A1"/>
    <w:rsid w:val="00C07B79"/>
    <w:rsid w:val="00C07D98"/>
    <w:rsid w:val="00C07E0B"/>
    <w:rsid w:val="00C101BD"/>
    <w:rsid w:val="00C1029C"/>
    <w:rsid w:val="00C10A32"/>
    <w:rsid w:val="00C10CA1"/>
    <w:rsid w:val="00C11378"/>
    <w:rsid w:val="00C11393"/>
    <w:rsid w:val="00C11648"/>
    <w:rsid w:val="00C11CCF"/>
    <w:rsid w:val="00C11D37"/>
    <w:rsid w:val="00C1263D"/>
    <w:rsid w:val="00C12663"/>
    <w:rsid w:val="00C126DD"/>
    <w:rsid w:val="00C13039"/>
    <w:rsid w:val="00C135E9"/>
    <w:rsid w:val="00C13892"/>
    <w:rsid w:val="00C13913"/>
    <w:rsid w:val="00C13952"/>
    <w:rsid w:val="00C13977"/>
    <w:rsid w:val="00C14462"/>
    <w:rsid w:val="00C14873"/>
    <w:rsid w:val="00C14E25"/>
    <w:rsid w:val="00C15941"/>
    <w:rsid w:val="00C163BC"/>
    <w:rsid w:val="00C16429"/>
    <w:rsid w:val="00C164C6"/>
    <w:rsid w:val="00C164D3"/>
    <w:rsid w:val="00C16CED"/>
    <w:rsid w:val="00C17205"/>
    <w:rsid w:val="00C17418"/>
    <w:rsid w:val="00C17757"/>
    <w:rsid w:val="00C17858"/>
    <w:rsid w:val="00C2003B"/>
    <w:rsid w:val="00C20526"/>
    <w:rsid w:val="00C22009"/>
    <w:rsid w:val="00C223EF"/>
    <w:rsid w:val="00C225EE"/>
    <w:rsid w:val="00C22D1C"/>
    <w:rsid w:val="00C2366F"/>
    <w:rsid w:val="00C23DD6"/>
    <w:rsid w:val="00C23F45"/>
    <w:rsid w:val="00C240EC"/>
    <w:rsid w:val="00C2442F"/>
    <w:rsid w:val="00C244CC"/>
    <w:rsid w:val="00C24EDD"/>
    <w:rsid w:val="00C25016"/>
    <w:rsid w:val="00C258DD"/>
    <w:rsid w:val="00C26028"/>
    <w:rsid w:val="00C2783C"/>
    <w:rsid w:val="00C301F6"/>
    <w:rsid w:val="00C3043E"/>
    <w:rsid w:val="00C30491"/>
    <w:rsid w:val="00C30764"/>
    <w:rsid w:val="00C30C6F"/>
    <w:rsid w:val="00C31039"/>
    <w:rsid w:val="00C312E8"/>
    <w:rsid w:val="00C313DC"/>
    <w:rsid w:val="00C314C3"/>
    <w:rsid w:val="00C31790"/>
    <w:rsid w:val="00C317CF"/>
    <w:rsid w:val="00C317D9"/>
    <w:rsid w:val="00C318CB"/>
    <w:rsid w:val="00C3222C"/>
    <w:rsid w:val="00C32B7C"/>
    <w:rsid w:val="00C32F77"/>
    <w:rsid w:val="00C3301B"/>
    <w:rsid w:val="00C337E6"/>
    <w:rsid w:val="00C33CAE"/>
    <w:rsid w:val="00C33E4E"/>
    <w:rsid w:val="00C33E7D"/>
    <w:rsid w:val="00C3425F"/>
    <w:rsid w:val="00C347E6"/>
    <w:rsid w:val="00C35029"/>
    <w:rsid w:val="00C353EA"/>
    <w:rsid w:val="00C35436"/>
    <w:rsid w:val="00C35FE0"/>
    <w:rsid w:val="00C36641"/>
    <w:rsid w:val="00C366F9"/>
    <w:rsid w:val="00C36E1F"/>
    <w:rsid w:val="00C37147"/>
    <w:rsid w:val="00C3715B"/>
    <w:rsid w:val="00C372CD"/>
    <w:rsid w:val="00C376D1"/>
    <w:rsid w:val="00C376DA"/>
    <w:rsid w:val="00C37946"/>
    <w:rsid w:val="00C37A0F"/>
    <w:rsid w:val="00C40305"/>
    <w:rsid w:val="00C40411"/>
    <w:rsid w:val="00C40571"/>
    <w:rsid w:val="00C40DF1"/>
    <w:rsid w:val="00C41229"/>
    <w:rsid w:val="00C41235"/>
    <w:rsid w:val="00C413FF"/>
    <w:rsid w:val="00C414D8"/>
    <w:rsid w:val="00C41CE9"/>
    <w:rsid w:val="00C42215"/>
    <w:rsid w:val="00C43628"/>
    <w:rsid w:val="00C441A6"/>
    <w:rsid w:val="00C44519"/>
    <w:rsid w:val="00C446CB"/>
    <w:rsid w:val="00C449E7"/>
    <w:rsid w:val="00C44A55"/>
    <w:rsid w:val="00C44AC6"/>
    <w:rsid w:val="00C44ED0"/>
    <w:rsid w:val="00C44EFC"/>
    <w:rsid w:val="00C453FD"/>
    <w:rsid w:val="00C45478"/>
    <w:rsid w:val="00C45796"/>
    <w:rsid w:val="00C45CED"/>
    <w:rsid w:val="00C45ED2"/>
    <w:rsid w:val="00C4606A"/>
    <w:rsid w:val="00C464D1"/>
    <w:rsid w:val="00C465BB"/>
    <w:rsid w:val="00C465EC"/>
    <w:rsid w:val="00C4697E"/>
    <w:rsid w:val="00C47351"/>
    <w:rsid w:val="00C47523"/>
    <w:rsid w:val="00C47598"/>
    <w:rsid w:val="00C47DC9"/>
    <w:rsid w:val="00C47E2B"/>
    <w:rsid w:val="00C47F29"/>
    <w:rsid w:val="00C504F6"/>
    <w:rsid w:val="00C5135F"/>
    <w:rsid w:val="00C5144D"/>
    <w:rsid w:val="00C525E1"/>
    <w:rsid w:val="00C527BA"/>
    <w:rsid w:val="00C5358C"/>
    <w:rsid w:val="00C5397D"/>
    <w:rsid w:val="00C53A7E"/>
    <w:rsid w:val="00C53C23"/>
    <w:rsid w:val="00C53D18"/>
    <w:rsid w:val="00C5406D"/>
    <w:rsid w:val="00C541D4"/>
    <w:rsid w:val="00C542B7"/>
    <w:rsid w:val="00C5479D"/>
    <w:rsid w:val="00C54AC0"/>
    <w:rsid w:val="00C54C5D"/>
    <w:rsid w:val="00C557AA"/>
    <w:rsid w:val="00C557B8"/>
    <w:rsid w:val="00C561F9"/>
    <w:rsid w:val="00C56479"/>
    <w:rsid w:val="00C56690"/>
    <w:rsid w:val="00C567D5"/>
    <w:rsid w:val="00C5686A"/>
    <w:rsid w:val="00C56894"/>
    <w:rsid w:val="00C56D71"/>
    <w:rsid w:val="00C570BB"/>
    <w:rsid w:val="00C57383"/>
    <w:rsid w:val="00C5771D"/>
    <w:rsid w:val="00C57830"/>
    <w:rsid w:val="00C57F69"/>
    <w:rsid w:val="00C6091B"/>
    <w:rsid w:val="00C60D2D"/>
    <w:rsid w:val="00C60E86"/>
    <w:rsid w:val="00C61717"/>
    <w:rsid w:val="00C617E4"/>
    <w:rsid w:val="00C61E69"/>
    <w:rsid w:val="00C6224B"/>
    <w:rsid w:val="00C630E5"/>
    <w:rsid w:val="00C63219"/>
    <w:rsid w:val="00C633A3"/>
    <w:rsid w:val="00C63C43"/>
    <w:rsid w:val="00C645CF"/>
    <w:rsid w:val="00C65FD3"/>
    <w:rsid w:val="00C662EC"/>
    <w:rsid w:val="00C66A8A"/>
    <w:rsid w:val="00C66EDD"/>
    <w:rsid w:val="00C671AE"/>
    <w:rsid w:val="00C67267"/>
    <w:rsid w:val="00C70636"/>
    <w:rsid w:val="00C71275"/>
    <w:rsid w:val="00C71CBC"/>
    <w:rsid w:val="00C72095"/>
    <w:rsid w:val="00C723E0"/>
    <w:rsid w:val="00C72BEC"/>
    <w:rsid w:val="00C72D1C"/>
    <w:rsid w:val="00C72D43"/>
    <w:rsid w:val="00C72D97"/>
    <w:rsid w:val="00C73225"/>
    <w:rsid w:val="00C73577"/>
    <w:rsid w:val="00C73D03"/>
    <w:rsid w:val="00C73D9D"/>
    <w:rsid w:val="00C7414F"/>
    <w:rsid w:val="00C74218"/>
    <w:rsid w:val="00C74462"/>
    <w:rsid w:val="00C75AFD"/>
    <w:rsid w:val="00C764D4"/>
    <w:rsid w:val="00C766F4"/>
    <w:rsid w:val="00C7737D"/>
    <w:rsid w:val="00C77A5F"/>
    <w:rsid w:val="00C77B16"/>
    <w:rsid w:val="00C801CA"/>
    <w:rsid w:val="00C803C1"/>
    <w:rsid w:val="00C804FF"/>
    <w:rsid w:val="00C807E2"/>
    <w:rsid w:val="00C80BD7"/>
    <w:rsid w:val="00C80C5D"/>
    <w:rsid w:val="00C812E3"/>
    <w:rsid w:val="00C821E1"/>
    <w:rsid w:val="00C823C9"/>
    <w:rsid w:val="00C8260A"/>
    <w:rsid w:val="00C828D4"/>
    <w:rsid w:val="00C82ADE"/>
    <w:rsid w:val="00C83047"/>
    <w:rsid w:val="00C8332A"/>
    <w:rsid w:val="00C83B89"/>
    <w:rsid w:val="00C83E2F"/>
    <w:rsid w:val="00C84525"/>
    <w:rsid w:val="00C8516F"/>
    <w:rsid w:val="00C85311"/>
    <w:rsid w:val="00C855CD"/>
    <w:rsid w:val="00C858EA"/>
    <w:rsid w:val="00C8604D"/>
    <w:rsid w:val="00C86A3B"/>
    <w:rsid w:val="00C86CE6"/>
    <w:rsid w:val="00C86F46"/>
    <w:rsid w:val="00C86F7F"/>
    <w:rsid w:val="00C874C1"/>
    <w:rsid w:val="00C8769A"/>
    <w:rsid w:val="00C877D6"/>
    <w:rsid w:val="00C87C11"/>
    <w:rsid w:val="00C87D94"/>
    <w:rsid w:val="00C90482"/>
    <w:rsid w:val="00C90725"/>
    <w:rsid w:val="00C9086C"/>
    <w:rsid w:val="00C9130C"/>
    <w:rsid w:val="00C91521"/>
    <w:rsid w:val="00C91561"/>
    <w:rsid w:val="00C91B66"/>
    <w:rsid w:val="00C91DC2"/>
    <w:rsid w:val="00C9314E"/>
    <w:rsid w:val="00C93313"/>
    <w:rsid w:val="00C93401"/>
    <w:rsid w:val="00C93464"/>
    <w:rsid w:val="00C939B2"/>
    <w:rsid w:val="00C93A5D"/>
    <w:rsid w:val="00C93DE9"/>
    <w:rsid w:val="00C93E4E"/>
    <w:rsid w:val="00C94799"/>
    <w:rsid w:val="00C94F76"/>
    <w:rsid w:val="00C95005"/>
    <w:rsid w:val="00C95080"/>
    <w:rsid w:val="00C952E0"/>
    <w:rsid w:val="00C956BB"/>
    <w:rsid w:val="00C9573E"/>
    <w:rsid w:val="00C96352"/>
    <w:rsid w:val="00C9643B"/>
    <w:rsid w:val="00C96A4D"/>
    <w:rsid w:val="00C96A7B"/>
    <w:rsid w:val="00C96B23"/>
    <w:rsid w:val="00C96EA7"/>
    <w:rsid w:val="00C96F2E"/>
    <w:rsid w:val="00C970D8"/>
    <w:rsid w:val="00C97352"/>
    <w:rsid w:val="00C97CE9"/>
    <w:rsid w:val="00CA0384"/>
    <w:rsid w:val="00CA03F3"/>
    <w:rsid w:val="00CA04EF"/>
    <w:rsid w:val="00CA0A48"/>
    <w:rsid w:val="00CA182B"/>
    <w:rsid w:val="00CA1B11"/>
    <w:rsid w:val="00CA1E82"/>
    <w:rsid w:val="00CA1EBA"/>
    <w:rsid w:val="00CA217F"/>
    <w:rsid w:val="00CA2193"/>
    <w:rsid w:val="00CA21D0"/>
    <w:rsid w:val="00CA26E6"/>
    <w:rsid w:val="00CA2834"/>
    <w:rsid w:val="00CA2A07"/>
    <w:rsid w:val="00CA2D54"/>
    <w:rsid w:val="00CA2E31"/>
    <w:rsid w:val="00CA372A"/>
    <w:rsid w:val="00CA38A0"/>
    <w:rsid w:val="00CA39FC"/>
    <w:rsid w:val="00CA3D72"/>
    <w:rsid w:val="00CA4232"/>
    <w:rsid w:val="00CA4509"/>
    <w:rsid w:val="00CA496E"/>
    <w:rsid w:val="00CA4CB8"/>
    <w:rsid w:val="00CA4DD1"/>
    <w:rsid w:val="00CA4E83"/>
    <w:rsid w:val="00CA517B"/>
    <w:rsid w:val="00CA5310"/>
    <w:rsid w:val="00CA5969"/>
    <w:rsid w:val="00CA5A93"/>
    <w:rsid w:val="00CA5C77"/>
    <w:rsid w:val="00CA5D98"/>
    <w:rsid w:val="00CA6205"/>
    <w:rsid w:val="00CA656A"/>
    <w:rsid w:val="00CA66FD"/>
    <w:rsid w:val="00CA68FD"/>
    <w:rsid w:val="00CA70F2"/>
    <w:rsid w:val="00CA7206"/>
    <w:rsid w:val="00CA7AFA"/>
    <w:rsid w:val="00CA7C0D"/>
    <w:rsid w:val="00CA7C3D"/>
    <w:rsid w:val="00CB043B"/>
    <w:rsid w:val="00CB0682"/>
    <w:rsid w:val="00CB0698"/>
    <w:rsid w:val="00CB08DD"/>
    <w:rsid w:val="00CB09BC"/>
    <w:rsid w:val="00CB1101"/>
    <w:rsid w:val="00CB1DBD"/>
    <w:rsid w:val="00CB2057"/>
    <w:rsid w:val="00CB2330"/>
    <w:rsid w:val="00CB2348"/>
    <w:rsid w:val="00CB2659"/>
    <w:rsid w:val="00CB2E4D"/>
    <w:rsid w:val="00CB3112"/>
    <w:rsid w:val="00CB365C"/>
    <w:rsid w:val="00CB365E"/>
    <w:rsid w:val="00CB396E"/>
    <w:rsid w:val="00CB3A28"/>
    <w:rsid w:val="00CB40E0"/>
    <w:rsid w:val="00CB4249"/>
    <w:rsid w:val="00CB4327"/>
    <w:rsid w:val="00CB48F1"/>
    <w:rsid w:val="00CB4A69"/>
    <w:rsid w:val="00CB4C96"/>
    <w:rsid w:val="00CB5477"/>
    <w:rsid w:val="00CB54D6"/>
    <w:rsid w:val="00CB559A"/>
    <w:rsid w:val="00CB59CC"/>
    <w:rsid w:val="00CB5AF6"/>
    <w:rsid w:val="00CB6291"/>
    <w:rsid w:val="00CB6953"/>
    <w:rsid w:val="00CB72DF"/>
    <w:rsid w:val="00CB77D0"/>
    <w:rsid w:val="00CB7CC3"/>
    <w:rsid w:val="00CC0990"/>
    <w:rsid w:val="00CC0A0A"/>
    <w:rsid w:val="00CC1984"/>
    <w:rsid w:val="00CC21E0"/>
    <w:rsid w:val="00CC250C"/>
    <w:rsid w:val="00CC2627"/>
    <w:rsid w:val="00CC2BA2"/>
    <w:rsid w:val="00CC2DF6"/>
    <w:rsid w:val="00CC3287"/>
    <w:rsid w:val="00CC3295"/>
    <w:rsid w:val="00CC33CE"/>
    <w:rsid w:val="00CC34A5"/>
    <w:rsid w:val="00CC34C3"/>
    <w:rsid w:val="00CC4162"/>
    <w:rsid w:val="00CC4513"/>
    <w:rsid w:val="00CC4698"/>
    <w:rsid w:val="00CC4794"/>
    <w:rsid w:val="00CC50C1"/>
    <w:rsid w:val="00CC5141"/>
    <w:rsid w:val="00CC5145"/>
    <w:rsid w:val="00CC5289"/>
    <w:rsid w:val="00CC5BC2"/>
    <w:rsid w:val="00CC5CE5"/>
    <w:rsid w:val="00CC635F"/>
    <w:rsid w:val="00CC68FA"/>
    <w:rsid w:val="00CC6B13"/>
    <w:rsid w:val="00CC6DEC"/>
    <w:rsid w:val="00CC6F5A"/>
    <w:rsid w:val="00CC7340"/>
    <w:rsid w:val="00CC77DA"/>
    <w:rsid w:val="00CC786F"/>
    <w:rsid w:val="00CC7C22"/>
    <w:rsid w:val="00CC7CEE"/>
    <w:rsid w:val="00CD00BD"/>
    <w:rsid w:val="00CD06DD"/>
    <w:rsid w:val="00CD07CF"/>
    <w:rsid w:val="00CD08B3"/>
    <w:rsid w:val="00CD152A"/>
    <w:rsid w:val="00CD222C"/>
    <w:rsid w:val="00CD249A"/>
    <w:rsid w:val="00CD24EC"/>
    <w:rsid w:val="00CD333F"/>
    <w:rsid w:val="00CD3890"/>
    <w:rsid w:val="00CD3B4B"/>
    <w:rsid w:val="00CD3FE7"/>
    <w:rsid w:val="00CD4189"/>
    <w:rsid w:val="00CD4D45"/>
    <w:rsid w:val="00CD4D66"/>
    <w:rsid w:val="00CD5A03"/>
    <w:rsid w:val="00CD5C85"/>
    <w:rsid w:val="00CD62DB"/>
    <w:rsid w:val="00CD62F4"/>
    <w:rsid w:val="00CD6584"/>
    <w:rsid w:val="00CD7193"/>
    <w:rsid w:val="00CD7466"/>
    <w:rsid w:val="00CD755D"/>
    <w:rsid w:val="00CD758F"/>
    <w:rsid w:val="00CD781D"/>
    <w:rsid w:val="00CD7A93"/>
    <w:rsid w:val="00CD7AAF"/>
    <w:rsid w:val="00CE0383"/>
    <w:rsid w:val="00CE0D09"/>
    <w:rsid w:val="00CE0FD2"/>
    <w:rsid w:val="00CE120C"/>
    <w:rsid w:val="00CE131F"/>
    <w:rsid w:val="00CE15B9"/>
    <w:rsid w:val="00CE16A1"/>
    <w:rsid w:val="00CE17D1"/>
    <w:rsid w:val="00CE19EF"/>
    <w:rsid w:val="00CE1B42"/>
    <w:rsid w:val="00CE1CA2"/>
    <w:rsid w:val="00CE1DA6"/>
    <w:rsid w:val="00CE2106"/>
    <w:rsid w:val="00CE2416"/>
    <w:rsid w:val="00CE344F"/>
    <w:rsid w:val="00CE398A"/>
    <w:rsid w:val="00CE3BC6"/>
    <w:rsid w:val="00CE3D75"/>
    <w:rsid w:val="00CE3F73"/>
    <w:rsid w:val="00CE451C"/>
    <w:rsid w:val="00CE484F"/>
    <w:rsid w:val="00CE4D00"/>
    <w:rsid w:val="00CE5937"/>
    <w:rsid w:val="00CE598F"/>
    <w:rsid w:val="00CE5BCB"/>
    <w:rsid w:val="00CE5C13"/>
    <w:rsid w:val="00CE5F4A"/>
    <w:rsid w:val="00CE6648"/>
    <w:rsid w:val="00CE6AB9"/>
    <w:rsid w:val="00CE6E55"/>
    <w:rsid w:val="00CE7140"/>
    <w:rsid w:val="00CE71E8"/>
    <w:rsid w:val="00CE7FF1"/>
    <w:rsid w:val="00CF03FD"/>
    <w:rsid w:val="00CF05F1"/>
    <w:rsid w:val="00CF071A"/>
    <w:rsid w:val="00CF08F7"/>
    <w:rsid w:val="00CF0AFB"/>
    <w:rsid w:val="00CF0B8E"/>
    <w:rsid w:val="00CF1972"/>
    <w:rsid w:val="00CF1B54"/>
    <w:rsid w:val="00CF1D56"/>
    <w:rsid w:val="00CF2080"/>
    <w:rsid w:val="00CF291F"/>
    <w:rsid w:val="00CF3497"/>
    <w:rsid w:val="00CF3921"/>
    <w:rsid w:val="00CF3B3D"/>
    <w:rsid w:val="00CF3B8D"/>
    <w:rsid w:val="00CF494D"/>
    <w:rsid w:val="00CF4F4B"/>
    <w:rsid w:val="00CF5071"/>
    <w:rsid w:val="00CF5248"/>
    <w:rsid w:val="00CF52F2"/>
    <w:rsid w:val="00CF533C"/>
    <w:rsid w:val="00CF5EE6"/>
    <w:rsid w:val="00CF611D"/>
    <w:rsid w:val="00CF637E"/>
    <w:rsid w:val="00CF653F"/>
    <w:rsid w:val="00CF6CFA"/>
    <w:rsid w:val="00CF6DC7"/>
    <w:rsid w:val="00D00025"/>
    <w:rsid w:val="00D00233"/>
    <w:rsid w:val="00D00CB4"/>
    <w:rsid w:val="00D00E60"/>
    <w:rsid w:val="00D0132D"/>
    <w:rsid w:val="00D0135D"/>
    <w:rsid w:val="00D02211"/>
    <w:rsid w:val="00D02660"/>
    <w:rsid w:val="00D0297E"/>
    <w:rsid w:val="00D02DEE"/>
    <w:rsid w:val="00D02F79"/>
    <w:rsid w:val="00D047B9"/>
    <w:rsid w:val="00D048A7"/>
    <w:rsid w:val="00D04EA4"/>
    <w:rsid w:val="00D0507A"/>
    <w:rsid w:val="00D050B8"/>
    <w:rsid w:val="00D058DF"/>
    <w:rsid w:val="00D05C46"/>
    <w:rsid w:val="00D0608E"/>
    <w:rsid w:val="00D061BC"/>
    <w:rsid w:val="00D06727"/>
    <w:rsid w:val="00D06920"/>
    <w:rsid w:val="00D06C1B"/>
    <w:rsid w:val="00D075A4"/>
    <w:rsid w:val="00D07DD3"/>
    <w:rsid w:val="00D1097A"/>
    <w:rsid w:val="00D1106A"/>
    <w:rsid w:val="00D11569"/>
    <w:rsid w:val="00D11F81"/>
    <w:rsid w:val="00D11F8B"/>
    <w:rsid w:val="00D120FB"/>
    <w:rsid w:val="00D127ED"/>
    <w:rsid w:val="00D129E0"/>
    <w:rsid w:val="00D12B9A"/>
    <w:rsid w:val="00D12C30"/>
    <w:rsid w:val="00D12EDF"/>
    <w:rsid w:val="00D133C3"/>
    <w:rsid w:val="00D13BB8"/>
    <w:rsid w:val="00D13BEC"/>
    <w:rsid w:val="00D14194"/>
    <w:rsid w:val="00D144C2"/>
    <w:rsid w:val="00D1583E"/>
    <w:rsid w:val="00D1588A"/>
    <w:rsid w:val="00D158AC"/>
    <w:rsid w:val="00D1610E"/>
    <w:rsid w:val="00D16180"/>
    <w:rsid w:val="00D16CA9"/>
    <w:rsid w:val="00D17808"/>
    <w:rsid w:val="00D17F28"/>
    <w:rsid w:val="00D200A6"/>
    <w:rsid w:val="00D20350"/>
    <w:rsid w:val="00D2092C"/>
    <w:rsid w:val="00D20EE6"/>
    <w:rsid w:val="00D20F65"/>
    <w:rsid w:val="00D20FF7"/>
    <w:rsid w:val="00D21186"/>
    <w:rsid w:val="00D214CB"/>
    <w:rsid w:val="00D215F7"/>
    <w:rsid w:val="00D21680"/>
    <w:rsid w:val="00D217C4"/>
    <w:rsid w:val="00D218D6"/>
    <w:rsid w:val="00D21D7D"/>
    <w:rsid w:val="00D21FF2"/>
    <w:rsid w:val="00D226A1"/>
    <w:rsid w:val="00D23B85"/>
    <w:rsid w:val="00D23BAD"/>
    <w:rsid w:val="00D24171"/>
    <w:rsid w:val="00D24611"/>
    <w:rsid w:val="00D24DCD"/>
    <w:rsid w:val="00D251E7"/>
    <w:rsid w:val="00D25CC8"/>
    <w:rsid w:val="00D2672C"/>
    <w:rsid w:val="00D270DE"/>
    <w:rsid w:val="00D27389"/>
    <w:rsid w:val="00D278A7"/>
    <w:rsid w:val="00D27C36"/>
    <w:rsid w:val="00D27FD4"/>
    <w:rsid w:val="00D3075F"/>
    <w:rsid w:val="00D316CB"/>
    <w:rsid w:val="00D319F6"/>
    <w:rsid w:val="00D3232A"/>
    <w:rsid w:val="00D3279A"/>
    <w:rsid w:val="00D32BE5"/>
    <w:rsid w:val="00D33138"/>
    <w:rsid w:val="00D33707"/>
    <w:rsid w:val="00D33FC9"/>
    <w:rsid w:val="00D3417C"/>
    <w:rsid w:val="00D348D4"/>
    <w:rsid w:val="00D35439"/>
    <w:rsid w:val="00D3557C"/>
    <w:rsid w:val="00D35756"/>
    <w:rsid w:val="00D35FE4"/>
    <w:rsid w:val="00D36BB8"/>
    <w:rsid w:val="00D36FE0"/>
    <w:rsid w:val="00D37715"/>
    <w:rsid w:val="00D37824"/>
    <w:rsid w:val="00D37A36"/>
    <w:rsid w:val="00D37AEE"/>
    <w:rsid w:val="00D4050A"/>
    <w:rsid w:val="00D40732"/>
    <w:rsid w:val="00D40CBF"/>
    <w:rsid w:val="00D40D84"/>
    <w:rsid w:val="00D419C9"/>
    <w:rsid w:val="00D419F7"/>
    <w:rsid w:val="00D41B6A"/>
    <w:rsid w:val="00D41FE6"/>
    <w:rsid w:val="00D42288"/>
    <w:rsid w:val="00D424D6"/>
    <w:rsid w:val="00D429DE"/>
    <w:rsid w:val="00D42F16"/>
    <w:rsid w:val="00D4307A"/>
    <w:rsid w:val="00D43325"/>
    <w:rsid w:val="00D436FD"/>
    <w:rsid w:val="00D43A74"/>
    <w:rsid w:val="00D43C02"/>
    <w:rsid w:val="00D44547"/>
    <w:rsid w:val="00D44728"/>
    <w:rsid w:val="00D4485A"/>
    <w:rsid w:val="00D4525C"/>
    <w:rsid w:val="00D45266"/>
    <w:rsid w:val="00D45299"/>
    <w:rsid w:val="00D45CCF"/>
    <w:rsid w:val="00D46478"/>
    <w:rsid w:val="00D464CA"/>
    <w:rsid w:val="00D468C7"/>
    <w:rsid w:val="00D46D52"/>
    <w:rsid w:val="00D46F3E"/>
    <w:rsid w:val="00D471BA"/>
    <w:rsid w:val="00D47B0F"/>
    <w:rsid w:val="00D500B1"/>
    <w:rsid w:val="00D501C7"/>
    <w:rsid w:val="00D50626"/>
    <w:rsid w:val="00D50BB7"/>
    <w:rsid w:val="00D51577"/>
    <w:rsid w:val="00D52091"/>
    <w:rsid w:val="00D521C5"/>
    <w:rsid w:val="00D523A6"/>
    <w:rsid w:val="00D523EF"/>
    <w:rsid w:val="00D527A6"/>
    <w:rsid w:val="00D527DF"/>
    <w:rsid w:val="00D529E8"/>
    <w:rsid w:val="00D52D7B"/>
    <w:rsid w:val="00D5374F"/>
    <w:rsid w:val="00D53775"/>
    <w:rsid w:val="00D539A5"/>
    <w:rsid w:val="00D53C4D"/>
    <w:rsid w:val="00D55952"/>
    <w:rsid w:val="00D55A2D"/>
    <w:rsid w:val="00D55CDD"/>
    <w:rsid w:val="00D56A68"/>
    <w:rsid w:val="00D56FE8"/>
    <w:rsid w:val="00D56FEC"/>
    <w:rsid w:val="00D5797A"/>
    <w:rsid w:val="00D57DF7"/>
    <w:rsid w:val="00D607EF"/>
    <w:rsid w:val="00D60ED0"/>
    <w:rsid w:val="00D60F38"/>
    <w:rsid w:val="00D6126D"/>
    <w:rsid w:val="00D61282"/>
    <w:rsid w:val="00D61874"/>
    <w:rsid w:val="00D61A9F"/>
    <w:rsid w:val="00D61C4A"/>
    <w:rsid w:val="00D62167"/>
    <w:rsid w:val="00D629AF"/>
    <w:rsid w:val="00D63062"/>
    <w:rsid w:val="00D635E1"/>
    <w:rsid w:val="00D63764"/>
    <w:rsid w:val="00D63C9E"/>
    <w:rsid w:val="00D63D43"/>
    <w:rsid w:val="00D63E3F"/>
    <w:rsid w:val="00D64663"/>
    <w:rsid w:val="00D64901"/>
    <w:rsid w:val="00D649FA"/>
    <w:rsid w:val="00D64AD3"/>
    <w:rsid w:val="00D64AED"/>
    <w:rsid w:val="00D64C67"/>
    <w:rsid w:val="00D64D65"/>
    <w:rsid w:val="00D64E26"/>
    <w:rsid w:val="00D65771"/>
    <w:rsid w:val="00D65908"/>
    <w:rsid w:val="00D66DB3"/>
    <w:rsid w:val="00D66F9A"/>
    <w:rsid w:val="00D67837"/>
    <w:rsid w:val="00D67B8B"/>
    <w:rsid w:val="00D67F4B"/>
    <w:rsid w:val="00D700A7"/>
    <w:rsid w:val="00D704A0"/>
    <w:rsid w:val="00D70527"/>
    <w:rsid w:val="00D70754"/>
    <w:rsid w:val="00D70EA1"/>
    <w:rsid w:val="00D70F97"/>
    <w:rsid w:val="00D71470"/>
    <w:rsid w:val="00D71597"/>
    <w:rsid w:val="00D71615"/>
    <w:rsid w:val="00D71C51"/>
    <w:rsid w:val="00D722C4"/>
    <w:rsid w:val="00D72354"/>
    <w:rsid w:val="00D72BA6"/>
    <w:rsid w:val="00D72DF0"/>
    <w:rsid w:val="00D732B3"/>
    <w:rsid w:val="00D73426"/>
    <w:rsid w:val="00D7373D"/>
    <w:rsid w:val="00D73FF0"/>
    <w:rsid w:val="00D746DA"/>
    <w:rsid w:val="00D7477C"/>
    <w:rsid w:val="00D747BF"/>
    <w:rsid w:val="00D74CC3"/>
    <w:rsid w:val="00D75299"/>
    <w:rsid w:val="00D76056"/>
    <w:rsid w:val="00D76429"/>
    <w:rsid w:val="00D76D57"/>
    <w:rsid w:val="00D76E09"/>
    <w:rsid w:val="00D76E8D"/>
    <w:rsid w:val="00D76E92"/>
    <w:rsid w:val="00D7721E"/>
    <w:rsid w:val="00D77490"/>
    <w:rsid w:val="00D77690"/>
    <w:rsid w:val="00D77F87"/>
    <w:rsid w:val="00D80C20"/>
    <w:rsid w:val="00D80D90"/>
    <w:rsid w:val="00D813B9"/>
    <w:rsid w:val="00D81701"/>
    <w:rsid w:val="00D81F09"/>
    <w:rsid w:val="00D82210"/>
    <w:rsid w:val="00D826AC"/>
    <w:rsid w:val="00D82B41"/>
    <w:rsid w:val="00D82CAC"/>
    <w:rsid w:val="00D84955"/>
    <w:rsid w:val="00D8600B"/>
    <w:rsid w:val="00D861A4"/>
    <w:rsid w:val="00D862BE"/>
    <w:rsid w:val="00D865E3"/>
    <w:rsid w:val="00D86E3F"/>
    <w:rsid w:val="00D86F16"/>
    <w:rsid w:val="00D875DE"/>
    <w:rsid w:val="00D87773"/>
    <w:rsid w:val="00D87AF7"/>
    <w:rsid w:val="00D87DAF"/>
    <w:rsid w:val="00D87DC1"/>
    <w:rsid w:val="00D87F24"/>
    <w:rsid w:val="00D9014A"/>
    <w:rsid w:val="00D90319"/>
    <w:rsid w:val="00D90E72"/>
    <w:rsid w:val="00D90E98"/>
    <w:rsid w:val="00D90EFE"/>
    <w:rsid w:val="00D9129E"/>
    <w:rsid w:val="00D91D9A"/>
    <w:rsid w:val="00D92727"/>
    <w:rsid w:val="00D927E0"/>
    <w:rsid w:val="00D92AEC"/>
    <w:rsid w:val="00D938D3"/>
    <w:rsid w:val="00D93949"/>
    <w:rsid w:val="00D93CC3"/>
    <w:rsid w:val="00D9401E"/>
    <w:rsid w:val="00D94043"/>
    <w:rsid w:val="00D946EA"/>
    <w:rsid w:val="00D94808"/>
    <w:rsid w:val="00D94989"/>
    <w:rsid w:val="00D95013"/>
    <w:rsid w:val="00D959AE"/>
    <w:rsid w:val="00D95C4E"/>
    <w:rsid w:val="00D95CDC"/>
    <w:rsid w:val="00D95D23"/>
    <w:rsid w:val="00D95F0E"/>
    <w:rsid w:val="00D97203"/>
    <w:rsid w:val="00D977D6"/>
    <w:rsid w:val="00D97967"/>
    <w:rsid w:val="00D97A2F"/>
    <w:rsid w:val="00DA0705"/>
    <w:rsid w:val="00DA0711"/>
    <w:rsid w:val="00DA1B0F"/>
    <w:rsid w:val="00DA24C6"/>
    <w:rsid w:val="00DA27D5"/>
    <w:rsid w:val="00DA2B0A"/>
    <w:rsid w:val="00DA305A"/>
    <w:rsid w:val="00DA31BD"/>
    <w:rsid w:val="00DA3220"/>
    <w:rsid w:val="00DA39F6"/>
    <w:rsid w:val="00DA3B15"/>
    <w:rsid w:val="00DA3BD7"/>
    <w:rsid w:val="00DA4396"/>
    <w:rsid w:val="00DA4B27"/>
    <w:rsid w:val="00DA5604"/>
    <w:rsid w:val="00DA5C07"/>
    <w:rsid w:val="00DA5F41"/>
    <w:rsid w:val="00DA6BF1"/>
    <w:rsid w:val="00DA6D6A"/>
    <w:rsid w:val="00DA71EE"/>
    <w:rsid w:val="00DA7914"/>
    <w:rsid w:val="00DA7970"/>
    <w:rsid w:val="00DA7C76"/>
    <w:rsid w:val="00DB01EE"/>
    <w:rsid w:val="00DB0303"/>
    <w:rsid w:val="00DB0319"/>
    <w:rsid w:val="00DB06C6"/>
    <w:rsid w:val="00DB074A"/>
    <w:rsid w:val="00DB0752"/>
    <w:rsid w:val="00DB0995"/>
    <w:rsid w:val="00DB09E8"/>
    <w:rsid w:val="00DB0A63"/>
    <w:rsid w:val="00DB0AD5"/>
    <w:rsid w:val="00DB0DBE"/>
    <w:rsid w:val="00DB187A"/>
    <w:rsid w:val="00DB1C55"/>
    <w:rsid w:val="00DB25A7"/>
    <w:rsid w:val="00DB274A"/>
    <w:rsid w:val="00DB2A66"/>
    <w:rsid w:val="00DB2AF3"/>
    <w:rsid w:val="00DB2BF1"/>
    <w:rsid w:val="00DB3664"/>
    <w:rsid w:val="00DB38B2"/>
    <w:rsid w:val="00DB40F8"/>
    <w:rsid w:val="00DB436F"/>
    <w:rsid w:val="00DB48D0"/>
    <w:rsid w:val="00DB5784"/>
    <w:rsid w:val="00DB5789"/>
    <w:rsid w:val="00DB5A13"/>
    <w:rsid w:val="00DB5B9A"/>
    <w:rsid w:val="00DB6ACB"/>
    <w:rsid w:val="00DB6E2A"/>
    <w:rsid w:val="00DB7BDA"/>
    <w:rsid w:val="00DB7C17"/>
    <w:rsid w:val="00DC0286"/>
    <w:rsid w:val="00DC05DE"/>
    <w:rsid w:val="00DC075C"/>
    <w:rsid w:val="00DC0BB1"/>
    <w:rsid w:val="00DC0E8F"/>
    <w:rsid w:val="00DC1434"/>
    <w:rsid w:val="00DC19B8"/>
    <w:rsid w:val="00DC1D18"/>
    <w:rsid w:val="00DC24DD"/>
    <w:rsid w:val="00DC2AED"/>
    <w:rsid w:val="00DC2D04"/>
    <w:rsid w:val="00DC2E23"/>
    <w:rsid w:val="00DC321A"/>
    <w:rsid w:val="00DC357D"/>
    <w:rsid w:val="00DC3648"/>
    <w:rsid w:val="00DC440E"/>
    <w:rsid w:val="00DC46AD"/>
    <w:rsid w:val="00DC4769"/>
    <w:rsid w:val="00DC4A5F"/>
    <w:rsid w:val="00DC5286"/>
    <w:rsid w:val="00DC5A76"/>
    <w:rsid w:val="00DC63B2"/>
    <w:rsid w:val="00DC6A66"/>
    <w:rsid w:val="00DC7245"/>
    <w:rsid w:val="00DC73B3"/>
    <w:rsid w:val="00DC75BF"/>
    <w:rsid w:val="00DC784A"/>
    <w:rsid w:val="00DC7D09"/>
    <w:rsid w:val="00DC7F2B"/>
    <w:rsid w:val="00DD0042"/>
    <w:rsid w:val="00DD04D7"/>
    <w:rsid w:val="00DD0748"/>
    <w:rsid w:val="00DD1278"/>
    <w:rsid w:val="00DD1781"/>
    <w:rsid w:val="00DD1892"/>
    <w:rsid w:val="00DD1964"/>
    <w:rsid w:val="00DD2A98"/>
    <w:rsid w:val="00DD2BDB"/>
    <w:rsid w:val="00DD2CC4"/>
    <w:rsid w:val="00DD3069"/>
    <w:rsid w:val="00DD34DD"/>
    <w:rsid w:val="00DD38B5"/>
    <w:rsid w:val="00DD3A10"/>
    <w:rsid w:val="00DD3CAA"/>
    <w:rsid w:val="00DD3EEC"/>
    <w:rsid w:val="00DD3F8F"/>
    <w:rsid w:val="00DD404E"/>
    <w:rsid w:val="00DD4253"/>
    <w:rsid w:val="00DD4380"/>
    <w:rsid w:val="00DD4BCE"/>
    <w:rsid w:val="00DD4FA4"/>
    <w:rsid w:val="00DD512B"/>
    <w:rsid w:val="00DD53E7"/>
    <w:rsid w:val="00DD55A3"/>
    <w:rsid w:val="00DD597C"/>
    <w:rsid w:val="00DD61BE"/>
    <w:rsid w:val="00DD61CC"/>
    <w:rsid w:val="00DD64E0"/>
    <w:rsid w:val="00DD696A"/>
    <w:rsid w:val="00DD6E9B"/>
    <w:rsid w:val="00DD74CC"/>
    <w:rsid w:val="00DD755A"/>
    <w:rsid w:val="00DD7794"/>
    <w:rsid w:val="00DD7B8F"/>
    <w:rsid w:val="00DD7EDC"/>
    <w:rsid w:val="00DE00C8"/>
    <w:rsid w:val="00DE0175"/>
    <w:rsid w:val="00DE03F3"/>
    <w:rsid w:val="00DE0E47"/>
    <w:rsid w:val="00DE0E67"/>
    <w:rsid w:val="00DE1909"/>
    <w:rsid w:val="00DE1C98"/>
    <w:rsid w:val="00DE1F58"/>
    <w:rsid w:val="00DE2332"/>
    <w:rsid w:val="00DE2681"/>
    <w:rsid w:val="00DE2DC9"/>
    <w:rsid w:val="00DE2F88"/>
    <w:rsid w:val="00DE317C"/>
    <w:rsid w:val="00DE41D0"/>
    <w:rsid w:val="00DE460A"/>
    <w:rsid w:val="00DE4699"/>
    <w:rsid w:val="00DE4970"/>
    <w:rsid w:val="00DE49BE"/>
    <w:rsid w:val="00DE4C1B"/>
    <w:rsid w:val="00DE4DEE"/>
    <w:rsid w:val="00DE5570"/>
    <w:rsid w:val="00DE5615"/>
    <w:rsid w:val="00DE5859"/>
    <w:rsid w:val="00DE5B95"/>
    <w:rsid w:val="00DE5E61"/>
    <w:rsid w:val="00DE5EE3"/>
    <w:rsid w:val="00DE65FB"/>
    <w:rsid w:val="00DE66CD"/>
    <w:rsid w:val="00DE74A6"/>
    <w:rsid w:val="00DE78D4"/>
    <w:rsid w:val="00DE79D7"/>
    <w:rsid w:val="00DE7A75"/>
    <w:rsid w:val="00DE7DC4"/>
    <w:rsid w:val="00DE7EF7"/>
    <w:rsid w:val="00DF02C1"/>
    <w:rsid w:val="00DF0A41"/>
    <w:rsid w:val="00DF102F"/>
    <w:rsid w:val="00DF116D"/>
    <w:rsid w:val="00DF1294"/>
    <w:rsid w:val="00DF16A6"/>
    <w:rsid w:val="00DF227C"/>
    <w:rsid w:val="00DF23A2"/>
    <w:rsid w:val="00DF2560"/>
    <w:rsid w:val="00DF271F"/>
    <w:rsid w:val="00DF2D01"/>
    <w:rsid w:val="00DF2E5E"/>
    <w:rsid w:val="00DF2EE9"/>
    <w:rsid w:val="00DF2F50"/>
    <w:rsid w:val="00DF351E"/>
    <w:rsid w:val="00DF3B74"/>
    <w:rsid w:val="00DF4402"/>
    <w:rsid w:val="00DF4535"/>
    <w:rsid w:val="00DF4627"/>
    <w:rsid w:val="00DF49D4"/>
    <w:rsid w:val="00DF49E1"/>
    <w:rsid w:val="00DF51A6"/>
    <w:rsid w:val="00DF5583"/>
    <w:rsid w:val="00DF5FE3"/>
    <w:rsid w:val="00DF6657"/>
    <w:rsid w:val="00DF686D"/>
    <w:rsid w:val="00DF6CD7"/>
    <w:rsid w:val="00DF6FB6"/>
    <w:rsid w:val="00DF7056"/>
    <w:rsid w:val="00DF7226"/>
    <w:rsid w:val="00DF787B"/>
    <w:rsid w:val="00DF7B18"/>
    <w:rsid w:val="00DF7C0A"/>
    <w:rsid w:val="00DF7CB0"/>
    <w:rsid w:val="00E005E8"/>
    <w:rsid w:val="00E0075F"/>
    <w:rsid w:val="00E00A20"/>
    <w:rsid w:val="00E00DED"/>
    <w:rsid w:val="00E02296"/>
    <w:rsid w:val="00E03673"/>
    <w:rsid w:val="00E04556"/>
    <w:rsid w:val="00E04670"/>
    <w:rsid w:val="00E0491E"/>
    <w:rsid w:val="00E049FF"/>
    <w:rsid w:val="00E052BF"/>
    <w:rsid w:val="00E05362"/>
    <w:rsid w:val="00E056E7"/>
    <w:rsid w:val="00E058A2"/>
    <w:rsid w:val="00E059C0"/>
    <w:rsid w:val="00E05B68"/>
    <w:rsid w:val="00E05D4B"/>
    <w:rsid w:val="00E07A13"/>
    <w:rsid w:val="00E07A48"/>
    <w:rsid w:val="00E07BAE"/>
    <w:rsid w:val="00E07C06"/>
    <w:rsid w:val="00E1010B"/>
    <w:rsid w:val="00E10720"/>
    <w:rsid w:val="00E10BC8"/>
    <w:rsid w:val="00E10CF6"/>
    <w:rsid w:val="00E10F3B"/>
    <w:rsid w:val="00E11104"/>
    <w:rsid w:val="00E121AE"/>
    <w:rsid w:val="00E123C9"/>
    <w:rsid w:val="00E12ADF"/>
    <w:rsid w:val="00E12F7E"/>
    <w:rsid w:val="00E12F81"/>
    <w:rsid w:val="00E130DE"/>
    <w:rsid w:val="00E1336A"/>
    <w:rsid w:val="00E13515"/>
    <w:rsid w:val="00E137A8"/>
    <w:rsid w:val="00E137C9"/>
    <w:rsid w:val="00E1415D"/>
    <w:rsid w:val="00E14459"/>
    <w:rsid w:val="00E14CE4"/>
    <w:rsid w:val="00E15302"/>
    <w:rsid w:val="00E15662"/>
    <w:rsid w:val="00E1619C"/>
    <w:rsid w:val="00E163A5"/>
    <w:rsid w:val="00E1673F"/>
    <w:rsid w:val="00E16897"/>
    <w:rsid w:val="00E16F33"/>
    <w:rsid w:val="00E1730E"/>
    <w:rsid w:val="00E17B09"/>
    <w:rsid w:val="00E17C17"/>
    <w:rsid w:val="00E17FE8"/>
    <w:rsid w:val="00E20542"/>
    <w:rsid w:val="00E20ABB"/>
    <w:rsid w:val="00E20B4A"/>
    <w:rsid w:val="00E20F7D"/>
    <w:rsid w:val="00E20FF2"/>
    <w:rsid w:val="00E21A48"/>
    <w:rsid w:val="00E21D71"/>
    <w:rsid w:val="00E21E9E"/>
    <w:rsid w:val="00E222B5"/>
    <w:rsid w:val="00E2290D"/>
    <w:rsid w:val="00E22AD5"/>
    <w:rsid w:val="00E2305A"/>
    <w:rsid w:val="00E2317D"/>
    <w:rsid w:val="00E23578"/>
    <w:rsid w:val="00E23F86"/>
    <w:rsid w:val="00E2432F"/>
    <w:rsid w:val="00E2472F"/>
    <w:rsid w:val="00E24D8E"/>
    <w:rsid w:val="00E24EE3"/>
    <w:rsid w:val="00E25280"/>
    <w:rsid w:val="00E25878"/>
    <w:rsid w:val="00E258FB"/>
    <w:rsid w:val="00E25A12"/>
    <w:rsid w:val="00E26050"/>
    <w:rsid w:val="00E261C5"/>
    <w:rsid w:val="00E2703B"/>
    <w:rsid w:val="00E275DA"/>
    <w:rsid w:val="00E2796C"/>
    <w:rsid w:val="00E27EBC"/>
    <w:rsid w:val="00E3047F"/>
    <w:rsid w:val="00E317DD"/>
    <w:rsid w:val="00E32276"/>
    <w:rsid w:val="00E32566"/>
    <w:rsid w:val="00E326E6"/>
    <w:rsid w:val="00E32968"/>
    <w:rsid w:val="00E32EB4"/>
    <w:rsid w:val="00E32FE5"/>
    <w:rsid w:val="00E3369F"/>
    <w:rsid w:val="00E33C1E"/>
    <w:rsid w:val="00E33CD4"/>
    <w:rsid w:val="00E3428F"/>
    <w:rsid w:val="00E3468D"/>
    <w:rsid w:val="00E34C0B"/>
    <w:rsid w:val="00E34D2D"/>
    <w:rsid w:val="00E353A1"/>
    <w:rsid w:val="00E353CD"/>
    <w:rsid w:val="00E3552C"/>
    <w:rsid w:val="00E35611"/>
    <w:rsid w:val="00E35663"/>
    <w:rsid w:val="00E3574C"/>
    <w:rsid w:val="00E358CD"/>
    <w:rsid w:val="00E3593A"/>
    <w:rsid w:val="00E366B8"/>
    <w:rsid w:val="00E3678B"/>
    <w:rsid w:val="00E37162"/>
    <w:rsid w:val="00E375E3"/>
    <w:rsid w:val="00E37E1E"/>
    <w:rsid w:val="00E401E5"/>
    <w:rsid w:val="00E40449"/>
    <w:rsid w:val="00E409A0"/>
    <w:rsid w:val="00E415C3"/>
    <w:rsid w:val="00E41631"/>
    <w:rsid w:val="00E41750"/>
    <w:rsid w:val="00E41885"/>
    <w:rsid w:val="00E418AF"/>
    <w:rsid w:val="00E41A3B"/>
    <w:rsid w:val="00E41DC6"/>
    <w:rsid w:val="00E420E3"/>
    <w:rsid w:val="00E42D54"/>
    <w:rsid w:val="00E42FA7"/>
    <w:rsid w:val="00E4309D"/>
    <w:rsid w:val="00E43F91"/>
    <w:rsid w:val="00E43FEB"/>
    <w:rsid w:val="00E44316"/>
    <w:rsid w:val="00E446AC"/>
    <w:rsid w:val="00E44AF1"/>
    <w:rsid w:val="00E44DF8"/>
    <w:rsid w:val="00E44F2B"/>
    <w:rsid w:val="00E44F98"/>
    <w:rsid w:val="00E4536E"/>
    <w:rsid w:val="00E4538A"/>
    <w:rsid w:val="00E4540B"/>
    <w:rsid w:val="00E454FE"/>
    <w:rsid w:val="00E4554D"/>
    <w:rsid w:val="00E4578C"/>
    <w:rsid w:val="00E45992"/>
    <w:rsid w:val="00E4613A"/>
    <w:rsid w:val="00E4623F"/>
    <w:rsid w:val="00E466DA"/>
    <w:rsid w:val="00E477F0"/>
    <w:rsid w:val="00E47B10"/>
    <w:rsid w:val="00E50267"/>
    <w:rsid w:val="00E5047A"/>
    <w:rsid w:val="00E508AE"/>
    <w:rsid w:val="00E5101D"/>
    <w:rsid w:val="00E51C13"/>
    <w:rsid w:val="00E5243A"/>
    <w:rsid w:val="00E52D59"/>
    <w:rsid w:val="00E52E4F"/>
    <w:rsid w:val="00E533A6"/>
    <w:rsid w:val="00E53C6C"/>
    <w:rsid w:val="00E53CD8"/>
    <w:rsid w:val="00E53DE0"/>
    <w:rsid w:val="00E5472E"/>
    <w:rsid w:val="00E54961"/>
    <w:rsid w:val="00E5530B"/>
    <w:rsid w:val="00E559E8"/>
    <w:rsid w:val="00E56398"/>
    <w:rsid w:val="00E565D9"/>
    <w:rsid w:val="00E56FA3"/>
    <w:rsid w:val="00E574E8"/>
    <w:rsid w:val="00E57BCC"/>
    <w:rsid w:val="00E57E17"/>
    <w:rsid w:val="00E604F0"/>
    <w:rsid w:val="00E60749"/>
    <w:rsid w:val="00E608D6"/>
    <w:rsid w:val="00E60DB4"/>
    <w:rsid w:val="00E60DD2"/>
    <w:rsid w:val="00E610DF"/>
    <w:rsid w:val="00E61473"/>
    <w:rsid w:val="00E61577"/>
    <w:rsid w:val="00E61846"/>
    <w:rsid w:val="00E619B5"/>
    <w:rsid w:val="00E61D73"/>
    <w:rsid w:val="00E61D91"/>
    <w:rsid w:val="00E62327"/>
    <w:rsid w:val="00E628E9"/>
    <w:rsid w:val="00E629A2"/>
    <w:rsid w:val="00E629FD"/>
    <w:rsid w:val="00E62AA2"/>
    <w:rsid w:val="00E62CD6"/>
    <w:rsid w:val="00E63298"/>
    <w:rsid w:val="00E63589"/>
    <w:rsid w:val="00E64B20"/>
    <w:rsid w:val="00E64C7E"/>
    <w:rsid w:val="00E64E0F"/>
    <w:rsid w:val="00E6528B"/>
    <w:rsid w:val="00E65528"/>
    <w:rsid w:val="00E65928"/>
    <w:rsid w:val="00E66082"/>
    <w:rsid w:val="00E663B7"/>
    <w:rsid w:val="00E66422"/>
    <w:rsid w:val="00E66BA1"/>
    <w:rsid w:val="00E678FB"/>
    <w:rsid w:val="00E67CB4"/>
    <w:rsid w:val="00E67FF9"/>
    <w:rsid w:val="00E7028D"/>
    <w:rsid w:val="00E707C5"/>
    <w:rsid w:val="00E707C8"/>
    <w:rsid w:val="00E71341"/>
    <w:rsid w:val="00E713D2"/>
    <w:rsid w:val="00E71538"/>
    <w:rsid w:val="00E717A7"/>
    <w:rsid w:val="00E7194F"/>
    <w:rsid w:val="00E71995"/>
    <w:rsid w:val="00E7212A"/>
    <w:rsid w:val="00E721BA"/>
    <w:rsid w:val="00E7246E"/>
    <w:rsid w:val="00E72E83"/>
    <w:rsid w:val="00E72F83"/>
    <w:rsid w:val="00E73676"/>
    <w:rsid w:val="00E73B09"/>
    <w:rsid w:val="00E73C85"/>
    <w:rsid w:val="00E73CF6"/>
    <w:rsid w:val="00E746E4"/>
    <w:rsid w:val="00E748F7"/>
    <w:rsid w:val="00E74A5E"/>
    <w:rsid w:val="00E75550"/>
    <w:rsid w:val="00E755AB"/>
    <w:rsid w:val="00E75632"/>
    <w:rsid w:val="00E75D78"/>
    <w:rsid w:val="00E75EB5"/>
    <w:rsid w:val="00E760C1"/>
    <w:rsid w:val="00E76379"/>
    <w:rsid w:val="00E76683"/>
    <w:rsid w:val="00E76995"/>
    <w:rsid w:val="00E76CC2"/>
    <w:rsid w:val="00E76DDA"/>
    <w:rsid w:val="00E76F05"/>
    <w:rsid w:val="00E771ED"/>
    <w:rsid w:val="00E772BE"/>
    <w:rsid w:val="00E77700"/>
    <w:rsid w:val="00E804E9"/>
    <w:rsid w:val="00E80640"/>
    <w:rsid w:val="00E812D7"/>
    <w:rsid w:val="00E824BC"/>
    <w:rsid w:val="00E82B40"/>
    <w:rsid w:val="00E83AF3"/>
    <w:rsid w:val="00E83C87"/>
    <w:rsid w:val="00E83D6E"/>
    <w:rsid w:val="00E83E77"/>
    <w:rsid w:val="00E841C0"/>
    <w:rsid w:val="00E84DC8"/>
    <w:rsid w:val="00E850E3"/>
    <w:rsid w:val="00E854A6"/>
    <w:rsid w:val="00E869ED"/>
    <w:rsid w:val="00E86B7D"/>
    <w:rsid w:val="00E86FA6"/>
    <w:rsid w:val="00E87690"/>
    <w:rsid w:val="00E8784A"/>
    <w:rsid w:val="00E87D15"/>
    <w:rsid w:val="00E90149"/>
    <w:rsid w:val="00E903BD"/>
    <w:rsid w:val="00E90CBD"/>
    <w:rsid w:val="00E90F6D"/>
    <w:rsid w:val="00E9150B"/>
    <w:rsid w:val="00E917B6"/>
    <w:rsid w:val="00E917C3"/>
    <w:rsid w:val="00E91D87"/>
    <w:rsid w:val="00E92232"/>
    <w:rsid w:val="00E9225F"/>
    <w:rsid w:val="00E9233E"/>
    <w:rsid w:val="00E92874"/>
    <w:rsid w:val="00E929D4"/>
    <w:rsid w:val="00E92D63"/>
    <w:rsid w:val="00E932D7"/>
    <w:rsid w:val="00E945F0"/>
    <w:rsid w:val="00E94949"/>
    <w:rsid w:val="00E95001"/>
    <w:rsid w:val="00E95899"/>
    <w:rsid w:val="00E964EE"/>
    <w:rsid w:val="00E965A2"/>
    <w:rsid w:val="00E966B2"/>
    <w:rsid w:val="00E967CD"/>
    <w:rsid w:val="00E97945"/>
    <w:rsid w:val="00E97BB9"/>
    <w:rsid w:val="00EA0989"/>
    <w:rsid w:val="00EA098D"/>
    <w:rsid w:val="00EA0AB7"/>
    <w:rsid w:val="00EA144E"/>
    <w:rsid w:val="00EA14F2"/>
    <w:rsid w:val="00EA2FBA"/>
    <w:rsid w:val="00EA3253"/>
    <w:rsid w:val="00EA34CD"/>
    <w:rsid w:val="00EA356A"/>
    <w:rsid w:val="00EA3D56"/>
    <w:rsid w:val="00EA3EA1"/>
    <w:rsid w:val="00EA40F8"/>
    <w:rsid w:val="00EA41FC"/>
    <w:rsid w:val="00EA49C4"/>
    <w:rsid w:val="00EA4A08"/>
    <w:rsid w:val="00EA4A2F"/>
    <w:rsid w:val="00EA4B5C"/>
    <w:rsid w:val="00EA4E76"/>
    <w:rsid w:val="00EA5074"/>
    <w:rsid w:val="00EA5353"/>
    <w:rsid w:val="00EA5479"/>
    <w:rsid w:val="00EA5946"/>
    <w:rsid w:val="00EA5BBA"/>
    <w:rsid w:val="00EA5BE4"/>
    <w:rsid w:val="00EA5C22"/>
    <w:rsid w:val="00EA6140"/>
    <w:rsid w:val="00EA64DB"/>
    <w:rsid w:val="00EA67B1"/>
    <w:rsid w:val="00EA6AA4"/>
    <w:rsid w:val="00EA6ADC"/>
    <w:rsid w:val="00EA6CEA"/>
    <w:rsid w:val="00EA6D39"/>
    <w:rsid w:val="00EA742C"/>
    <w:rsid w:val="00EA7524"/>
    <w:rsid w:val="00EA7AD6"/>
    <w:rsid w:val="00EA7E20"/>
    <w:rsid w:val="00EA7F37"/>
    <w:rsid w:val="00EB052F"/>
    <w:rsid w:val="00EB0561"/>
    <w:rsid w:val="00EB0662"/>
    <w:rsid w:val="00EB0C52"/>
    <w:rsid w:val="00EB1343"/>
    <w:rsid w:val="00EB162A"/>
    <w:rsid w:val="00EB192B"/>
    <w:rsid w:val="00EB1B86"/>
    <w:rsid w:val="00EB1BB5"/>
    <w:rsid w:val="00EB1CA3"/>
    <w:rsid w:val="00EB1CAC"/>
    <w:rsid w:val="00EB1E62"/>
    <w:rsid w:val="00EB26E4"/>
    <w:rsid w:val="00EB27F9"/>
    <w:rsid w:val="00EB307D"/>
    <w:rsid w:val="00EB3478"/>
    <w:rsid w:val="00EB4133"/>
    <w:rsid w:val="00EB459A"/>
    <w:rsid w:val="00EB4A96"/>
    <w:rsid w:val="00EB4FCF"/>
    <w:rsid w:val="00EB51AF"/>
    <w:rsid w:val="00EB51CB"/>
    <w:rsid w:val="00EB541B"/>
    <w:rsid w:val="00EB5AC7"/>
    <w:rsid w:val="00EB5CAC"/>
    <w:rsid w:val="00EB5CFE"/>
    <w:rsid w:val="00EB6174"/>
    <w:rsid w:val="00EB6ACF"/>
    <w:rsid w:val="00EB6CAF"/>
    <w:rsid w:val="00EB6D93"/>
    <w:rsid w:val="00EB6F87"/>
    <w:rsid w:val="00EB70FE"/>
    <w:rsid w:val="00EB721C"/>
    <w:rsid w:val="00EB76FE"/>
    <w:rsid w:val="00EB7711"/>
    <w:rsid w:val="00EB7948"/>
    <w:rsid w:val="00EC014D"/>
    <w:rsid w:val="00EC0455"/>
    <w:rsid w:val="00EC08D9"/>
    <w:rsid w:val="00EC11FE"/>
    <w:rsid w:val="00EC13B7"/>
    <w:rsid w:val="00EC1806"/>
    <w:rsid w:val="00EC215E"/>
    <w:rsid w:val="00EC24F9"/>
    <w:rsid w:val="00EC257A"/>
    <w:rsid w:val="00EC26B1"/>
    <w:rsid w:val="00EC3137"/>
    <w:rsid w:val="00EC348E"/>
    <w:rsid w:val="00EC4428"/>
    <w:rsid w:val="00EC4D90"/>
    <w:rsid w:val="00EC515A"/>
    <w:rsid w:val="00EC5625"/>
    <w:rsid w:val="00EC588D"/>
    <w:rsid w:val="00EC5DD9"/>
    <w:rsid w:val="00EC63E4"/>
    <w:rsid w:val="00EC6534"/>
    <w:rsid w:val="00EC700B"/>
    <w:rsid w:val="00EC72DE"/>
    <w:rsid w:val="00EC7456"/>
    <w:rsid w:val="00EC7496"/>
    <w:rsid w:val="00ED0220"/>
    <w:rsid w:val="00ED0D87"/>
    <w:rsid w:val="00ED1465"/>
    <w:rsid w:val="00ED1F1E"/>
    <w:rsid w:val="00ED24B3"/>
    <w:rsid w:val="00ED257D"/>
    <w:rsid w:val="00ED31C5"/>
    <w:rsid w:val="00ED340D"/>
    <w:rsid w:val="00ED3A78"/>
    <w:rsid w:val="00ED3E59"/>
    <w:rsid w:val="00ED45F2"/>
    <w:rsid w:val="00ED47BB"/>
    <w:rsid w:val="00ED4C3D"/>
    <w:rsid w:val="00ED598A"/>
    <w:rsid w:val="00ED64E9"/>
    <w:rsid w:val="00ED687B"/>
    <w:rsid w:val="00ED6DC6"/>
    <w:rsid w:val="00ED751C"/>
    <w:rsid w:val="00ED78C3"/>
    <w:rsid w:val="00ED7995"/>
    <w:rsid w:val="00ED7E77"/>
    <w:rsid w:val="00ED7E80"/>
    <w:rsid w:val="00EE009C"/>
    <w:rsid w:val="00EE02E3"/>
    <w:rsid w:val="00EE02EE"/>
    <w:rsid w:val="00EE03FE"/>
    <w:rsid w:val="00EE0B6F"/>
    <w:rsid w:val="00EE0B7E"/>
    <w:rsid w:val="00EE0D14"/>
    <w:rsid w:val="00EE124C"/>
    <w:rsid w:val="00EE1B14"/>
    <w:rsid w:val="00EE224B"/>
    <w:rsid w:val="00EE26C9"/>
    <w:rsid w:val="00EE26F4"/>
    <w:rsid w:val="00EE2824"/>
    <w:rsid w:val="00EE28CF"/>
    <w:rsid w:val="00EE2A4E"/>
    <w:rsid w:val="00EE3183"/>
    <w:rsid w:val="00EE3371"/>
    <w:rsid w:val="00EE3555"/>
    <w:rsid w:val="00EE3813"/>
    <w:rsid w:val="00EE4043"/>
    <w:rsid w:val="00EE462D"/>
    <w:rsid w:val="00EE46A9"/>
    <w:rsid w:val="00EE48B0"/>
    <w:rsid w:val="00EE4E41"/>
    <w:rsid w:val="00EE5595"/>
    <w:rsid w:val="00EE5CDC"/>
    <w:rsid w:val="00EE5FFD"/>
    <w:rsid w:val="00EE709E"/>
    <w:rsid w:val="00EE765B"/>
    <w:rsid w:val="00EE7B0C"/>
    <w:rsid w:val="00EE7BAF"/>
    <w:rsid w:val="00EE7EB1"/>
    <w:rsid w:val="00EF00C6"/>
    <w:rsid w:val="00EF04FC"/>
    <w:rsid w:val="00EF0C2F"/>
    <w:rsid w:val="00EF0D19"/>
    <w:rsid w:val="00EF0E83"/>
    <w:rsid w:val="00EF101E"/>
    <w:rsid w:val="00EF165D"/>
    <w:rsid w:val="00EF17ED"/>
    <w:rsid w:val="00EF2202"/>
    <w:rsid w:val="00EF22A6"/>
    <w:rsid w:val="00EF2471"/>
    <w:rsid w:val="00EF28B0"/>
    <w:rsid w:val="00EF28B9"/>
    <w:rsid w:val="00EF31C8"/>
    <w:rsid w:val="00EF39AD"/>
    <w:rsid w:val="00EF3B3E"/>
    <w:rsid w:val="00EF3E86"/>
    <w:rsid w:val="00EF46C7"/>
    <w:rsid w:val="00EF4EDC"/>
    <w:rsid w:val="00EF552E"/>
    <w:rsid w:val="00EF659F"/>
    <w:rsid w:val="00EF6703"/>
    <w:rsid w:val="00EF73D0"/>
    <w:rsid w:val="00EF7530"/>
    <w:rsid w:val="00EF7FF7"/>
    <w:rsid w:val="00F0022B"/>
    <w:rsid w:val="00F0030B"/>
    <w:rsid w:val="00F0037D"/>
    <w:rsid w:val="00F0095C"/>
    <w:rsid w:val="00F00BE1"/>
    <w:rsid w:val="00F00BFF"/>
    <w:rsid w:val="00F00C04"/>
    <w:rsid w:val="00F00DED"/>
    <w:rsid w:val="00F010AB"/>
    <w:rsid w:val="00F034D6"/>
    <w:rsid w:val="00F0372E"/>
    <w:rsid w:val="00F03A4A"/>
    <w:rsid w:val="00F04BCA"/>
    <w:rsid w:val="00F04DE2"/>
    <w:rsid w:val="00F05337"/>
    <w:rsid w:val="00F0556F"/>
    <w:rsid w:val="00F05885"/>
    <w:rsid w:val="00F0633C"/>
    <w:rsid w:val="00F06FF8"/>
    <w:rsid w:val="00F072D5"/>
    <w:rsid w:val="00F07489"/>
    <w:rsid w:val="00F077A0"/>
    <w:rsid w:val="00F078C8"/>
    <w:rsid w:val="00F079C6"/>
    <w:rsid w:val="00F07B5F"/>
    <w:rsid w:val="00F10418"/>
    <w:rsid w:val="00F11898"/>
    <w:rsid w:val="00F118BE"/>
    <w:rsid w:val="00F123A5"/>
    <w:rsid w:val="00F12D9E"/>
    <w:rsid w:val="00F12DDF"/>
    <w:rsid w:val="00F1346A"/>
    <w:rsid w:val="00F1380C"/>
    <w:rsid w:val="00F13A31"/>
    <w:rsid w:val="00F13F03"/>
    <w:rsid w:val="00F13F3C"/>
    <w:rsid w:val="00F142E3"/>
    <w:rsid w:val="00F15316"/>
    <w:rsid w:val="00F161E7"/>
    <w:rsid w:val="00F162A0"/>
    <w:rsid w:val="00F163A9"/>
    <w:rsid w:val="00F16E23"/>
    <w:rsid w:val="00F16EC0"/>
    <w:rsid w:val="00F178F4"/>
    <w:rsid w:val="00F179E4"/>
    <w:rsid w:val="00F17B88"/>
    <w:rsid w:val="00F17C7B"/>
    <w:rsid w:val="00F2001B"/>
    <w:rsid w:val="00F202C4"/>
    <w:rsid w:val="00F20436"/>
    <w:rsid w:val="00F20665"/>
    <w:rsid w:val="00F206D5"/>
    <w:rsid w:val="00F20764"/>
    <w:rsid w:val="00F208E6"/>
    <w:rsid w:val="00F21209"/>
    <w:rsid w:val="00F21C56"/>
    <w:rsid w:val="00F21CED"/>
    <w:rsid w:val="00F21EFA"/>
    <w:rsid w:val="00F2256B"/>
    <w:rsid w:val="00F226D5"/>
    <w:rsid w:val="00F22C5C"/>
    <w:rsid w:val="00F22CF0"/>
    <w:rsid w:val="00F22EAF"/>
    <w:rsid w:val="00F232CF"/>
    <w:rsid w:val="00F23808"/>
    <w:rsid w:val="00F23CDD"/>
    <w:rsid w:val="00F23F24"/>
    <w:rsid w:val="00F2420A"/>
    <w:rsid w:val="00F24351"/>
    <w:rsid w:val="00F24633"/>
    <w:rsid w:val="00F24921"/>
    <w:rsid w:val="00F25868"/>
    <w:rsid w:val="00F25A78"/>
    <w:rsid w:val="00F25C8F"/>
    <w:rsid w:val="00F26AB8"/>
    <w:rsid w:val="00F26EE7"/>
    <w:rsid w:val="00F2764F"/>
    <w:rsid w:val="00F27C55"/>
    <w:rsid w:val="00F27EFB"/>
    <w:rsid w:val="00F27FB3"/>
    <w:rsid w:val="00F304C6"/>
    <w:rsid w:val="00F32059"/>
    <w:rsid w:val="00F32078"/>
    <w:rsid w:val="00F322A1"/>
    <w:rsid w:val="00F3245F"/>
    <w:rsid w:val="00F32A06"/>
    <w:rsid w:val="00F3380C"/>
    <w:rsid w:val="00F33890"/>
    <w:rsid w:val="00F33C8E"/>
    <w:rsid w:val="00F33D2F"/>
    <w:rsid w:val="00F33D66"/>
    <w:rsid w:val="00F33D99"/>
    <w:rsid w:val="00F340FD"/>
    <w:rsid w:val="00F343D7"/>
    <w:rsid w:val="00F34663"/>
    <w:rsid w:val="00F349F3"/>
    <w:rsid w:val="00F34E12"/>
    <w:rsid w:val="00F3502F"/>
    <w:rsid w:val="00F35099"/>
    <w:rsid w:val="00F350AA"/>
    <w:rsid w:val="00F350D1"/>
    <w:rsid w:val="00F354A9"/>
    <w:rsid w:val="00F3578F"/>
    <w:rsid w:val="00F35FB0"/>
    <w:rsid w:val="00F35FC9"/>
    <w:rsid w:val="00F3654D"/>
    <w:rsid w:val="00F365DF"/>
    <w:rsid w:val="00F3682B"/>
    <w:rsid w:val="00F36B07"/>
    <w:rsid w:val="00F37036"/>
    <w:rsid w:val="00F37B61"/>
    <w:rsid w:val="00F37BC3"/>
    <w:rsid w:val="00F4028F"/>
    <w:rsid w:val="00F40764"/>
    <w:rsid w:val="00F41DB8"/>
    <w:rsid w:val="00F42D9C"/>
    <w:rsid w:val="00F4337C"/>
    <w:rsid w:val="00F433DA"/>
    <w:rsid w:val="00F436B3"/>
    <w:rsid w:val="00F43863"/>
    <w:rsid w:val="00F43F13"/>
    <w:rsid w:val="00F45306"/>
    <w:rsid w:val="00F453EC"/>
    <w:rsid w:val="00F4585B"/>
    <w:rsid w:val="00F45880"/>
    <w:rsid w:val="00F45B50"/>
    <w:rsid w:val="00F45C35"/>
    <w:rsid w:val="00F468CF"/>
    <w:rsid w:val="00F46BC8"/>
    <w:rsid w:val="00F46ECA"/>
    <w:rsid w:val="00F471C3"/>
    <w:rsid w:val="00F500E8"/>
    <w:rsid w:val="00F5079A"/>
    <w:rsid w:val="00F50BF2"/>
    <w:rsid w:val="00F50EEE"/>
    <w:rsid w:val="00F51151"/>
    <w:rsid w:val="00F511F4"/>
    <w:rsid w:val="00F51BE9"/>
    <w:rsid w:val="00F51FD8"/>
    <w:rsid w:val="00F5214F"/>
    <w:rsid w:val="00F523C4"/>
    <w:rsid w:val="00F5266A"/>
    <w:rsid w:val="00F5272F"/>
    <w:rsid w:val="00F52CE3"/>
    <w:rsid w:val="00F52D7F"/>
    <w:rsid w:val="00F53212"/>
    <w:rsid w:val="00F53630"/>
    <w:rsid w:val="00F5389C"/>
    <w:rsid w:val="00F539A4"/>
    <w:rsid w:val="00F53B44"/>
    <w:rsid w:val="00F53CBD"/>
    <w:rsid w:val="00F53DCD"/>
    <w:rsid w:val="00F546D8"/>
    <w:rsid w:val="00F55078"/>
    <w:rsid w:val="00F55138"/>
    <w:rsid w:val="00F5518E"/>
    <w:rsid w:val="00F551E0"/>
    <w:rsid w:val="00F556F4"/>
    <w:rsid w:val="00F55A84"/>
    <w:rsid w:val="00F55D40"/>
    <w:rsid w:val="00F55ED7"/>
    <w:rsid w:val="00F560AA"/>
    <w:rsid w:val="00F56245"/>
    <w:rsid w:val="00F565A7"/>
    <w:rsid w:val="00F572C1"/>
    <w:rsid w:val="00F60AE3"/>
    <w:rsid w:val="00F60B7B"/>
    <w:rsid w:val="00F61132"/>
    <w:rsid w:val="00F61613"/>
    <w:rsid w:val="00F61B3E"/>
    <w:rsid w:val="00F61F3C"/>
    <w:rsid w:val="00F62621"/>
    <w:rsid w:val="00F627DC"/>
    <w:rsid w:val="00F62C40"/>
    <w:rsid w:val="00F62DAF"/>
    <w:rsid w:val="00F63172"/>
    <w:rsid w:val="00F63520"/>
    <w:rsid w:val="00F637E0"/>
    <w:rsid w:val="00F63A2B"/>
    <w:rsid w:val="00F63A59"/>
    <w:rsid w:val="00F63ED1"/>
    <w:rsid w:val="00F6420B"/>
    <w:rsid w:val="00F64418"/>
    <w:rsid w:val="00F6447B"/>
    <w:rsid w:val="00F646F7"/>
    <w:rsid w:val="00F6471E"/>
    <w:rsid w:val="00F64A66"/>
    <w:rsid w:val="00F64B1E"/>
    <w:rsid w:val="00F64D8D"/>
    <w:rsid w:val="00F657FB"/>
    <w:rsid w:val="00F6585B"/>
    <w:rsid w:val="00F65BBC"/>
    <w:rsid w:val="00F6695A"/>
    <w:rsid w:val="00F66BAD"/>
    <w:rsid w:val="00F6702F"/>
    <w:rsid w:val="00F67264"/>
    <w:rsid w:val="00F67880"/>
    <w:rsid w:val="00F67D06"/>
    <w:rsid w:val="00F705C3"/>
    <w:rsid w:val="00F70C92"/>
    <w:rsid w:val="00F70CF8"/>
    <w:rsid w:val="00F70E06"/>
    <w:rsid w:val="00F715E4"/>
    <w:rsid w:val="00F71966"/>
    <w:rsid w:val="00F71C07"/>
    <w:rsid w:val="00F71D6E"/>
    <w:rsid w:val="00F71EEE"/>
    <w:rsid w:val="00F725BE"/>
    <w:rsid w:val="00F7392C"/>
    <w:rsid w:val="00F7431F"/>
    <w:rsid w:val="00F7508C"/>
    <w:rsid w:val="00F75545"/>
    <w:rsid w:val="00F75595"/>
    <w:rsid w:val="00F7566B"/>
    <w:rsid w:val="00F7591C"/>
    <w:rsid w:val="00F75A7D"/>
    <w:rsid w:val="00F75C9D"/>
    <w:rsid w:val="00F75D2D"/>
    <w:rsid w:val="00F76823"/>
    <w:rsid w:val="00F775FF"/>
    <w:rsid w:val="00F77727"/>
    <w:rsid w:val="00F77883"/>
    <w:rsid w:val="00F80A4E"/>
    <w:rsid w:val="00F80E11"/>
    <w:rsid w:val="00F80F89"/>
    <w:rsid w:val="00F8167E"/>
    <w:rsid w:val="00F81C07"/>
    <w:rsid w:val="00F822AF"/>
    <w:rsid w:val="00F829B4"/>
    <w:rsid w:val="00F82BBD"/>
    <w:rsid w:val="00F82D1C"/>
    <w:rsid w:val="00F82D72"/>
    <w:rsid w:val="00F82EB9"/>
    <w:rsid w:val="00F8304F"/>
    <w:rsid w:val="00F83153"/>
    <w:rsid w:val="00F83385"/>
    <w:rsid w:val="00F83B86"/>
    <w:rsid w:val="00F8442D"/>
    <w:rsid w:val="00F84482"/>
    <w:rsid w:val="00F84E18"/>
    <w:rsid w:val="00F850C3"/>
    <w:rsid w:val="00F85171"/>
    <w:rsid w:val="00F8593C"/>
    <w:rsid w:val="00F85F55"/>
    <w:rsid w:val="00F862A5"/>
    <w:rsid w:val="00F86689"/>
    <w:rsid w:val="00F869AC"/>
    <w:rsid w:val="00F86B95"/>
    <w:rsid w:val="00F86FE0"/>
    <w:rsid w:val="00F87764"/>
    <w:rsid w:val="00F87F37"/>
    <w:rsid w:val="00F90983"/>
    <w:rsid w:val="00F910D6"/>
    <w:rsid w:val="00F91852"/>
    <w:rsid w:val="00F919E5"/>
    <w:rsid w:val="00F91EEF"/>
    <w:rsid w:val="00F91FBC"/>
    <w:rsid w:val="00F92088"/>
    <w:rsid w:val="00F923FD"/>
    <w:rsid w:val="00F92E97"/>
    <w:rsid w:val="00F92EBE"/>
    <w:rsid w:val="00F92F66"/>
    <w:rsid w:val="00F932EC"/>
    <w:rsid w:val="00F934E2"/>
    <w:rsid w:val="00F93796"/>
    <w:rsid w:val="00F9415D"/>
    <w:rsid w:val="00F945F2"/>
    <w:rsid w:val="00F9471C"/>
    <w:rsid w:val="00F948A8"/>
    <w:rsid w:val="00F948D8"/>
    <w:rsid w:val="00F94A04"/>
    <w:rsid w:val="00F95549"/>
    <w:rsid w:val="00F95C28"/>
    <w:rsid w:val="00F96637"/>
    <w:rsid w:val="00F9698B"/>
    <w:rsid w:val="00F97216"/>
    <w:rsid w:val="00F974EB"/>
    <w:rsid w:val="00F97676"/>
    <w:rsid w:val="00F976A1"/>
    <w:rsid w:val="00F97D10"/>
    <w:rsid w:val="00FA03FB"/>
    <w:rsid w:val="00FA04B6"/>
    <w:rsid w:val="00FA0664"/>
    <w:rsid w:val="00FA0CF0"/>
    <w:rsid w:val="00FA0D4E"/>
    <w:rsid w:val="00FA1B63"/>
    <w:rsid w:val="00FA2108"/>
    <w:rsid w:val="00FA2517"/>
    <w:rsid w:val="00FA29F6"/>
    <w:rsid w:val="00FA31FA"/>
    <w:rsid w:val="00FA32BC"/>
    <w:rsid w:val="00FA4055"/>
    <w:rsid w:val="00FA45CD"/>
    <w:rsid w:val="00FA4EB5"/>
    <w:rsid w:val="00FA53D6"/>
    <w:rsid w:val="00FA55C0"/>
    <w:rsid w:val="00FA5947"/>
    <w:rsid w:val="00FA5E7E"/>
    <w:rsid w:val="00FA69A7"/>
    <w:rsid w:val="00FA6E54"/>
    <w:rsid w:val="00FA6F2E"/>
    <w:rsid w:val="00FA713A"/>
    <w:rsid w:val="00FA73AD"/>
    <w:rsid w:val="00FA73E0"/>
    <w:rsid w:val="00FA7839"/>
    <w:rsid w:val="00FB0851"/>
    <w:rsid w:val="00FB08B2"/>
    <w:rsid w:val="00FB0D97"/>
    <w:rsid w:val="00FB0F94"/>
    <w:rsid w:val="00FB118C"/>
    <w:rsid w:val="00FB177A"/>
    <w:rsid w:val="00FB178C"/>
    <w:rsid w:val="00FB179D"/>
    <w:rsid w:val="00FB1C3A"/>
    <w:rsid w:val="00FB1D74"/>
    <w:rsid w:val="00FB1E0B"/>
    <w:rsid w:val="00FB2BB3"/>
    <w:rsid w:val="00FB2F31"/>
    <w:rsid w:val="00FB3091"/>
    <w:rsid w:val="00FB3495"/>
    <w:rsid w:val="00FB354D"/>
    <w:rsid w:val="00FB36B1"/>
    <w:rsid w:val="00FB370C"/>
    <w:rsid w:val="00FB3AAE"/>
    <w:rsid w:val="00FB3F9A"/>
    <w:rsid w:val="00FB4238"/>
    <w:rsid w:val="00FB475C"/>
    <w:rsid w:val="00FB4914"/>
    <w:rsid w:val="00FB4CD7"/>
    <w:rsid w:val="00FB51AC"/>
    <w:rsid w:val="00FB51B1"/>
    <w:rsid w:val="00FB533E"/>
    <w:rsid w:val="00FB570F"/>
    <w:rsid w:val="00FB62F7"/>
    <w:rsid w:val="00FB6566"/>
    <w:rsid w:val="00FB6AB6"/>
    <w:rsid w:val="00FB6F13"/>
    <w:rsid w:val="00FB78C0"/>
    <w:rsid w:val="00FB7A89"/>
    <w:rsid w:val="00FB7FF1"/>
    <w:rsid w:val="00FC007A"/>
    <w:rsid w:val="00FC046E"/>
    <w:rsid w:val="00FC18EF"/>
    <w:rsid w:val="00FC21DB"/>
    <w:rsid w:val="00FC2626"/>
    <w:rsid w:val="00FC28CF"/>
    <w:rsid w:val="00FC39F1"/>
    <w:rsid w:val="00FC3EC3"/>
    <w:rsid w:val="00FC4F5D"/>
    <w:rsid w:val="00FC521B"/>
    <w:rsid w:val="00FC57AB"/>
    <w:rsid w:val="00FC5CCE"/>
    <w:rsid w:val="00FC63D6"/>
    <w:rsid w:val="00FC701F"/>
    <w:rsid w:val="00FC716F"/>
    <w:rsid w:val="00FC7C28"/>
    <w:rsid w:val="00FC7DDA"/>
    <w:rsid w:val="00FD0102"/>
    <w:rsid w:val="00FD030C"/>
    <w:rsid w:val="00FD076C"/>
    <w:rsid w:val="00FD0989"/>
    <w:rsid w:val="00FD142A"/>
    <w:rsid w:val="00FD16D6"/>
    <w:rsid w:val="00FD1D5D"/>
    <w:rsid w:val="00FD1F1C"/>
    <w:rsid w:val="00FD20A9"/>
    <w:rsid w:val="00FD2294"/>
    <w:rsid w:val="00FD2EFF"/>
    <w:rsid w:val="00FD31B5"/>
    <w:rsid w:val="00FD3DBB"/>
    <w:rsid w:val="00FD3DE8"/>
    <w:rsid w:val="00FD40CE"/>
    <w:rsid w:val="00FD4119"/>
    <w:rsid w:val="00FD4576"/>
    <w:rsid w:val="00FD4663"/>
    <w:rsid w:val="00FD46EA"/>
    <w:rsid w:val="00FD4A83"/>
    <w:rsid w:val="00FD4B76"/>
    <w:rsid w:val="00FD4BBD"/>
    <w:rsid w:val="00FD5096"/>
    <w:rsid w:val="00FD563A"/>
    <w:rsid w:val="00FD5BB9"/>
    <w:rsid w:val="00FD5DE7"/>
    <w:rsid w:val="00FD6187"/>
    <w:rsid w:val="00FD63D4"/>
    <w:rsid w:val="00FD68B1"/>
    <w:rsid w:val="00FD691B"/>
    <w:rsid w:val="00FD698C"/>
    <w:rsid w:val="00FD6A21"/>
    <w:rsid w:val="00FD6B01"/>
    <w:rsid w:val="00FD7013"/>
    <w:rsid w:val="00FD7D98"/>
    <w:rsid w:val="00FE0A55"/>
    <w:rsid w:val="00FE0C43"/>
    <w:rsid w:val="00FE1165"/>
    <w:rsid w:val="00FE18BD"/>
    <w:rsid w:val="00FE18FF"/>
    <w:rsid w:val="00FE19E2"/>
    <w:rsid w:val="00FE1D2A"/>
    <w:rsid w:val="00FE263A"/>
    <w:rsid w:val="00FE2E2C"/>
    <w:rsid w:val="00FE32F2"/>
    <w:rsid w:val="00FE337A"/>
    <w:rsid w:val="00FE35C9"/>
    <w:rsid w:val="00FE3ACD"/>
    <w:rsid w:val="00FE3DA1"/>
    <w:rsid w:val="00FE3EC6"/>
    <w:rsid w:val="00FE51D9"/>
    <w:rsid w:val="00FE52B1"/>
    <w:rsid w:val="00FE56D3"/>
    <w:rsid w:val="00FE5944"/>
    <w:rsid w:val="00FE5D20"/>
    <w:rsid w:val="00FE60EB"/>
    <w:rsid w:val="00FE63CA"/>
    <w:rsid w:val="00FE6DE3"/>
    <w:rsid w:val="00FE77AD"/>
    <w:rsid w:val="00FF005D"/>
    <w:rsid w:val="00FF02C6"/>
    <w:rsid w:val="00FF0517"/>
    <w:rsid w:val="00FF0562"/>
    <w:rsid w:val="00FF11E3"/>
    <w:rsid w:val="00FF14A4"/>
    <w:rsid w:val="00FF1656"/>
    <w:rsid w:val="00FF1F1A"/>
    <w:rsid w:val="00FF305B"/>
    <w:rsid w:val="00FF37B2"/>
    <w:rsid w:val="00FF38C9"/>
    <w:rsid w:val="00FF3AB8"/>
    <w:rsid w:val="00FF3C3B"/>
    <w:rsid w:val="00FF3E04"/>
    <w:rsid w:val="00FF3F49"/>
    <w:rsid w:val="00FF40C1"/>
    <w:rsid w:val="00FF470E"/>
    <w:rsid w:val="00FF47A5"/>
    <w:rsid w:val="00FF4B9E"/>
    <w:rsid w:val="00FF4C6D"/>
    <w:rsid w:val="00FF59C3"/>
    <w:rsid w:val="00FF5EDA"/>
    <w:rsid w:val="00FF6AE1"/>
    <w:rsid w:val="00FF7489"/>
    <w:rsid w:val="00FF77EE"/>
    <w:rsid w:val="00FF7AF8"/>
    <w:rsid w:val="00F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D2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E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699"/>
    <w:rPr>
      <w:color w:val="0563C1" w:themeColor="hyperlink"/>
      <w:u w:val="single"/>
    </w:rPr>
  </w:style>
  <w:style w:type="paragraph" w:styleId="CommentText">
    <w:name w:val="annotation text"/>
    <w:basedOn w:val="Normal"/>
    <w:link w:val="CommentTextChar"/>
    <w:uiPriority w:val="99"/>
    <w:unhideWhenUsed/>
    <w:rsid w:val="00995BB9"/>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995BB9"/>
    <w:rPr>
      <w:sz w:val="20"/>
      <w:szCs w:val="20"/>
    </w:rPr>
  </w:style>
  <w:style w:type="character" w:styleId="CommentReference">
    <w:name w:val="annotation reference"/>
    <w:basedOn w:val="DefaultParagraphFont"/>
    <w:uiPriority w:val="99"/>
    <w:semiHidden/>
    <w:unhideWhenUsed/>
    <w:rsid w:val="00995BB9"/>
    <w:rPr>
      <w:sz w:val="16"/>
      <w:szCs w:val="16"/>
    </w:rPr>
  </w:style>
  <w:style w:type="paragraph" w:styleId="BalloonText">
    <w:name w:val="Balloon Text"/>
    <w:basedOn w:val="Normal"/>
    <w:link w:val="BalloonTextChar"/>
    <w:uiPriority w:val="99"/>
    <w:semiHidden/>
    <w:unhideWhenUsed/>
    <w:rsid w:val="00995BB9"/>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995BB9"/>
    <w:rPr>
      <w:rFonts w:ascii="Segoe UI" w:hAnsi="Segoe UI" w:cs="Segoe UI"/>
      <w:sz w:val="18"/>
      <w:szCs w:val="18"/>
    </w:rPr>
  </w:style>
  <w:style w:type="paragraph" w:styleId="Header">
    <w:name w:val="header"/>
    <w:basedOn w:val="Normal"/>
    <w:link w:val="HeaderChar"/>
    <w:uiPriority w:val="99"/>
    <w:unhideWhenUsed/>
    <w:rsid w:val="00593545"/>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593545"/>
  </w:style>
  <w:style w:type="paragraph" w:styleId="Footer">
    <w:name w:val="footer"/>
    <w:basedOn w:val="Normal"/>
    <w:link w:val="FooterChar"/>
    <w:uiPriority w:val="99"/>
    <w:unhideWhenUsed/>
    <w:rsid w:val="00593545"/>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593545"/>
  </w:style>
  <w:style w:type="paragraph" w:styleId="CommentSubject">
    <w:name w:val="annotation subject"/>
    <w:basedOn w:val="CommentText"/>
    <w:next w:val="CommentText"/>
    <w:link w:val="CommentSubjectChar"/>
    <w:uiPriority w:val="99"/>
    <w:semiHidden/>
    <w:unhideWhenUsed/>
    <w:rsid w:val="00492254"/>
    <w:rPr>
      <w:b/>
      <w:bCs/>
    </w:rPr>
  </w:style>
  <w:style w:type="character" w:customStyle="1" w:styleId="CommentSubjectChar">
    <w:name w:val="Comment Subject Char"/>
    <w:basedOn w:val="CommentTextChar"/>
    <w:link w:val="CommentSubject"/>
    <w:uiPriority w:val="99"/>
    <w:semiHidden/>
    <w:rsid w:val="00492254"/>
    <w:rPr>
      <w:b/>
      <w:bCs/>
      <w:sz w:val="20"/>
      <w:szCs w:val="20"/>
    </w:rPr>
  </w:style>
  <w:style w:type="table" w:styleId="TableGrid">
    <w:name w:val="Table Grid"/>
    <w:basedOn w:val="TableNormal"/>
    <w:uiPriority w:val="39"/>
    <w:rsid w:val="00A4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40F25"/>
    <w:rPr>
      <w:i/>
      <w:iCs/>
    </w:rPr>
  </w:style>
  <w:style w:type="character" w:customStyle="1" w:styleId="apple-converted-space">
    <w:name w:val="apple-converted-space"/>
    <w:basedOn w:val="DefaultParagraphFont"/>
    <w:rsid w:val="00A40F25"/>
  </w:style>
  <w:style w:type="character" w:styleId="Strong">
    <w:name w:val="Strong"/>
    <w:basedOn w:val="DefaultParagraphFont"/>
    <w:uiPriority w:val="22"/>
    <w:qFormat/>
    <w:rsid w:val="00A40F25"/>
    <w:rPr>
      <w:b/>
      <w:bCs/>
    </w:rPr>
  </w:style>
  <w:style w:type="character" w:styleId="PlaceholderText">
    <w:name w:val="Placeholder Text"/>
    <w:basedOn w:val="DefaultParagraphFont"/>
    <w:uiPriority w:val="99"/>
    <w:semiHidden/>
    <w:rsid w:val="00C14873"/>
    <w:rPr>
      <w:color w:val="808080"/>
    </w:rPr>
  </w:style>
  <w:style w:type="paragraph" w:styleId="ListParagraph">
    <w:name w:val="List Paragraph"/>
    <w:basedOn w:val="Normal"/>
    <w:uiPriority w:val="34"/>
    <w:qFormat/>
    <w:rsid w:val="00687A0E"/>
    <w:pPr>
      <w:spacing w:after="160" w:line="259"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unhideWhenUsed/>
    <w:rsid w:val="00E32566"/>
    <w:pPr>
      <w:spacing w:before="100" w:beforeAutospacing="1" w:after="100" w:afterAutospacing="1"/>
    </w:pPr>
  </w:style>
  <w:style w:type="paragraph" w:styleId="Revision">
    <w:name w:val="Revision"/>
    <w:hidden/>
    <w:uiPriority w:val="99"/>
    <w:semiHidden/>
    <w:rsid w:val="009A087D"/>
    <w:pPr>
      <w:spacing w:after="0" w:line="240" w:lineRule="auto"/>
    </w:pPr>
  </w:style>
  <w:style w:type="character" w:styleId="FollowedHyperlink">
    <w:name w:val="FollowedHyperlink"/>
    <w:basedOn w:val="DefaultParagraphFont"/>
    <w:uiPriority w:val="99"/>
    <w:semiHidden/>
    <w:unhideWhenUsed/>
    <w:rsid w:val="00CE71E8"/>
    <w:rPr>
      <w:color w:val="954F72" w:themeColor="followedHyperlink"/>
      <w:u w:val="single"/>
    </w:rPr>
  </w:style>
  <w:style w:type="character" w:styleId="UnresolvedMention">
    <w:name w:val="Unresolved Mention"/>
    <w:basedOn w:val="DefaultParagraphFont"/>
    <w:uiPriority w:val="99"/>
    <w:semiHidden/>
    <w:unhideWhenUsed/>
    <w:rsid w:val="002021AF"/>
    <w:rPr>
      <w:color w:val="605E5C"/>
      <w:shd w:val="clear" w:color="auto" w:fill="E1DFDD"/>
    </w:rPr>
  </w:style>
  <w:style w:type="paragraph" w:styleId="PlainText">
    <w:name w:val="Plain Text"/>
    <w:basedOn w:val="Normal"/>
    <w:link w:val="PlainTextChar"/>
    <w:uiPriority w:val="99"/>
    <w:unhideWhenUsed/>
    <w:rsid w:val="00B4576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5768"/>
    <w:rPr>
      <w:rFonts w:ascii="Calibri" w:eastAsiaTheme="minorHAnsi" w:hAnsi="Calibri"/>
      <w:szCs w:val="21"/>
      <w:lang w:eastAsia="en-US"/>
    </w:rPr>
  </w:style>
  <w:style w:type="paragraph" w:styleId="FootnoteText">
    <w:name w:val="footnote text"/>
    <w:basedOn w:val="Normal"/>
    <w:link w:val="FootnoteTextChar"/>
    <w:uiPriority w:val="99"/>
    <w:semiHidden/>
    <w:unhideWhenUsed/>
    <w:rsid w:val="0056226E"/>
    <w:rPr>
      <w:sz w:val="20"/>
      <w:szCs w:val="20"/>
    </w:rPr>
  </w:style>
  <w:style w:type="character" w:customStyle="1" w:styleId="FootnoteTextChar">
    <w:name w:val="Footnote Text Char"/>
    <w:basedOn w:val="DefaultParagraphFont"/>
    <w:link w:val="FootnoteText"/>
    <w:uiPriority w:val="99"/>
    <w:semiHidden/>
    <w:rsid w:val="0056226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562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040">
      <w:bodyDiv w:val="1"/>
      <w:marLeft w:val="0"/>
      <w:marRight w:val="0"/>
      <w:marTop w:val="0"/>
      <w:marBottom w:val="0"/>
      <w:divBdr>
        <w:top w:val="none" w:sz="0" w:space="0" w:color="auto"/>
        <w:left w:val="none" w:sz="0" w:space="0" w:color="auto"/>
        <w:bottom w:val="none" w:sz="0" w:space="0" w:color="auto"/>
        <w:right w:val="none" w:sz="0" w:space="0" w:color="auto"/>
      </w:divBdr>
    </w:div>
    <w:div w:id="126823047">
      <w:bodyDiv w:val="1"/>
      <w:marLeft w:val="0"/>
      <w:marRight w:val="0"/>
      <w:marTop w:val="0"/>
      <w:marBottom w:val="0"/>
      <w:divBdr>
        <w:top w:val="none" w:sz="0" w:space="0" w:color="auto"/>
        <w:left w:val="none" w:sz="0" w:space="0" w:color="auto"/>
        <w:bottom w:val="none" w:sz="0" w:space="0" w:color="auto"/>
        <w:right w:val="none" w:sz="0" w:space="0" w:color="auto"/>
      </w:divBdr>
      <w:divsChild>
        <w:div w:id="1220942303">
          <w:marLeft w:val="0"/>
          <w:marRight w:val="0"/>
          <w:marTop w:val="0"/>
          <w:marBottom w:val="0"/>
          <w:divBdr>
            <w:top w:val="none" w:sz="0" w:space="0" w:color="auto"/>
            <w:left w:val="none" w:sz="0" w:space="0" w:color="auto"/>
            <w:bottom w:val="none" w:sz="0" w:space="0" w:color="auto"/>
            <w:right w:val="none" w:sz="0" w:space="0" w:color="auto"/>
          </w:divBdr>
        </w:div>
        <w:div w:id="547256604">
          <w:marLeft w:val="0"/>
          <w:marRight w:val="0"/>
          <w:marTop w:val="0"/>
          <w:marBottom w:val="0"/>
          <w:divBdr>
            <w:top w:val="none" w:sz="0" w:space="0" w:color="auto"/>
            <w:left w:val="none" w:sz="0" w:space="0" w:color="auto"/>
            <w:bottom w:val="none" w:sz="0" w:space="0" w:color="auto"/>
            <w:right w:val="none" w:sz="0" w:space="0" w:color="auto"/>
          </w:divBdr>
        </w:div>
        <w:div w:id="1511873530">
          <w:marLeft w:val="0"/>
          <w:marRight w:val="0"/>
          <w:marTop w:val="0"/>
          <w:marBottom w:val="0"/>
          <w:divBdr>
            <w:top w:val="none" w:sz="0" w:space="0" w:color="auto"/>
            <w:left w:val="none" w:sz="0" w:space="0" w:color="auto"/>
            <w:bottom w:val="none" w:sz="0" w:space="0" w:color="auto"/>
            <w:right w:val="none" w:sz="0" w:space="0" w:color="auto"/>
          </w:divBdr>
        </w:div>
        <w:div w:id="457114984">
          <w:marLeft w:val="0"/>
          <w:marRight w:val="0"/>
          <w:marTop w:val="0"/>
          <w:marBottom w:val="0"/>
          <w:divBdr>
            <w:top w:val="none" w:sz="0" w:space="0" w:color="auto"/>
            <w:left w:val="none" w:sz="0" w:space="0" w:color="auto"/>
            <w:bottom w:val="none" w:sz="0" w:space="0" w:color="auto"/>
            <w:right w:val="none" w:sz="0" w:space="0" w:color="auto"/>
          </w:divBdr>
        </w:div>
        <w:div w:id="2023973786">
          <w:marLeft w:val="0"/>
          <w:marRight w:val="0"/>
          <w:marTop w:val="0"/>
          <w:marBottom w:val="0"/>
          <w:divBdr>
            <w:top w:val="none" w:sz="0" w:space="0" w:color="auto"/>
            <w:left w:val="none" w:sz="0" w:space="0" w:color="auto"/>
            <w:bottom w:val="none" w:sz="0" w:space="0" w:color="auto"/>
            <w:right w:val="none" w:sz="0" w:space="0" w:color="auto"/>
          </w:divBdr>
        </w:div>
        <w:div w:id="606155733">
          <w:marLeft w:val="0"/>
          <w:marRight w:val="0"/>
          <w:marTop w:val="0"/>
          <w:marBottom w:val="0"/>
          <w:divBdr>
            <w:top w:val="none" w:sz="0" w:space="0" w:color="auto"/>
            <w:left w:val="none" w:sz="0" w:space="0" w:color="auto"/>
            <w:bottom w:val="none" w:sz="0" w:space="0" w:color="auto"/>
            <w:right w:val="none" w:sz="0" w:space="0" w:color="auto"/>
          </w:divBdr>
        </w:div>
        <w:div w:id="92171704">
          <w:marLeft w:val="0"/>
          <w:marRight w:val="0"/>
          <w:marTop w:val="0"/>
          <w:marBottom w:val="0"/>
          <w:divBdr>
            <w:top w:val="none" w:sz="0" w:space="0" w:color="auto"/>
            <w:left w:val="none" w:sz="0" w:space="0" w:color="auto"/>
            <w:bottom w:val="none" w:sz="0" w:space="0" w:color="auto"/>
            <w:right w:val="none" w:sz="0" w:space="0" w:color="auto"/>
          </w:divBdr>
        </w:div>
        <w:div w:id="1286156265">
          <w:marLeft w:val="0"/>
          <w:marRight w:val="0"/>
          <w:marTop w:val="0"/>
          <w:marBottom w:val="0"/>
          <w:divBdr>
            <w:top w:val="none" w:sz="0" w:space="0" w:color="auto"/>
            <w:left w:val="none" w:sz="0" w:space="0" w:color="auto"/>
            <w:bottom w:val="none" w:sz="0" w:space="0" w:color="auto"/>
            <w:right w:val="none" w:sz="0" w:space="0" w:color="auto"/>
          </w:divBdr>
        </w:div>
        <w:div w:id="323244755">
          <w:marLeft w:val="0"/>
          <w:marRight w:val="0"/>
          <w:marTop w:val="0"/>
          <w:marBottom w:val="0"/>
          <w:divBdr>
            <w:top w:val="none" w:sz="0" w:space="0" w:color="auto"/>
            <w:left w:val="none" w:sz="0" w:space="0" w:color="auto"/>
            <w:bottom w:val="none" w:sz="0" w:space="0" w:color="auto"/>
            <w:right w:val="none" w:sz="0" w:space="0" w:color="auto"/>
          </w:divBdr>
        </w:div>
        <w:div w:id="16153318">
          <w:marLeft w:val="0"/>
          <w:marRight w:val="0"/>
          <w:marTop w:val="0"/>
          <w:marBottom w:val="0"/>
          <w:divBdr>
            <w:top w:val="none" w:sz="0" w:space="0" w:color="auto"/>
            <w:left w:val="none" w:sz="0" w:space="0" w:color="auto"/>
            <w:bottom w:val="none" w:sz="0" w:space="0" w:color="auto"/>
            <w:right w:val="none" w:sz="0" w:space="0" w:color="auto"/>
          </w:divBdr>
        </w:div>
        <w:div w:id="2025665470">
          <w:marLeft w:val="0"/>
          <w:marRight w:val="0"/>
          <w:marTop w:val="0"/>
          <w:marBottom w:val="0"/>
          <w:divBdr>
            <w:top w:val="none" w:sz="0" w:space="0" w:color="auto"/>
            <w:left w:val="none" w:sz="0" w:space="0" w:color="auto"/>
            <w:bottom w:val="none" w:sz="0" w:space="0" w:color="auto"/>
            <w:right w:val="none" w:sz="0" w:space="0" w:color="auto"/>
          </w:divBdr>
        </w:div>
        <w:div w:id="410543544">
          <w:marLeft w:val="0"/>
          <w:marRight w:val="0"/>
          <w:marTop w:val="0"/>
          <w:marBottom w:val="0"/>
          <w:divBdr>
            <w:top w:val="none" w:sz="0" w:space="0" w:color="auto"/>
            <w:left w:val="none" w:sz="0" w:space="0" w:color="auto"/>
            <w:bottom w:val="none" w:sz="0" w:space="0" w:color="auto"/>
            <w:right w:val="none" w:sz="0" w:space="0" w:color="auto"/>
          </w:divBdr>
        </w:div>
        <w:div w:id="1793791812">
          <w:marLeft w:val="0"/>
          <w:marRight w:val="0"/>
          <w:marTop w:val="0"/>
          <w:marBottom w:val="0"/>
          <w:divBdr>
            <w:top w:val="none" w:sz="0" w:space="0" w:color="auto"/>
            <w:left w:val="none" w:sz="0" w:space="0" w:color="auto"/>
            <w:bottom w:val="none" w:sz="0" w:space="0" w:color="auto"/>
            <w:right w:val="none" w:sz="0" w:space="0" w:color="auto"/>
          </w:divBdr>
        </w:div>
        <w:div w:id="162357899">
          <w:marLeft w:val="0"/>
          <w:marRight w:val="0"/>
          <w:marTop w:val="0"/>
          <w:marBottom w:val="0"/>
          <w:divBdr>
            <w:top w:val="none" w:sz="0" w:space="0" w:color="auto"/>
            <w:left w:val="none" w:sz="0" w:space="0" w:color="auto"/>
            <w:bottom w:val="none" w:sz="0" w:space="0" w:color="auto"/>
            <w:right w:val="none" w:sz="0" w:space="0" w:color="auto"/>
          </w:divBdr>
        </w:div>
      </w:divsChild>
    </w:div>
    <w:div w:id="177500383">
      <w:bodyDiv w:val="1"/>
      <w:marLeft w:val="0"/>
      <w:marRight w:val="0"/>
      <w:marTop w:val="0"/>
      <w:marBottom w:val="0"/>
      <w:divBdr>
        <w:top w:val="none" w:sz="0" w:space="0" w:color="auto"/>
        <w:left w:val="none" w:sz="0" w:space="0" w:color="auto"/>
        <w:bottom w:val="none" w:sz="0" w:space="0" w:color="auto"/>
        <w:right w:val="none" w:sz="0" w:space="0" w:color="auto"/>
      </w:divBdr>
      <w:divsChild>
        <w:div w:id="1497111094">
          <w:marLeft w:val="0"/>
          <w:marRight w:val="0"/>
          <w:marTop w:val="0"/>
          <w:marBottom w:val="0"/>
          <w:divBdr>
            <w:top w:val="none" w:sz="0" w:space="0" w:color="auto"/>
            <w:left w:val="none" w:sz="0" w:space="0" w:color="auto"/>
            <w:bottom w:val="none" w:sz="0" w:space="0" w:color="auto"/>
            <w:right w:val="none" w:sz="0" w:space="0" w:color="auto"/>
          </w:divBdr>
          <w:divsChild>
            <w:div w:id="787433092">
              <w:marLeft w:val="0"/>
              <w:marRight w:val="0"/>
              <w:marTop w:val="0"/>
              <w:marBottom w:val="0"/>
              <w:divBdr>
                <w:top w:val="none" w:sz="0" w:space="0" w:color="auto"/>
                <w:left w:val="none" w:sz="0" w:space="0" w:color="auto"/>
                <w:bottom w:val="none" w:sz="0" w:space="0" w:color="auto"/>
                <w:right w:val="none" w:sz="0" w:space="0" w:color="auto"/>
              </w:divBdr>
              <w:divsChild>
                <w:div w:id="12654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40985">
      <w:bodyDiv w:val="1"/>
      <w:marLeft w:val="0"/>
      <w:marRight w:val="0"/>
      <w:marTop w:val="0"/>
      <w:marBottom w:val="0"/>
      <w:divBdr>
        <w:top w:val="none" w:sz="0" w:space="0" w:color="auto"/>
        <w:left w:val="none" w:sz="0" w:space="0" w:color="auto"/>
        <w:bottom w:val="none" w:sz="0" w:space="0" w:color="auto"/>
        <w:right w:val="none" w:sz="0" w:space="0" w:color="auto"/>
      </w:divBdr>
    </w:div>
    <w:div w:id="330957364">
      <w:bodyDiv w:val="1"/>
      <w:marLeft w:val="0"/>
      <w:marRight w:val="0"/>
      <w:marTop w:val="0"/>
      <w:marBottom w:val="0"/>
      <w:divBdr>
        <w:top w:val="none" w:sz="0" w:space="0" w:color="auto"/>
        <w:left w:val="none" w:sz="0" w:space="0" w:color="auto"/>
        <w:bottom w:val="none" w:sz="0" w:space="0" w:color="auto"/>
        <w:right w:val="none" w:sz="0" w:space="0" w:color="auto"/>
      </w:divBdr>
      <w:divsChild>
        <w:div w:id="366368624">
          <w:marLeft w:val="0"/>
          <w:marRight w:val="0"/>
          <w:marTop w:val="0"/>
          <w:marBottom w:val="0"/>
          <w:divBdr>
            <w:top w:val="none" w:sz="0" w:space="0" w:color="auto"/>
            <w:left w:val="none" w:sz="0" w:space="0" w:color="auto"/>
            <w:bottom w:val="none" w:sz="0" w:space="0" w:color="auto"/>
            <w:right w:val="none" w:sz="0" w:space="0" w:color="auto"/>
          </w:divBdr>
        </w:div>
        <w:div w:id="132186871">
          <w:marLeft w:val="0"/>
          <w:marRight w:val="0"/>
          <w:marTop w:val="0"/>
          <w:marBottom w:val="0"/>
          <w:divBdr>
            <w:top w:val="none" w:sz="0" w:space="0" w:color="auto"/>
            <w:left w:val="none" w:sz="0" w:space="0" w:color="auto"/>
            <w:bottom w:val="none" w:sz="0" w:space="0" w:color="auto"/>
            <w:right w:val="none" w:sz="0" w:space="0" w:color="auto"/>
          </w:divBdr>
        </w:div>
        <w:div w:id="1480613292">
          <w:marLeft w:val="0"/>
          <w:marRight w:val="0"/>
          <w:marTop w:val="0"/>
          <w:marBottom w:val="0"/>
          <w:divBdr>
            <w:top w:val="none" w:sz="0" w:space="0" w:color="auto"/>
            <w:left w:val="none" w:sz="0" w:space="0" w:color="auto"/>
            <w:bottom w:val="none" w:sz="0" w:space="0" w:color="auto"/>
            <w:right w:val="none" w:sz="0" w:space="0" w:color="auto"/>
          </w:divBdr>
        </w:div>
        <w:div w:id="1139610308">
          <w:marLeft w:val="0"/>
          <w:marRight w:val="0"/>
          <w:marTop w:val="0"/>
          <w:marBottom w:val="0"/>
          <w:divBdr>
            <w:top w:val="none" w:sz="0" w:space="0" w:color="auto"/>
            <w:left w:val="none" w:sz="0" w:space="0" w:color="auto"/>
            <w:bottom w:val="none" w:sz="0" w:space="0" w:color="auto"/>
            <w:right w:val="none" w:sz="0" w:space="0" w:color="auto"/>
          </w:divBdr>
        </w:div>
        <w:div w:id="1804233139">
          <w:marLeft w:val="0"/>
          <w:marRight w:val="0"/>
          <w:marTop w:val="0"/>
          <w:marBottom w:val="0"/>
          <w:divBdr>
            <w:top w:val="none" w:sz="0" w:space="0" w:color="auto"/>
            <w:left w:val="none" w:sz="0" w:space="0" w:color="auto"/>
            <w:bottom w:val="none" w:sz="0" w:space="0" w:color="auto"/>
            <w:right w:val="none" w:sz="0" w:space="0" w:color="auto"/>
          </w:divBdr>
        </w:div>
        <w:div w:id="826869749">
          <w:marLeft w:val="0"/>
          <w:marRight w:val="0"/>
          <w:marTop w:val="0"/>
          <w:marBottom w:val="0"/>
          <w:divBdr>
            <w:top w:val="none" w:sz="0" w:space="0" w:color="auto"/>
            <w:left w:val="none" w:sz="0" w:space="0" w:color="auto"/>
            <w:bottom w:val="none" w:sz="0" w:space="0" w:color="auto"/>
            <w:right w:val="none" w:sz="0" w:space="0" w:color="auto"/>
          </w:divBdr>
        </w:div>
        <w:div w:id="1470511642">
          <w:marLeft w:val="0"/>
          <w:marRight w:val="0"/>
          <w:marTop w:val="0"/>
          <w:marBottom w:val="0"/>
          <w:divBdr>
            <w:top w:val="none" w:sz="0" w:space="0" w:color="auto"/>
            <w:left w:val="none" w:sz="0" w:space="0" w:color="auto"/>
            <w:bottom w:val="none" w:sz="0" w:space="0" w:color="auto"/>
            <w:right w:val="none" w:sz="0" w:space="0" w:color="auto"/>
          </w:divBdr>
        </w:div>
      </w:divsChild>
    </w:div>
    <w:div w:id="408313736">
      <w:bodyDiv w:val="1"/>
      <w:marLeft w:val="0"/>
      <w:marRight w:val="0"/>
      <w:marTop w:val="0"/>
      <w:marBottom w:val="0"/>
      <w:divBdr>
        <w:top w:val="none" w:sz="0" w:space="0" w:color="auto"/>
        <w:left w:val="none" w:sz="0" w:space="0" w:color="auto"/>
        <w:bottom w:val="none" w:sz="0" w:space="0" w:color="auto"/>
        <w:right w:val="none" w:sz="0" w:space="0" w:color="auto"/>
      </w:divBdr>
    </w:div>
    <w:div w:id="496194502">
      <w:bodyDiv w:val="1"/>
      <w:marLeft w:val="0"/>
      <w:marRight w:val="0"/>
      <w:marTop w:val="0"/>
      <w:marBottom w:val="0"/>
      <w:divBdr>
        <w:top w:val="none" w:sz="0" w:space="0" w:color="auto"/>
        <w:left w:val="none" w:sz="0" w:space="0" w:color="auto"/>
        <w:bottom w:val="none" w:sz="0" w:space="0" w:color="auto"/>
        <w:right w:val="none" w:sz="0" w:space="0" w:color="auto"/>
      </w:divBdr>
    </w:div>
    <w:div w:id="523979530">
      <w:bodyDiv w:val="1"/>
      <w:marLeft w:val="0"/>
      <w:marRight w:val="0"/>
      <w:marTop w:val="0"/>
      <w:marBottom w:val="0"/>
      <w:divBdr>
        <w:top w:val="none" w:sz="0" w:space="0" w:color="auto"/>
        <w:left w:val="none" w:sz="0" w:space="0" w:color="auto"/>
        <w:bottom w:val="none" w:sz="0" w:space="0" w:color="auto"/>
        <w:right w:val="none" w:sz="0" w:space="0" w:color="auto"/>
      </w:divBdr>
      <w:divsChild>
        <w:div w:id="618295892">
          <w:marLeft w:val="0"/>
          <w:marRight w:val="0"/>
          <w:marTop w:val="0"/>
          <w:marBottom w:val="0"/>
          <w:divBdr>
            <w:top w:val="none" w:sz="0" w:space="0" w:color="auto"/>
            <w:left w:val="none" w:sz="0" w:space="0" w:color="auto"/>
            <w:bottom w:val="none" w:sz="0" w:space="0" w:color="auto"/>
            <w:right w:val="none" w:sz="0" w:space="0" w:color="auto"/>
          </w:divBdr>
          <w:divsChild>
            <w:div w:id="1631204130">
              <w:marLeft w:val="0"/>
              <w:marRight w:val="0"/>
              <w:marTop w:val="0"/>
              <w:marBottom w:val="0"/>
              <w:divBdr>
                <w:top w:val="none" w:sz="0" w:space="0" w:color="auto"/>
                <w:left w:val="none" w:sz="0" w:space="0" w:color="auto"/>
                <w:bottom w:val="none" w:sz="0" w:space="0" w:color="auto"/>
                <w:right w:val="none" w:sz="0" w:space="0" w:color="auto"/>
              </w:divBdr>
              <w:divsChild>
                <w:div w:id="16611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95391">
      <w:bodyDiv w:val="1"/>
      <w:marLeft w:val="0"/>
      <w:marRight w:val="0"/>
      <w:marTop w:val="0"/>
      <w:marBottom w:val="0"/>
      <w:divBdr>
        <w:top w:val="none" w:sz="0" w:space="0" w:color="auto"/>
        <w:left w:val="none" w:sz="0" w:space="0" w:color="auto"/>
        <w:bottom w:val="none" w:sz="0" w:space="0" w:color="auto"/>
        <w:right w:val="none" w:sz="0" w:space="0" w:color="auto"/>
      </w:divBdr>
      <w:divsChild>
        <w:div w:id="630134416">
          <w:marLeft w:val="0"/>
          <w:marRight w:val="0"/>
          <w:marTop w:val="0"/>
          <w:marBottom w:val="0"/>
          <w:divBdr>
            <w:top w:val="none" w:sz="0" w:space="0" w:color="auto"/>
            <w:left w:val="none" w:sz="0" w:space="0" w:color="auto"/>
            <w:bottom w:val="none" w:sz="0" w:space="0" w:color="auto"/>
            <w:right w:val="none" w:sz="0" w:space="0" w:color="auto"/>
          </w:divBdr>
          <w:divsChild>
            <w:div w:id="437994955">
              <w:marLeft w:val="0"/>
              <w:marRight w:val="0"/>
              <w:marTop w:val="0"/>
              <w:marBottom w:val="0"/>
              <w:divBdr>
                <w:top w:val="none" w:sz="0" w:space="0" w:color="auto"/>
                <w:left w:val="none" w:sz="0" w:space="0" w:color="auto"/>
                <w:bottom w:val="none" w:sz="0" w:space="0" w:color="auto"/>
                <w:right w:val="none" w:sz="0" w:space="0" w:color="auto"/>
              </w:divBdr>
              <w:divsChild>
                <w:div w:id="97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2214">
      <w:bodyDiv w:val="1"/>
      <w:marLeft w:val="0"/>
      <w:marRight w:val="0"/>
      <w:marTop w:val="0"/>
      <w:marBottom w:val="0"/>
      <w:divBdr>
        <w:top w:val="none" w:sz="0" w:space="0" w:color="auto"/>
        <w:left w:val="none" w:sz="0" w:space="0" w:color="auto"/>
        <w:bottom w:val="none" w:sz="0" w:space="0" w:color="auto"/>
        <w:right w:val="none" w:sz="0" w:space="0" w:color="auto"/>
      </w:divBdr>
    </w:div>
    <w:div w:id="755514385">
      <w:bodyDiv w:val="1"/>
      <w:marLeft w:val="0"/>
      <w:marRight w:val="0"/>
      <w:marTop w:val="0"/>
      <w:marBottom w:val="0"/>
      <w:divBdr>
        <w:top w:val="none" w:sz="0" w:space="0" w:color="auto"/>
        <w:left w:val="none" w:sz="0" w:space="0" w:color="auto"/>
        <w:bottom w:val="none" w:sz="0" w:space="0" w:color="auto"/>
        <w:right w:val="none" w:sz="0" w:space="0" w:color="auto"/>
      </w:divBdr>
    </w:div>
    <w:div w:id="968900501">
      <w:bodyDiv w:val="1"/>
      <w:marLeft w:val="0"/>
      <w:marRight w:val="0"/>
      <w:marTop w:val="0"/>
      <w:marBottom w:val="0"/>
      <w:divBdr>
        <w:top w:val="none" w:sz="0" w:space="0" w:color="auto"/>
        <w:left w:val="none" w:sz="0" w:space="0" w:color="auto"/>
        <w:bottom w:val="none" w:sz="0" w:space="0" w:color="auto"/>
        <w:right w:val="none" w:sz="0" w:space="0" w:color="auto"/>
      </w:divBdr>
      <w:divsChild>
        <w:div w:id="1254431831">
          <w:marLeft w:val="0"/>
          <w:marRight w:val="0"/>
          <w:marTop w:val="0"/>
          <w:marBottom w:val="0"/>
          <w:divBdr>
            <w:top w:val="none" w:sz="0" w:space="0" w:color="auto"/>
            <w:left w:val="none" w:sz="0" w:space="0" w:color="auto"/>
            <w:bottom w:val="none" w:sz="0" w:space="0" w:color="auto"/>
            <w:right w:val="none" w:sz="0" w:space="0" w:color="auto"/>
          </w:divBdr>
          <w:divsChild>
            <w:div w:id="1966885275">
              <w:marLeft w:val="0"/>
              <w:marRight w:val="0"/>
              <w:marTop w:val="0"/>
              <w:marBottom w:val="0"/>
              <w:divBdr>
                <w:top w:val="none" w:sz="0" w:space="0" w:color="auto"/>
                <w:left w:val="none" w:sz="0" w:space="0" w:color="auto"/>
                <w:bottom w:val="none" w:sz="0" w:space="0" w:color="auto"/>
                <w:right w:val="none" w:sz="0" w:space="0" w:color="auto"/>
              </w:divBdr>
              <w:divsChild>
                <w:div w:id="122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32908">
      <w:bodyDiv w:val="1"/>
      <w:marLeft w:val="0"/>
      <w:marRight w:val="0"/>
      <w:marTop w:val="0"/>
      <w:marBottom w:val="0"/>
      <w:divBdr>
        <w:top w:val="none" w:sz="0" w:space="0" w:color="auto"/>
        <w:left w:val="none" w:sz="0" w:space="0" w:color="auto"/>
        <w:bottom w:val="none" w:sz="0" w:space="0" w:color="auto"/>
        <w:right w:val="none" w:sz="0" w:space="0" w:color="auto"/>
      </w:divBdr>
    </w:div>
    <w:div w:id="1454640643">
      <w:bodyDiv w:val="1"/>
      <w:marLeft w:val="0"/>
      <w:marRight w:val="0"/>
      <w:marTop w:val="0"/>
      <w:marBottom w:val="0"/>
      <w:divBdr>
        <w:top w:val="none" w:sz="0" w:space="0" w:color="auto"/>
        <w:left w:val="none" w:sz="0" w:space="0" w:color="auto"/>
        <w:bottom w:val="none" w:sz="0" w:space="0" w:color="auto"/>
        <w:right w:val="none" w:sz="0" w:space="0" w:color="auto"/>
      </w:divBdr>
    </w:div>
    <w:div w:id="1508062342">
      <w:bodyDiv w:val="1"/>
      <w:marLeft w:val="0"/>
      <w:marRight w:val="0"/>
      <w:marTop w:val="0"/>
      <w:marBottom w:val="0"/>
      <w:divBdr>
        <w:top w:val="none" w:sz="0" w:space="0" w:color="auto"/>
        <w:left w:val="none" w:sz="0" w:space="0" w:color="auto"/>
        <w:bottom w:val="none" w:sz="0" w:space="0" w:color="auto"/>
        <w:right w:val="none" w:sz="0" w:space="0" w:color="auto"/>
      </w:divBdr>
      <w:divsChild>
        <w:div w:id="1669360950">
          <w:marLeft w:val="0"/>
          <w:marRight w:val="0"/>
          <w:marTop w:val="0"/>
          <w:marBottom w:val="0"/>
          <w:divBdr>
            <w:top w:val="none" w:sz="0" w:space="0" w:color="auto"/>
            <w:left w:val="none" w:sz="0" w:space="0" w:color="auto"/>
            <w:bottom w:val="none" w:sz="0" w:space="0" w:color="auto"/>
            <w:right w:val="none" w:sz="0" w:space="0" w:color="auto"/>
          </w:divBdr>
          <w:divsChild>
            <w:div w:id="1292205191">
              <w:marLeft w:val="0"/>
              <w:marRight w:val="0"/>
              <w:marTop w:val="0"/>
              <w:marBottom w:val="0"/>
              <w:divBdr>
                <w:top w:val="none" w:sz="0" w:space="0" w:color="auto"/>
                <w:left w:val="none" w:sz="0" w:space="0" w:color="auto"/>
                <w:bottom w:val="none" w:sz="0" w:space="0" w:color="auto"/>
                <w:right w:val="none" w:sz="0" w:space="0" w:color="auto"/>
              </w:divBdr>
              <w:divsChild>
                <w:div w:id="1602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7642">
      <w:bodyDiv w:val="1"/>
      <w:marLeft w:val="0"/>
      <w:marRight w:val="0"/>
      <w:marTop w:val="0"/>
      <w:marBottom w:val="0"/>
      <w:divBdr>
        <w:top w:val="none" w:sz="0" w:space="0" w:color="auto"/>
        <w:left w:val="none" w:sz="0" w:space="0" w:color="auto"/>
        <w:bottom w:val="none" w:sz="0" w:space="0" w:color="auto"/>
        <w:right w:val="none" w:sz="0" w:space="0" w:color="auto"/>
      </w:divBdr>
    </w:div>
    <w:div w:id="1531600213">
      <w:bodyDiv w:val="1"/>
      <w:marLeft w:val="0"/>
      <w:marRight w:val="0"/>
      <w:marTop w:val="0"/>
      <w:marBottom w:val="0"/>
      <w:divBdr>
        <w:top w:val="none" w:sz="0" w:space="0" w:color="auto"/>
        <w:left w:val="none" w:sz="0" w:space="0" w:color="auto"/>
        <w:bottom w:val="none" w:sz="0" w:space="0" w:color="auto"/>
        <w:right w:val="none" w:sz="0" w:space="0" w:color="auto"/>
      </w:divBdr>
    </w:div>
    <w:div w:id="1535533349">
      <w:bodyDiv w:val="1"/>
      <w:marLeft w:val="0"/>
      <w:marRight w:val="0"/>
      <w:marTop w:val="0"/>
      <w:marBottom w:val="0"/>
      <w:divBdr>
        <w:top w:val="none" w:sz="0" w:space="0" w:color="auto"/>
        <w:left w:val="none" w:sz="0" w:space="0" w:color="auto"/>
        <w:bottom w:val="none" w:sz="0" w:space="0" w:color="auto"/>
        <w:right w:val="none" w:sz="0" w:space="0" w:color="auto"/>
      </w:divBdr>
    </w:div>
    <w:div w:id="1554077630">
      <w:bodyDiv w:val="1"/>
      <w:marLeft w:val="0"/>
      <w:marRight w:val="0"/>
      <w:marTop w:val="0"/>
      <w:marBottom w:val="0"/>
      <w:divBdr>
        <w:top w:val="none" w:sz="0" w:space="0" w:color="auto"/>
        <w:left w:val="none" w:sz="0" w:space="0" w:color="auto"/>
        <w:bottom w:val="none" w:sz="0" w:space="0" w:color="auto"/>
        <w:right w:val="none" w:sz="0" w:space="0" w:color="auto"/>
      </w:divBdr>
    </w:div>
    <w:div w:id="1643120242">
      <w:bodyDiv w:val="1"/>
      <w:marLeft w:val="0"/>
      <w:marRight w:val="0"/>
      <w:marTop w:val="0"/>
      <w:marBottom w:val="0"/>
      <w:divBdr>
        <w:top w:val="none" w:sz="0" w:space="0" w:color="auto"/>
        <w:left w:val="none" w:sz="0" w:space="0" w:color="auto"/>
        <w:bottom w:val="none" w:sz="0" w:space="0" w:color="auto"/>
        <w:right w:val="none" w:sz="0" w:space="0" w:color="auto"/>
      </w:divBdr>
    </w:div>
    <w:div w:id="1790051931">
      <w:bodyDiv w:val="1"/>
      <w:marLeft w:val="0"/>
      <w:marRight w:val="0"/>
      <w:marTop w:val="0"/>
      <w:marBottom w:val="0"/>
      <w:divBdr>
        <w:top w:val="none" w:sz="0" w:space="0" w:color="auto"/>
        <w:left w:val="none" w:sz="0" w:space="0" w:color="auto"/>
        <w:bottom w:val="none" w:sz="0" w:space="0" w:color="auto"/>
        <w:right w:val="none" w:sz="0" w:space="0" w:color="auto"/>
      </w:divBdr>
    </w:div>
    <w:div w:id="1834566409">
      <w:bodyDiv w:val="1"/>
      <w:marLeft w:val="0"/>
      <w:marRight w:val="0"/>
      <w:marTop w:val="0"/>
      <w:marBottom w:val="0"/>
      <w:divBdr>
        <w:top w:val="none" w:sz="0" w:space="0" w:color="auto"/>
        <w:left w:val="none" w:sz="0" w:space="0" w:color="auto"/>
        <w:bottom w:val="none" w:sz="0" w:space="0" w:color="auto"/>
        <w:right w:val="none" w:sz="0" w:space="0" w:color="auto"/>
      </w:divBdr>
    </w:div>
    <w:div w:id="1887986795">
      <w:bodyDiv w:val="1"/>
      <w:marLeft w:val="0"/>
      <w:marRight w:val="0"/>
      <w:marTop w:val="0"/>
      <w:marBottom w:val="0"/>
      <w:divBdr>
        <w:top w:val="none" w:sz="0" w:space="0" w:color="auto"/>
        <w:left w:val="none" w:sz="0" w:space="0" w:color="auto"/>
        <w:bottom w:val="none" w:sz="0" w:space="0" w:color="auto"/>
        <w:right w:val="none" w:sz="0" w:space="0" w:color="auto"/>
      </w:divBdr>
      <w:divsChild>
        <w:div w:id="758136542">
          <w:marLeft w:val="0"/>
          <w:marRight w:val="0"/>
          <w:marTop w:val="0"/>
          <w:marBottom w:val="0"/>
          <w:divBdr>
            <w:top w:val="none" w:sz="0" w:space="0" w:color="auto"/>
            <w:left w:val="none" w:sz="0" w:space="0" w:color="auto"/>
            <w:bottom w:val="none" w:sz="0" w:space="0" w:color="auto"/>
            <w:right w:val="none" w:sz="0" w:space="0" w:color="auto"/>
          </w:divBdr>
          <w:divsChild>
            <w:div w:id="1876112192">
              <w:marLeft w:val="0"/>
              <w:marRight w:val="0"/>
              <w:marTop w:val="0"/>
              <w:marBottom w:val="0"/>
              <w:divBdr>
                <w:top w:val="none" w:sz="0" w:space="0" w:color="auto"/>
                <w:left w:val="none" w:sz="0" w:space="0" w:color="auto"/>
                <w:bottom w:val="none" w:sz="0" w:space="0" w:color="auto"/>
                <w:right w:val="none" w:sz="0" w:space="0" w:color="auto"/>
              </w:divBdr>
              <w:divsChild>
                <w:div w:id="1874150514">
                  <w:marLeft w:val="0"/>
                  <w:marRight w:val="0"/>
                  <w:marTop w:val="0"/>
                  <w:marBottom w:val="0"/>
                  <w:divBdr>
                    <w:top w:val="none" w:sz="0" w:space="0" w:color="auto"/>
                    <w:left w:val="none" w:sz="0" w:space="0" w:color="auto"/>
                    <w:bottom w:val="none" w:sz="0" w:space="0" w:color="auto"/>
                    <w:right w:val="none" w:sz="0" w:space="0" w:color="auto"/>
                  </w:divBdr>
                  <w:divsChild>
                    <w:div w:id="13844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5285">
      <w:bodyDiv w:val="1"/>
      <w:marLeft w:val="0"/>
      <w:marRight w:val="0"/>
      <w:marTop w:val="0"/>
      <w:marBottom w:val="0"/>
      <w:divBdr>
        <w:top w:val="none" w:sz="0" w:space="0" w:color="auto"/>
        <w:left w:val="none" w:sz="0" w:space="0" w:color="auto"/>
        <w:bottom w:val="none" w:sz="0" w:space="0" w:color="auto"/>
        <w:right w:val="none" w:sz="0" w:space="0" w:color="auto"/>
      </w:divBdr>
    </w:div>
    <w:div w:id="20979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fact-tank/2018/10/25/6-facts-about-english-language-learners-in-u-s-public-schools/" TargetMode="External"/><Relationship Id="rId13" Type="http://schemas.openxmlformats.org/officeDocument/2006/relationships/hyperlink" Target="https://www.gao.gov/assets/700/69496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ccrc.tc.columbia.edu/media/k2/attachments/college-readiness-partnerships.pdf" TargetMode="External"/><Relationship Id="rId12" Type="http://schemas.openxmlformats.org/officeDocument/2006/relationships/hyperlink" Target="https://nces.ed.gov/pubs2019/201914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les.eric.ed.gov/fulltext/ED44327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ccrc.tc.columbia.edu/media/k2/attachments/what-happens-community-college-dual-enrollment-students.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suworks.nova.edu/tqr/vol4/iss1/7/" TargetMode="External"/><Relationship Id="rId14" Type="http://schemas.openxmlformats.org/officeDocument/2006/relationships/hyperlink" Target="https://nces.ed.gov/pubs2019/2019176.pdf"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72BE-71E3-431E-8F3D-6B28DF23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19885</Words>
  <Characters>113350</Characters>
  <Application>Microsoft Office Word</Application>
  <DocSecurity>0</DocSecurity>
  <Lines>944</Lines>
  <Paragraphs>265</Paragraphs>
  <ScaleCrop>false</ScaleCrop>
  <Company/>
  <LinksUpToDate>false</LinksUpToDate>
  <CharactersWithSpaces>132970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2022-01-27T16:04:00Z</dcterms:created>
  <dcterms:modified xsi:type="dcterms:W3CDTF">2022-01-27T16:07:00Z</dcterms:modified>
</cp:coreProperties>
</file>